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325120</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348615</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8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134620</wp:posOffset>
            </wp:positionV>
            <wp:extent cx="17894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5715"/>
                    </a:xfrm>
                    <a:prstGeom prst="rect">
                      <a:avLst/>
                    </a:prstGeom>
                    <a:noFill/>
                  </pic:spPr>
                </pic:pic>
              </a:graphicData>
            </a:graphic>
          </wp:anchor>
        </w:drawing>
      </w:r>
    </w:p>
    <w:p>
      <w:pPr>
        <w:spacing w:after="0" w:line="3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Tuya Inc.</w:t>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10/F, Building A, Huace Center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Xihu District, Hangzhou City</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Zhejiang, 310012</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680"/>
        <w:spacing w:after="0" w:line="138" w:lineRule="exact"/>
        <w:tabs>
          <w:tab w:leader="none" w:pos="584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380365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62"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2" w:lineRule="exact"/>
        <w:rPr>
          <w:sz w:val="20"/>
          <w:szCs w:val="20"/>
          <w:color w:val="auto"/>
        </w:rPr>
      </w:pPr>
    </w:p>
    <w:p>
      <w:pPr>
        <w:ind w:firstLine="446"/>
        <w:spacing w:after="0" w:line="297" w:lineRule="auto"/>
        <w:rPr>
          <w:sz w:val="20"/>
          <w:szCs w:val="20"/>
          <w:color w:val="auto"/>
        </w:rPr>
      </w:pPr>
      <w:r>
        <w:rPr>
          <w:rFonts w:ascii="Times New Roman" w:cs="Times New Roman" w:eastAsia="Times New Roman" w:hAnsi="Times New Roman"/>
          <w:sz w:val="12"/>
          <w:szCs w:val="12"/>
          <w:color w:val="auto"/>
        </w:rPr>
        <w:t>We submitted a next day disclosure return form dated May 11, 2026 to The Stock Exchange of Hong Kong Limited in relation to the changes in our issued share capital and/or share buybacks. For details, please refer to the exhibits to this current report on Form 6-K.</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60"/>
          </w:cols>
          <w:pgMar w:left="300" w:top="664"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1"/>
        </w:trPr>
        <w:tc>
          <w:tcPr>
            <w:tcW w:w="220" w:type="dxa"/>
            <w:vAlign w:val="bottom"/>
            <w:tcBorders>
              <w:top w:val="single" w:sz="8" w:color="auto"/>
              <w:bottom w:val="single" w:sz="8" w:color="0000EE"/>
            </w:tcBorders>
          </w:tcPr>
          <w:p>
            <w:pPr>
              <w:spacing w:after="0" w:line="111"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bottom w:val="single" w:sz="8" w:color="0000EE"/>
            </w:tcBorders>
          </w:tcPr>
          <w:p>
            <w:pPr>
              <w:spacing w:after="0" w:line="111" w:lineRule="exact"/>
              <w:rPr>
                <w:sz w:val="20"/>
                <w:szCs w:val="20"/>
                <w:color w:val="auto"/>
              </w:rPr>
            </w:pPr>
            <w:r>
              <w:rPr>
                <w:rFonts w:ascii="Times New Roman" w:cs="Times New Roman" w:eastAsia="Times New Roman" w:hAnsi="Times New Roman"/>
                <w:sz w:val="12"/>
                <w:szCs w:val="12"/>
                <w:color w:val="0000EE"/>
              </w:rPr>
              <w:t>Press Release</w:t>
            </w:r>
          </w:p>
        </w:tc>
        <w:tc>
          <w:tcPr>
            <w:tcW w:w="8920" w:type="dxa"/>
            <w:vAlign w:val="bottom"/>
            <w:tcBorders>
              <w:top w:val="single" w:sz="8" w:color="auto"/>
            </w:tcBorders>
            <w:gridSpan w:val="2"/>
          </w:tcPr>
          <w:p>
            <w:pPr>
              <w:spacing w:after="0"/>
              <w:rPr>
                <w:sz w:val="9"/>
                <w:szCs w:val="9"/>
                <w:color w:val="auto"/>
              </w:rPr>
            </w:pPr>
          </w:p>
        </w:tc>
      </w:tr>
      <w:tr>
        <w:trPr>
          <w:trHeight w:val="129"/>
        </w:trPr>
        <w:tc>
          <w:tcPr>
            <w:tcW w:w="2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May 11, 2026</w:t>
            </w:r>
          </w:p>
        </w:tc>
      </w:tr>
      <w:tr>
        <w:trPr>
          <w:trHeight w:val="20"/>
        </w:trPr>
        <w:tc>
          <w:tcPr>
            <w:tcW w:w="2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Tuya Inc.</w:t>
            </w:r>
          </w:p>
        </w:tc>
        <w:tc>
          <w:tcPr>
            <w:tcW w:w="32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29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   /s/ Yi (Alex) Yang</w:t>
            </w:r>
          </w:p>
        </w:tc>
      </w:tr>
      <w:tr>
        <w:trPr>
          <w:trHeight w:val="126"/>
        </w:trPr>
        <w:tc>
          <w:tcPr>
            <w:tcW w:w="6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320" w:type="dxa"/>
            <w:vAlign w:val="bottom"/>
          </w:tcPr>
          <w:p>
            <w:pPr>
              <w:ind w:left="1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74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Yi (Alex) Yang</w:t>
            </w:r>
          </w:p>
        </w:tc>
      </w:tr>
      <w:tr>
        <w:trPr>
          <w:trHeight w:val="160"/>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11, 2026</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5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Tuya Reports First Quarter 2026 Unaudited Financial Results</w:t>
      </w:r>
    </w:p>
    <w:p>
      <w:pPr>
        <w:spacing w:after="0" w:line="171" w:lineRule="exact"/>
        <w:rPr>
          <w:sz w:val="20"/>
          <w:szCs w:val="20"/>
          <w:color w:val="auto"/>
        </w:rPr>
      </w:pPr>
    </w:p>
    <w:p>
      <w:pPr>
        <w:ind w:left="6" w:right="40"/>
        <w:spacing w:after="0" w:line="160" w:lineRule="exact"/>
        <w:rPr>
          <w:sz w:val="20"/>
          <w:szCs w:val="20"/>
          <w:color w:val="auto"/>
        </w:rPr>
      </w:pPr>
      <w:r>
        <w:rPr>
          <w:rFonts w:ascii="Times New Roman" w:cs="Times New Roman" w:eastAsia="Times New Roman" w:hAnsi="Times New Roman"/>
          <w:sz w:val="12"/>
          <w:szCs w:val="12"/>
          <w:color w:val="auto"/>
        </w:rPr>
        <w:t>SANTA CLARA, Calif., May 11, 2026/PRNewswire/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Tuya Inc. (“Tuya” or the “Company”) (NYSE: TUYA; HKEX: 2391), a global leading AI cloud platform service provider, today announced its unaudited financial results for the first quarter ended March 31, 2026.</w:t>
      </w:r>
    </w:p>
    <w:p>
      <w:pPr>
        <w:spacing w:after="0" w:line="1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First Quarter 2026 Financial Highlights</w:t>
      </w:r>
    </w:p>
    <w:p>
      <w:pPr>
        <w:spacing w:after="0" w:line="160" w:lineRule="exact"/>
        <w:rPr>
          <w:sz w:val="20"/>
          <w:szCs w:val="20"/>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Total revenue </w:t>
      </w:r>
      <w:r>
        <w:rPr>
          <w:rFonts w:ascii="Times New Roman" w:cs="Times New Roman" w:eastAsia="Times New Roman" w:hAnsi="Times New Roman"/>
          <w:sz w:val="12"/>
          <w:szCs w:val="12"/>
          <w:color w:val="auto"/>
        </w:rPr>
        <w:t>was US$80.9 million, up approximately 8.3% year-over-year (1Q2025: US$74.7 million).</w:t>
      </w:r>
    </w:p>
    <w:p>
      <w:pPr>
        <w:spacing w:after="0" w:line="186"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Platform-as-a-service (“PaaS”) revenue </w:t>
      </w:r>
      <w:r>
        <w:rPr>
          <w:rFonts w:ascii="Times New Roman" w:cs="Times New Roman" w:eastAsia="Times New Roman" w:hAnsi="Times New Roman"/>
          <w:sz w:val="12"/>
          <w:szCs w:val="12"/>
          <w:color w:val="auto"/>
        </w:rPr>
        <w:t>was US$59.0 million, up approximately 9.8% year-over-year (1Q2025: US$53.7 million).</w:t>
      </w:r>
    </w:p>
    <w:p>
      <w:pPr>
        <w:spacing w:after="0" w:line="190"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AI application &amp; others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2"/>
          <w:szCs w:val="12"/>
          <w:b w:val="1"/>
          <w:bCs w:val="1"/>
          <w:color w:val="auto"/>
        </w:rPr>
        <w:t xml:space="preserve"> (formerly known as Software-as-a-service (“SaaS”) and others) revenue </w:t>
      </w:r>
      <w:r>
        <w:rPr>
          <w:rFonts w:ascii="Times New Roman" w:cs="Times New Roman" w:eastAsia="Times New Roman" w:hAnsi="Times New Roman"/>
          <w:sz w:val="12"/>
          <w:szCs w:val="12"/>
          <w:color w:val="auto"/>
        </w:rPr>
        <w:t>was US$11.6 million, up approximately 16.9% year-over-year (1Q2025: US$10.0 million).</w:t>
      </w:r>
    </w:p>
    <w:p>
      <w:pPr>
        <w:spacing w:after="0" w:line="114"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Smart home &amp; robot product</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2"/>
          <w:szCs w:val="12"/>
          <w:b w:val="1"/>
          <w:bCs w:val="1"/>
          <w:color w:val="auto"/>
        </w:rPr>
        <w:t xml:space="preserve"> (formerly known as Smart solution) revenue </w:t>
      </w:r>
      <w:r>
        <w:rPr>
          <w:rFonts w:ascii="Times New Roman" w:cs="Times New Roman" w:eastAsia="Times New Roman" w:hAnsi="Times New Roman"/>
          <w:sz w:val="12"/>
          <w:szCs w:val="12"/>
          <w:color w:val="auto"/>
        </w:rPr>
        <w:t>was US$10.2 million, down approximately 6.9% year-over-year (1Q2025: US$11.0 million).</w:t>
      </w:r>
    </w:p>
    <w:p>
      <w:pPr>
        <w:spacing w:after="0" w:line="91"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Overall gross margin </w:t>
      </w:r>
      <w:r>
        <w:rPr>
          <w:rFonts w:ascii="Times New Roman" w:cs="Times New Roman" w:eastAsia="Times New Roman" w:hAnsi="Times New Roman"/>
          <w:sz w:val="12"/>
          <w:szCs w:val="12"/>
          <w:color w:val="auto"/>
        </w:rPr>
        <w:t>was 46.9%, down 1.6 percentage points year-over-year (1Q2025: 48.5%). Gross margin of PaaS was 46.1% (1Q2025: 48.4%).</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Operating margin </w:t>
      </w:r>
      <w:r>
        <w:rPr>
          <w:rFonts w:ascii="Times New Roman" w:cs="Times New Roman" w:eastAsia="Times New Roman" w:hAnsi="Times New Roman"/>
          <w:sz w:val="12"/>
          <w:szCs w:val="12"/>
          <w:color w:val="auto"/>
        </w:rPr>
        <w:t>was 9.2%, improved by 11.1 percentage points year-over-year (1Q2025: negative 1.9%).</w:t>
      </w:r>
      <w:r>
        <w:rPr>
          <w:rFonts w:ascii="Times New Roman" w:cs="Times New Roman" w:eastAsia="Times New Roman" w:hAnsi="Times New Roman"/>
          <w:sz w:val="12"/>
          <w:szCs w:val="12"/>
          <w:b w:val="1"/>
          <w:bCs w:val="1"/>
          <w:color w:val="auto"/>
        </w:rPr>
        <w:t xml:space="preserve"> Non-GAAP operating margin </w:t>
      </w:r>
      <w:r>
        <w:rPr>
          <w:rFonts w:ascii="Times New Roman" w:cs="Times New Roman" w:eastAsia="Times New Roman" w:hAnsi="Times New Roman"/>
          <w:sz w:val="12"/>
          <w:szCs w:val="12"/>
          <w:color w:val="auto"/>
        </w:rPr>
        <w:t>was 10.0% (1Q2025: 9.1%).</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Net margin </w:t>
      </w:r>
      <w:r>
        <w:rPr>
          <w:rFonts w:ascii="Times New Roman" w:cs="Times New Roman" w:eastAsia="Times New Roman" w:hAnsi="Times New Roman"/>
          <w:sz w:val="12"/>
          <w:szCs w:val="12"/>
          <w:color w:val="auto"/>
        </w:rPr>
        <w:t>was 19.5%, improved by 4.7 percentage points year-over-year (1Q2025: 14.8%).</w:t>
      </w:r>
      <w:r>
        <w:rPr>
          <w:rFonts w:ascii="Times New Roman" w:cs="Times New Roman" w:eastAsia="Times New Roman" w:hAnsi="Times New Roman"/>
          <w:sz w:val="12"/>
          <w:szCs w:val="12"/>
          <w:b w:val="1"/>
          <w:bCs w:val="1"/>
          <w:color w:val="auto"/>
        </w:rPr>
        <w:t xml:space="preserve"> Non-GAAP net margin </w:t>
      </w:r>
      <w:r>
        <w:rPr>
          <w:rFonts w:ascii="Times New Roman" w:cs="Times New Roman" w:eastAsia="Times New Roman" w:hAnsi="Times New Roman"/>
          <w:sz w:val="12"/>
          <w:szCs w:val="12"/>
          <w:color w:val="auto"/>
        </w:rPr>
        <w:t>was 20.3% (1Q2025: 25.8%).</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Net profits </w:t>
      </w:r>
      <w:r>
        <w:rPr>
          <w:rFonts w:ascii="Times New Roman" w:cs="Times New Roman" w:eastAsia="Times New Roman" w:hAnsi="Times New Roman"/>
          <w:sz w:val="12"/>
          <w:szCs w:val="12"/>
          <w:color w:val="auto"/>
        </w:rPr>
        <w:t>were US$15.8 million (1Q2025: US$11.0 million).</w:t>
      </w:r>
      <w:r>
        <w:rPr>
          <w:rFonts w:ascii="Times New Roman" w:cs="Times New Roman" w:eastAsia="Times New Roman" w:hAnsi="Times New Roman"/>
          <w:sz w:val="12"/>
          <w:szCs w:val="12"/>
          <w:b w:val="1"/>
          <w:bCs w:val="1"/>
          <w:color w:val="auto"/>
        </w:rPr>
        <w:t xml:space="preserve"> Non-GAAP net profits </w:t>
      </w:r>
      <w:r>
        <w:rPr>
          <w:rFonts w:ascii="Times New Roman" w:cs="Times New Roman" w:eastAsia="Times New Roman" w:hAnsi="Times New Roman"/>
          <w:sz w:val="12"/>
          <w:szCs w:val="12"/>
          <w:color w:val="auto"/>
        </w:rPr>
        <w:t>were US$16.4 million (1Q2025: US$19.3 million).</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Net cash generated from operating activities </w:t>
      </w:r>
      <w:r>
        <w:rPr>
          <w:rFonts w:ascii="Times New Roman" w:cs="Times New Roman" w:eastAsia="Times New Roman" w:hAnsi="Times New Roman"/>
          <w:sz w:val="12"/>
          <w:szCs w:val="12"/>
          <w:color w:val="auto"/>
        </w:rPr>
        <w:t>was US$6.4 million (1Q2025: US$9.4 million).</w:t>
      </w:r>
    </w:p>
    <w:p>
      <w:pPr>
        <w:spacing w:after="0" w:line="168" w:lineRule="exact"/>
        <w:rPr>
          <w:rFonts w:ascii="Arial" w:cs="Arial" w:eastAsia="Arial" w:hAnsi="Arial"/>
          <w:sz w:val="12"/>
          <w:szCs w:val="12"/>
          <w:b w:val="1"/>
          <w:bCs w:val="1"/>
          <w:color w:val="auto"/>
        </w:rPr>
      </w:pPr>
    </w:p>
    <w:p>
      <w:pPr>
        <w:ind w:left="446" w:right="180" w:hanging="446"/>
        <w:spacing w:after="0" w:line="300" w:lineRule="auto"/>
        <w:tabs>
          <w:tab w:leader="none" w:pos="446" w:val="left"/>
        </w:tabs>
        <w:numPr>
          <w:ilvl w:val="0"/>
          <w:numId w:val="1"/>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Total cash and cash equivalents, time deposits and treasury securities recorded as short-term and long-term investments </w:t>
      </w:r>
      <w:r>
        <w:rPr>
          <w:rFonts w:ascii="Times New Roman" w:cs="Times New Roman" w:eastAsia="Times New Roman" w:hAnsi="Times New Roman"/>
          <w:sz w:val="12"/>
          <w:szCs w:val="12"/>
          <w:color w:val="auto"/>
        </w:rPr>
        <w:t>were US$1,017.1 million as of March 31, 2026, compared to US$1,017.3 million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2025.</w:t>
      </w:r>
    </w:p>
    <w:p>
      <w:pPr>
        <w:spacing w:after="0" w:line="103" w:lineRule="exact"/>
        <w:rPr>
          <w:sz w:val="20"/>
          <w:szCs w:val="20"/>
          <w:color w:val="auto"/>
        </w:rPr>
      </w:pPr>
    </w:p>
    <w:p>
      <w:pPr>
        <w:ind w:left="446" w:right="120" w:hanging="446"/>
        <w:spacing w:after="0" w:line="212" w:lineRule="auto"/>
        <w:tabs>
          <w:tab w:leader="none" w:pos="446"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2"/>
          <w:szCs w:val="12"/>
          <w:color w:val="auto"/>
        </w:rPr>
        <w:t>Commencing from the current reporting period, the Group has renamed the revenue stream previously presented as Software-as-a-service (“SaaS”) and others to “AI Application &amp; others.” This change reflects the Group’s strategic direction to fully integrate AI capabilities into all software products within this business stream. The Group will focus on providing various subscription-based value-added services powered by large-scale AI models in this stream, such as AI Guardian and Energy Butler.</w:t>
      </w:r>
    </w:p>
    <w:p>
      <w:pPr>
        <w:spacing w:after="0" w:line="138" w:lineRule="exact"/>
        <w:rPr>
          <w:rFonts w:ascii="Times New Roman" w:cs="Times New Roman" w:eastAsia="Times New Roman" w:hAnsi="Times New Roman"/>
          <w:sz w:val="21"/>
          <w:szCs w:val="21"/>
          <w:color w:val="auto"/>
          <w:vertAlign w:val="superscript"/>
        </w:rPr>
      </w:pPr>
    </w:p>
    <w:p>
      <w:pPr>
        <w:ind w:left="446" w:right="280" w:hanging="446"/>
        <w:spacing w:after="0" w:line="212" w:lineRule="auto"/>
        <w:tabs>
          <w:tab w:leader="none" w:pos="446"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2"/>
          <w:szCs w:val="12"/>
          <w:color w:val="auto"/>
        </w:rPr>
        <w:t>Commencing from the current reporting period, the Group has renamed the revenue stream previously presented as “Smart solution” to “Smart home &amp; robot product.” This change aligns with the Group’s business orientation for this stream, where product offerings will be focused on AI-enabled consumer electronics and home robotics, including AI-powered security systems, AI energy management solutions, and home companion robots.</w:t>
      </w:r>
    </w:p>
    <w:p>
      <w:pPr>
        <w:spacing w:after="0" w:line="28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285" w:right="299" w:bottom="1440" w:gutter="0" w:footer="0" w:header="0"/>
        </w:sectPr>
      </w:pPr>
    </w:p>
    <w:bookmarkStart w:id="5" w:name="page6"/>
    <w:bookmarkEnd w:id="5"/>
    <w:p>
      <w:pPr>
        <w:ind w:left="6"/>
        <w:spacing w:after="0"/>
        <w:rPr>
          <w:sz w:val="20"/>
          <w:szCs w:val="20"/>
          <w:color w:val="auto"/>
        </w:rPr>
      </w:pPr>
      <w:r>
        <w:rPr>
          <w:rFonts w:ascii="Times New Roman" w:cs="Times New Roman" w:eastAsia="Times New Roman" w:hAnsi="Times New Roman"/>
          <w:sz w:val="12"/>
          <w:szCs w:val="12"/>
          <w:color w:val="auto"/>
        </w:rPr>
        <w:t>For further information on the non-GAAP financial measures presented above, see the section headed “Use of Non-GAAP Financial Measures.”</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First Quarter 2026 Operating Highlights</w:t>
      </w:r>
    </w:p>
    <w:p>
      <w:pPr>
        <w:spacing w:after="0" w:line="122"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Premium PaaS customers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trailing 12 months ended March 31, 2026 were 306 (1Q2025: 287). In the first quarter of 2026, the Company’s premium PaaS customers contributed approximately 89.3% of its PaaS</w:t>
      </w:r>
    </w:p>
    <w:p>
      <w:pPr>
        <w:ind w:left="446"/>
        <w:spacing w:after="0"/>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revenue (1Q2025: approximately 88.7%).</w:t>
      </w:r>
    </w:p>
    <w:p>
      <w:pPr>
        <w:spacing w:after="0" w:line="143" w:lineRule="exact"/>
        <w:rPr>
          <w:rFonts w:ascii="Arial" w:cs="Arial" w:eastAsia="Arial" w:hAnsi="Arial"/>
          <w:sz w:val="12"/>
          <w:szCs w:val="12"/>
          <w:b w:val="1"/>
          <w:bCs w:val="1"/>
          <w:color w:val="auto"/>
        </w:rPr>
      </w:pPr>
    </w:p>
    <w:p>
      <w:pPr>
        <w:ind w:left="446" w:hanging="446"/>
        <w:spacing w:after="0"/>
        <w:tabs>
          <w:tab w:leader="none" w:pos="446"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b w:val="1"/>
          <w:bCs w:val="1"/>
          <w:color w:val="auto"/>
        </w:rPr>
        <w:t xml:space="preserve">Registered AI developers </w:t>
      </w:r>
      <w:r>
        <w:rPr>
          <w:rFonts w:ascii="Times New Roman" w:cs="Times New Roman" w:eastAsia="Times New Roman" w:hAnsi="Times New Roman"/>
          <w:sz w:val="12"/>
          <w:szCs w:val="12"/>
          <w:color w:val="auto"/>
        </w:rPr>
        <w:t>were over 1,970,000 as of March 31, 2026, up 9.4% from approximately 1,801,000 developers as of December 31, 2025.</w:t>
      </w:r>
    </w:p>
    <w:p>
      <w:pPr>
        <w:spacing w:after="0" w:line="170" w:lineRule="exact"/>
        <w:rPr>
          <w:sz w:val="20"/>
          <w:szCs w:val="20"/>
          <w:color w:val="auto"/>
        </w:rPr>
      </w:pPr>
    </w:p>
    <w:p>
      <w:pPr>
        <w:ind w:left="446" w:hanging="446"/>
        <w:spacing w:after="0"/>
        <w:tabs>
          <w:tab w:leader="none" w:pos="446"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defines a premium PaaS customer as a customer as of a given date that contributed more than US$100,000 of PaaS revenue during the immediately preceding 12-month period.</w:t>
      </w:r>
    </w:p>
    <w:p>
      <w:pPr>
        <w:spacing w:after="0" w:line="160" w:lineRule="exact"/>
        <w:rPr>
          <w:sz w:val="20"/>
          <w:szCs w:val="20"/>
          <w:color w:val="auto"/>
        </w:rPr>
      </w:pPr>
    </w:p>
    <w:p>
      <w:pPr>
        <w:ind w:left="6" w:right="140"/>
        <w:spacing w:after="0" w:line="271" w:lineRule="auto"/>
        <w:rPr>
          <w:sz w:val="20"/>
          <w:szCs w:val="20"/>
          <w:color w:val="auto"/>
        </w:rPr>
      </w:pPr>
      <w:r>
        <w:rPr>
          <w:rFonts w:ascii="Times New Roman" w:cs="Times New Roman" w:eastAsia="Times New Roman" w:hAnsi="Times New Roman"/>
          <w:sz w:val="12"/>
          <w:szCs w:val="12"/>
          <w:color w:val="auto"/>
        </w:rPr>
        <w:t>Mr. Xueji (Jerry) Wang, Founder and Chief Executive Officer of Tuya, commented, “In the first quarter, despite ongoing external uncertainties and certain regional disruptions, we continued to demonstrate solid growth momentum and strong execution capabilities. Since the fourth quarter, we have benefited from a continued recovery in downstream demand, supporting the ongoing expansion of our business scale. Total revenue increased by 8.3% year over year, with the growth rate further improving from the previous quarter, and we maintained positive growth for multiple consecutive quarters. Our gross margin remained at a healthy level, underscoring the continued enhancement of our product value proposition and platform competitiveness.</w:t>
      </w:r>
    </w:p>
    <w:p>
      <w:pPr>
        <w:spacing w:after="0" w:line="121" w:lineRule="exact"/>
        <w:rPr>
          <w:sz w:val="20"/>
          <w:szCs w:val="20"/>
          <w:color w:val="auto"/>
        </w:rPr>
      </w:pPr>
    </w:p>
    <w:p>
      <w:pPr>
        <w:ind w:left="6" w:right="20"/>
        <w:spacing w:after="0" w:line="266" w:lineRule="auto"/>
        <w:rPr>
          <w:sz w:val="20"/>
          <w:szCs w:val="20"/>
          <w:color w:val="auto"/>
        </w:rPr>
      </w:pPr>
      <w:r>
        <w:rPr>
          <w:rFonts w:ascii="Times New Roman" w:cs="Times New Roman" w:eastAsia="Times New Roman" w:hAnsi="Times New Roman"/>
          <w:sz w:val="12"/>
          <w:szCs w:val="12"/>
          <w:color w:val="auto"/>
        </w:rPr>
        <w:t>Strategically, we continue to pursue AI-driven development, harnessing AI capabilities to accelerate the deployment of application-level solutions and scenario-based products, with implementation across multiple scenarios. We continued to iterate our developer tools and platform capabilities, enabling global developers to access and apply the most advanced AI technologies at lower cost and with greater efficiency. This is reflected in the continued growth of our AI-related business revenue, highlighting our steady progress in commercialization and accelerated deployment. Meanwhile, demand for AI-native applications in consumer scenarios continued to rise, driving the scaled application of Physical AI in real-life settings. At the same time, we are expanding the global rollout of validated solutions and further strengthening our developer ecosystem, working with industry partners to jointly explore the long-term opportunities in the AI application market. Looking ahead, supported by our resilient business model and solid financial foundation, we remain focused on AI application innovation, global solution expansion and developer ecosystem development, continuously enhancing our long-term value creation capabilities.</w:t>
      </w:r>
    </w:p>
    <w:p>
      <w:pPr>
        <w:spacing w:after="0" w:line="27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6"/>
          </w:cols>
          <w:pgMar w:left="294" w:top="666" w:right="319" w:bottom="1440" w:gutter="0" w:footer="0" w:header="0"/>
        </w:sectPr>
      </w:pPr>
    </w:p>
    <w:bookmarkStart w:id="6" w:name="page7"/>
    <w:bookmarkEnd w:id="6"/>
    <w:p>
      <w:pPr>
        <w:ind w:left="6"/>
        <w:spacing w:after="0" w:line="278" w:lineRule="auto"/>
        <w:rPr>
          <w:sz w:val="20"/>
          <w:szCs w:val="20"/>
          <w:color w:val="auto"/>
        </w:rPr>
      </w:pPr>
      <w:r>
        <w:rPr>
          <w:rFonts w:ascii="Times New Roman" w:cs="Times New Roman" w:eastAsia="Times New Roman" w:hAnsi="Times New Roman"/>
          <w:sz w:val="12"/>
          <w:szCs w:val="12"/>
          <w:color w:val="auto"/>
        </w:rPr>
        <w:t>Mr. Yi (Alex) Yang, Director and Chief Financial Officer of Tuya, added, “In the first quarter, we delivered total revenue of US$80.9 million, representing a year-over-year increase of 8.3%, with PaaS revenue growing by 9.8%, as our overall business continued its steady recovery. AI application &amp; others revenue continued to outperform, increasing by 16.9% year over year and serving as an important driver of our structural growth, driven by continued expansion of cloud-based software offerings with AI application functions and application-level commercialization.</w:t>
      </w:r>
    </w:p>
    <w:p>
      <w:pPr>
        <w:spacing w:after="0" w:line="116" w:lineRule="exact"/>
        <w:rPr>
          <w:sz w:val="20"/>
          <w:szCs w:val="20"/>
          <w:color w:val="auto"/>
        </w:rPr>
      </w:pPr>
    </w:p>
    <w:p>
      <w:pPr>
        <w:ind w:left="6" w:right="120"/>
        <w:spacing w:after="0" w:line="271" w:lineRule="auto"/>
        <w:rPr>
          <w:sz w:val="20"/>
          <w:szCs w:val="20"/>
          <w:color w:val="auto"/>
        </w:rPr>
      </w:pPr>
      <w:r>
        <w:rPr>
          <w:rFonts w:ascii="Times New Roman" w:cs="Times New Roman" w:eastAsia="Times New Roman" w:hAnsi="Times New Roman"/>
          <w:sz w:val="12"/>
          <w:szCs w:val="12"/>
          <w:color w:val="auto"/>
        </w:rPr>
        <w:t>Meanwhile, profitability continued to improve, with GAAP operating margin reaching 9.2% and non-GAAP operating margin standing at 10.0%, demonstrating continued operating leverage and disciplined cost management. Net margin expanded to 19.5%, supported by enhanced efficiency and an optimized expense structure. We maintained a solid balance sheet, with over US$1.0 billion in cash and liquid investments, providing flexibility to support continued investment in AI and global expansion. Overall, our performance reflects the resilience of our core platform business, continued optimization of our revenue mix, and steady progress in translating AI capabilities into scalable commercial outcomes.”</w:t>
      </w:r>
    </w:p>
    <w:p>
      <w:pPr>
        <w:spacing w:after="0" w:line="1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First Quarter 2026 Unaudited Financial Results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Total revenue in the first quarter of 2026 increased by 8.3% to US$80.9 million from US$74.7 million in the same period of 2025.</w:t>
      </w:r>
    </w:p>
    <w:p>
      <w:pPr>
        <w:spacing w:after="0" w:line="160" w:lineRule="exact"/>
        <w:rPr>
          <w:sz w:val="20"/>
          <w:szCs w:val="20"/>
          <w:color w:val="auto"/>
        </w:rPr>
      </w:pPr>
    </w:p>
    <w:p>
      <w:pPr>
        <w:ind w:left="446" w:right="180" w:hanging="446"/>
        <w:spacing w:after="0" w:line="277" w:lineRule="auto"/>
        <w:tabs>
          <w:tab w:leader="none" w:pos="446"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PaaS revenue in the first quarter of 2026 increased by 9.8% to US$59.0 million from US$53.7 million in the same period of 2025, primarily due to increasing demand compared with the same period of 2025 and the Company’s strategic focus on customer needs and product enhancements, despite the disruptions in the international business environment due to tariff-related headwinds since April 2025. Our core customer base remained stable.</w:t>
      </w:r>
    </w:p>
    <w:p>
      <w:pPr>
        <w:spacing w:after="0" w:line="116" w:lineRule="exact"/>
        <w:rPr>
          <w:rFonts w:ascii="Arial" w:cs="Arial" w:eastAsia="Arial" w:hAnsi="Arial"/>
          <w:sz w:val="12"/>
          <w:szCs w:val="12"/>
          <w:b w:val="1"/>
          <w:bCs w:val="1"/>
          <w:color w:val="auto"/>
        </w:rPr>
      </w:pPr>
    </w:p>
    <w:p>
      <w:pPr>
        <w:ind w:left="446" w:right="60" w:hanging="446"/>
        <w:spacing w:after="0" w:line="296" w:lineRule="auto"/>
        <w:tabs>
          <w:tab w:leader="none" w:pos="446"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AI application &amp; others revenue in the first quarter of 2026 increased by 16.9% to US$11.6 million from US$10.0 million in the same period of 2025, primarily due to an increase in revenue from cloud based services. During the quarter, the Company remained committed to offering recurring value-added services with AI application functions.</w:t>
      </w:r>
    </w:p>
    <w:p>
      <w:pPr>
        <w:spacing w:after="0" w:line="105" w:lineRule="exact"/>
        <w:rPr>
          <w:rFonts w:ascii="Arial" w:cs="Arial" w:eastAsia="Arial" w:hAnsi="Arial"/>
          <w:sz w:val="12"/>
          <w:szCs w:val="12"/>
          <w:b w:val="1"/>
          <w:bCs w:val="1"/>
          <w:color w:val="auto"/>
        </w:rPr>
      </w:pPr>
    </w:p>
    <w:p>
      <w:pPr>
        <w:ind w:left="446" w:hanging="446"/>
        <w:spacing w:after="0"/>
        <w:tabs>
          <w:tab w:leader="none" w:pos="446"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Smart home &amp; robot product revenue in the first quarter of 2026 decreased by 6.9% to US$10.2 million from US$11.0 million in the same period of 2025.</w:t>
      </w:r>
    </w:p>
    <w:p>
      <w:pPr>
        <w:spacing w:after="0" w:line="33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66"/>
          </w:cols>
          <w:pgMar w:left="294" w:top="666" w:right="33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GROSS PROFIT AND GROSS MARGIN</w:t>
      </w:r>
    </w:p>
    <w:p>
      <w:pPr>
        <w:spacing w:after="0" w:line="162" w:lineRule="exact"/>
        <w:rPr>
          <w:sz w:val="20"/>
          <w:szCs w:val="20"/>
          <w:color w:val="auto"/>
        </w:rPr>
      </w:pPr>
    </w:p>
    <w:p>
      <w:pPr>
        <w:ind w:left="6" w:right="220"/>
        <w:spacing w:after="0" w:line="297" w:lineRule="auto"/>
        <w:rPr>
          <w:sz w:val="20"/>
          <w:szCs w:val="20"/>
          <w:color w:val="auto"/>
        </w:rPr>
      </w:pPr>
      <w:r>
        <w:rPr>
          <w:rFonts w:ascii="Times New Roman" w:cs="Times New Roman" w:eastAsia="Times New Roman" w:hAnsi="Times New Roman"/>
          <w:sz w:val="12"/>
          <w:szCs w:val="12"/>
          <w:color w:val="auto"/>
        </w:rPr>
        <w:t>Total gross profit in the first quarter of 2026 increased by 4.5% to US$37.9 million from US$36.3 million in the same period of 2025. The gross margin in the first quarter of 2026 was 46.9%, compared to 48.5% in the same period of 2025.</w:t>
      </w:r>
    </w:p>
    <w:p>
      <w:pPr>
        <w:spacing w:after="0" w:line="105"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PaaS gross margin in the first quarter of 2026 was 46.1%, compared to 48.4% in the same period of 2025, partly attributable to recent price fluctuations in the semiconductor supply chain.</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AI application &amp; others gross margin in the first quarter of 2026 was 71.7%, compared to 74.4% in the same period of 2025.</w:t>
      </w:r>
    </w:p>
    <w:p>
      <w:pPr>
        <w:spacing w:after="0" w:line="168" w:lineRule="exact"/>
        <w:rPr>
          <w:rFonts w:ascii="Arial" w:cs="Arial" w:eastAsia="Arial" w:hAnsi="Arial"/>
          <w:sz w:val="12"/>
          <w:szCs w:val="12"/>
          <w:b w:val="1"/>
          <w:bCs w:val="1"/>
          <w:color w:val="auto"/>
        </w:rPr>
      </w:pPr>
    </w:p>
    <w:p>
      <w:pPr>
        <w:ind w:left="446" w:hanging="446"/>
        <w:spacing w:after="0"/>
        <w:tabs>
          <w:tab w:leader="none" w:pos="446"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Smart home &amp; robot product gross margin in the first quarter of 2026 was 23.0%, compared to 25.7% in the same period of 2025.</w:t>
      </w:r>
    </w:p>
    <w:p>
      <w:pPr>
        <w:spacing w:after="0" w:line="168" w:lineRule="exact"/>
        <w:rPr>
          <w:sz w:val="20"/>
          <w:szCs w:val="20"/>
          <w:color w:val="auto"/>
        </w:rPr>
      </w:pPr>
    </w:p>
    <w:p>
      <w:pPr>
        <w:ind w:left="6" w:right="500"/>
        <w:spacing w:after="0" w:line="297" w:lineRule="auto"/>
        <w:rPr>
          <w:sz w:val="20"/>
          <w:szCs w:val="20"/>
          <w:color w:val="auto"/>
        </w:rPr>
      </w:pPr>
      <w:r>
        <w:rPr>
          <w:rFonts w:ascii="Times New Roman" w:cs="Times New Roman" w:eastAsia="Times New Roman" w:hAnsi="Times New Roman"/>
          <w:sz w:val="12"/>
          <w:szCs w:val="12"/>
          <w:color w:val="auto"/>
        </w:rPr>
        <w:t>Gross margin fluctuated primarily due to changes in products and solutions mix. As an AI developer platform with a rich ecosystem of smart devices and applications, the Company remains focused on AI offering with compelling value propositions while maintaining economic efficiency.</w:t>
      </w:r>
    </w:p>
    <w:p>
      <w:pPr>
        <w:spacing w:after="0" w:line="1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62" w:lineRule="exact"/>
        <w:rPr>
          <w:sz w:val="20"/>
          <w:szCs w:val="20"/>
          <w:color w:val="auto"/>
        </w:rPr>
      </w:pPr>
    </w:p>
    <w:p>
      <w:pPr>
        <w:ind w:left="6"/>
        <w:spacing w:after="0" w:line="297" w:lineRule="auto"/>
        <w:rPr>
          <w:sz w:val="20"/>
          <w:szCs w:val="20"/>
          <w:color w:val="auto"/>
        </w:rPr>
      </w:pPr>
      <w:r>
        <w:rPr>
          <w:rFonts w:ascii="Times New Roman" w:cs="Times New Roman" w:eastAsia="Times New Roman" w:hAnsi="Times New Roman"/>
          <w:sz w:val="12"/>
          <w:szCs w:val="12"/>
          <w:color w:val="auto"/>
        </w:rPr>
        <w:t>Operating expenses decreased by 19.3% to US$30.4 million in the first quarter of 2026 from US$37.7 million in the same period of 2025. Non-GAAP operating expenses increased by 1.3% to US$29.8 million in the first quarter of 2026 from US$29.4 million in the same period of 2025. For further information on the non-GAAP financial measures presented above, see the section headed “Use of Non-GAAP Financial Measures.”</w:t>
      </w:r>
    </w:p>
    <w:p>
      <w:pPr>
        <w:spacing w:after="0" w:line="105" w:lineRule="exact"/>
        <w:rPr>
          <w:sz w:val="20"/>
          <w:szCs w:val="20"/>
          <w:color w:val="auto"/>
        </w:rPr>
      </w:pPr>
    </w:p>
    <w:p>
      <w:pPr>
        <w:ind w:left="446" w:right="60" w:hanging="446"/>
        <w:spacing w:after="0" w:line="277" w:lineRule="auto"/>
        <w:tabs>
          <w:tab w:leader="none" w:pos="446"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Research and development expenses in the first quarter of 2026 were US$22.0 million, down 3.7% from US$22.8 million in the same period of 2025, primarily due to lower share-based compensation expenses as equity incentive awards granted at higher valuations in previous years have been gradually amortized, partially offset by higher employee-related cost and ongoing investments in research and development capabilities. Non-GAAP adjusted research and development expenses in the first quarter of 2026 were US$21.6 million, compared to US$20.8 million in the same period of 2025.</w:t>
      </w:r>
    </w:p>
    <w:p>
      <w:pPr>
        <w:spacing w:after="0" w:line="116" w:lineRule="exact"/>
        <w:rPr>
          <w:rFonts w:ascii="Arial" w:cs="Arial" w:eastAsia="Arial" w:hAnsi="Arial"/>
          <w:sz w:val="12"/>
          <w:szCs w:val="12"/>
          <w:b w:val="1"/>
          <w:bCs w:val="1"/>
          <w:color w:val="auto"/>
        </w:rPr>
      </w:pPr>
    </w:p>
    <w:p>
      <w:pPr>
        <w:jc w:val="both"/>
        <w:ind w:left="446" w:right="160" w:hanging="446"/>
        <w:spacing w:after="0" w:line="277" w:lineRule="auto"/>
        <w:tabs>
          <w:tab w:leader="none" w:pos="446" w:val="left"/>
        </w:tabs>
        <w:numPr>
          <w:ilvl w:val="0"/>
          <w:numId w:val="7"/>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Sales and marketing expenses in the first quarter of 2026 were US$7.4 million, down 11.1% from US$8.3 million in the same period of 2025, primarily because of lower share-based compensation expenses as equity incentive awards granted at higher valuations in previous years have been gradually amortized and lower operating expenses, partially offset by higher employee-related cost associated with regular team movements. Non-GAAP adjusted sales and marketing expenses in the first quarter of 2026 were US$7.3 million, compared to US$7.6 million in the same period of 2025.</w:t>
      </w:r>
    </w:p>
    <w:p>
      <w:pPr>
        <w:spacing w:after="0" w:line="2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6"/>
          </w:cols>
          <w:pgMar w:left="294" w:top="683" w:right="319" w:bottom="1440" w:gutter="0" w:footer="0" w:header="0"/>
        </w:sectPr>
      </w:pPr>
    </w:p>
    <w:bookmarkStart w:id="8" w:name="page9"/>
    <w:bookmarkEnd w:id="8"/>
    <w:p>
      <w:pPr>
        <w:ind w:left="446" w:right="120" w:hanging="446"/>
        <w:spacing w:after="0" w:line="277" w:lineRule="auto"/>
        <w:tabs>
          <w:tab w:leader="none" w:pos="446"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General and administrative expenses in the first quarter of 2026 were US$4.3 million, down 51.7% from US$8.9 million in the same period of 2025, primarily because of lower share-based compensation expenses as equity incentive awards granted at higher valuations in previous years have been gradually amortized. Non-GAAP adjusted general and administrative expenses in the first quarter of 2026 were US$4.1 million, compared to US$3.4 million in the same period of 2025.</w:t>
      </w:r>
    </w:p>
    <w:p>
      <w:pPr>
        <w:spacing w:after="0" w:line="116" w:lineRule="exact"/>
        <w:rPr>
          <w:rFonts w:ascii="Arial" w:cs="Arial" w:eastAsia="Arial" w:hAnsi="Arial"/>
          <w:sz w:val="12"/>
          <w:szCs w:val="12"/>
          <w:b w:val="1"/>
          <w:bCs w:val="1"/>
          <w:color w:val="auto"/>
        </w:rPr>
      </w:pPr>
    </w:p>
    <w:p>
      <w:pPr>
        <w:ind w:left="446" w:hanging="446"/>
        <w:spacing w:after="0"/>
        <w:tabs>
          <w:tab w:leader="none" w:pos="446"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Other operating income, net in the first quarter of 2026 was US$3.3 million, primarily due to the receipt of software value-added tax refunds.</w:t>
      </w:r>
    </w:p>
    <w:p>
      <w:pPr>
        <w:spacing w:after="0" w:line="1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LOSS/PROFIT FROM OPERATIONS AND OPERATING MARGIN</w:t>
      </w:r>
    </w:p>
    <w:p>
      <w:pPr>
        <w:spacing w:after="0" w:line="162" w:lineRule="exact"/>
        <w:rPr>
          <w:sz w:val="20"/>
          <w:szCs w:val="20"/>
          <w:color w:val="auto"/>
        </w:rPr>
      </w:pPr>
    </w:p>
    <w:p>
      <w:pPr>
        <w:ind w:left="6" w:right="260"/>
        <w:spacing w:after="0" w:line="297" w:lineRule="auto"/>
        <w:rPr>
          <w:sz w:val="20"/>
          <w:szCs w:val="20"/>
          <w:color w:val="auto"/>
        </w:rPr>
      </w:pPr>
      <w:r>
        <w:rPr>
          <w:rFonts w:ascii="Times New Roman" w:cs="Times New Roman" w:eastAsia="Times New Roman" w:hAnsi="Times New Roman"/>
          <w:sz w:val="12"/>
          <w:szCs w:val="12"/>
          <w:color w:val="auto"/>
        </w:rPr>
        <w:t>Profit from operations in the first quarter of 2026 was US$7.5 million, compared to a loss of US$1.5 million in the same period of 2025. The Company had a non-GAAP profit from operations of US$8.1 million in the first quarter of 2026, compared to a non-GAAP profit from operations of US$6.8 million in the same period of 2025, demonstrating consistent operating profitability and leverage.</w:t>
      </w:r>
    </w:p>
    <w:p>
      <w:pPr>
        <w:spacing w:after="0" w:line="105" w:lineRule="exact"/>
        <w:rPr>
          <w:sz w:val="20"/>
          <w:szCs w:val="20"/>
          <w:color w:val="auto"/>
        </w:rPr>
      </w:pPr>
    </w:p>
    <w:p>
      <w:pPr>
        <w:ind w:left="6"/>
        <w:spacing w:after="0" w:line="297" w:lineRule="auto"/>
        <w:rPr>
          <w:sz w:val="20"/>
          <w:szCs w:val="20"/>
          <w:color w:val="auto"/>
        </w:rPr>
      </w:pPr>
      <w:r>
        <w:rPr>
          <w:rFonts w:ascii="Times New Roman" w:cs="Times New Roman" w:eastAsia="Times New Roman" w:hAnsi="Times New Roman"/>
          <w:sz w:val="12"/>
          <w:szCs w:val="12"/>
          <w:color w:val="auto"/>
        </w:rPr>
        <w:t>Operating margin in the first quarter of 2026 was 9.2%, improved by 11.1 percentage points from negative 1.9% in the same period of 2025. Non-GAAP operating margin in the first quarter of 2026 was 10.0%, improved by 0.9 percentage points from 9.1% in the same period of 2025.</w:t>
      </w:r>
    </w:p>
    <w:p>
      <w:pPr>
        <w:spacing w:after="0" w:line="1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NET PROFIT AND NET MARGIN</w:t>
      </w:r>
    </w:p>
    <w:p>
      <w:pPr>
        <w:spacing w:after="0" w:line="162" w:lineRule="exact"/>
        <w:rPr>
          <w:sz w:val="20"/>
          <w:szCs w:val="20"/>
          <w:color w:val="auto"/>
        </w:rPr>
      </w:pPr>
    </w:p>
    <w:p>
      <w:pPr>
        <w:ind w:left="6" w:right="220"/>
        <w:spacing w:after="0" w:line="297" w:lineRule="auto"/>
        <w:rPr>
          <w:sz w:val="20"/>
          <w:szCs w:val="20"/>
          <w:color w:val="auto"/>
        </w:rPr>
      </w:pPr>
      <w:r>
        <w:rPr>
          <w:rFonts w:ascii="Times New Roman" w:cs="Times New Roman" w:eastAsia="Times New Roman" w:hAnsi="Times New Roman"/>
          <w:sz w:val="12"/>
          <w:szCs w:val="12"/>
          <w:color w:val="auto"/>
        </w:rPr>
        <w:t>Net profit in the first quarter of 2026 was US$15.8 million, improved by 43.2 percentage points from US$11.0 million in the same period of 2025, demonstrating consistent profitability and improved leverage, despite being partially impacted by interest rate cuts. Non-GAAP net profit in the first quarter of 2026 was US$16.4 million, compared to US$19.3 million in the same period of 2025.</w:t>
      </w:r>
    </w:p>
    <w:p>
      <w:pPr>
        <w:spacing w:after="0" w:line="105" w:lineRule="exact"/>
        <w:rPr>
          <w:sz w:val="20"/>
          <w:szCs w:val="20"/>
          <w:color w:val="auto"/>
        </w:rPr>
      </w:pPr>
    </w:p>
    <w:p>
      <w:pPr>
        <w:ind w:left="6" w:right="260"/>
        <w:spacing w:after="0" w:line="297" w:lineRule="auto"/>
        <w:rPr>
          <w:sz w:val="20"/>
          <w:szCs w:val="20"/>
          <w:color w:val="auto"/>
        </w:rPr>
      </w:pPr>
      <w:r>
        <w:rPr>
          <w:rFonts w:ascii="Times New Roman" w:cs="Times New Roman" w:eastAsia="Times New Roman" w:hAnsi="Times New Roman"/>
          <w:sz w:val="12"/>
          <w:szCs w:val="12"/>
          <w:color w:val="auto"/>
        </w:rPr>
        <w:t>Net margin in the first quarter of 2026 was 19.5%, improved by 4.7 percentage points from 14.8% in the same period of 2025. Non-GAAP net margin in the first quarter of 2026 was 20.3%, compared to 25.8% in the same period of 2025, mainly affected by interest rate fluctuations.</w:t>
      </w:r>
    </w:p>
    <w:p>
      <w:pPr>
        <w:spacing w:after="0" w:line="10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BASIC AND DILUTED NET PROFIT PER ADS</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Basic and diluted net profit per ADS was US$0.03 in the first quarter of 2026, compared to basic and diluted net profit of US$0.02 in the same period of 2025. Each ADS represents one Class A ordinary share.</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Non-GAAP basic and diluted net profit per ADS was US$0.03 in the first quarter of 2026, compared to non-GAAP basic and diluted net profit of US$0.03 in the same period of 2025.</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 TIME DEPOSITS AND TREASURY SECURITIES RECORDED AS SHORT-TERM AND LONG-TERM INVESTMENTS</w:t>
      </w:r>
    </w:p>
    <w:p>
      <w:pPr>
        <w:spacing w:after="0" w:line="162" w:lineRule="exact"/>
        <w:rPr>
          <w:sz w:val="20"/>
          <w:szCs w:val="20"/>
          <w:color w:val="auto"/>
        </w:rPr>
      </w:pPr>
    </w:p>
    <w:p>
      <w:pPr>
        <w:ind w:left="6"/>
        <w:spacing w:after="0" w:line="297" w:lineRule="auto"/>
        <w:rPr>
          <w:sz w:val="20"/>
          <w:szCs w:val="20"/>
          <w:color w:val="auto"/>
        </w:rPr>
      </w:pPr>
      <w:r>
        <w:rPr>
          <w:rFonts w:ascii="Times New Roman" w:cs="Times New Roman" w:eastAsia="Times New Roman" w:hAnsi="Times New Roman"/>
          <w:sz w:val="12"/>
          <w:szCs w:val="12"/>
          <w:color w:val="auto"/>
        </w:rPr>
        <w:t>Cash and cash equivalents, time deposits and treasury securities recorded as short-term and long-term investments were US$1,017.1 million as of March 31, 2026, compared to US$1,017.3 million as of December 31, 2025. The Company believes its current cash position is sufficient to meet its current liquidity and working capital needs.</w:t>
      </w:r>
    </w:p>
    <w:p>
      <w:pPr>
        <w:spacing w:after="0" w:line="25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46"/>
          </w:cols>
          <w:pgMar w:left="294" w:top="68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i w:val="1"/>
          <w:iCs w:val="1"/>
          <w:color w:val="auto"/>
        </w:rPr>
        <w:t>NET CASH GENERATED FROM OPERATING ACTIVITIES</w:t>
      </w:r>
    </w:p>
    <w:p>
      <w:pPr>
        <w:spacing w:after="0" w:line="16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2"/>
          <w:szCs w:val="12"/>
          <w:color w:val="auto"/>
        </w:rPr>
        <w:t>Net cash generated from operating activities in the first quarter of 2026 was US$6.4 million. The net cash generated from operating activities for the first quarter of 2026 mainly due to working capital changes in the ordinary course of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further information on non-GAAP financial measures presented above, see the section headed “Use of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Outlook</w:t>
      </w:r>
    </w:p>
    <w:p>
      <w:pPr>
        <w:spacing w:after="0" w:line="16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2"/>
          <w:szCs w:val="12"/>
          <w:color w:val="auto"/>
        </w:rPr>
        <w:t>The overall operating environment remains complex, while continuing to show signs of normalization. Participants across the value chain – including manufacturers, brands, and channel partners – are maintaining a cautiously optimistic to planning. At the same time, we have observed more normalized project execution and continuous demand recovering across several of our core categories, suggesting that the market is gradually moving from adjustment toward a more stable operating rhythm.</w:t>
      </w:r>
    </w:p>
    <w:p>
      <w:pPr>
        <w:spacing w:after="0" w:line="116"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2"/>
          <w:szCs w:val="12"/>
          <w:color w:val="auto"/>
        </w:rPr>
        <w:t>Meanwhile, global AI development is entering a new stage of application-led growth. As AI technologies continue to evolve from foundational capabilities toward real-world deployment, enterprises and consumers are increasingly focused on practical use cases, scalable implementation, and scenario-based integration with physical devices. This trend is accelerating the convergence of AI and smart hardware, and is creating new opportunities for application innovation, product expansion, and ecosystem collaboration across a wide range of verticals.</w:t>
      </w:r>
    </w:p>
    <w:p>
      <w:pPr>
        <w:spacing w:after="0" w:line="11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2"/>
          <w:szCs w:val="12"/>
          <w:color w:val="auto"/>
        </w:rPr>
        <w:t>Against this backdrop, Tuya continues to advance its AI-driven strategy by strengthening its AI developer platform, expanding application-level capabilities, and supporting broader deployment across diverse smart device and industry scenarios. The ongoing evolution of AI applications, together with its platform capabilities, ecosystem strengths, and global developer base, will continue to support the creation of diversified, higher-value opportunities over the long term.</w:t>
      </w:r>
    </w:p>
    <w:p>
      <w:pPr>
        <w:spacing w:after="0" w:line="11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2"/>
          <w:szCs w:val="12"/>
          <w:color w:val="auto"/>
        </w:rPr>
        <w:t>In this environment, the Company will continue to maintain disciplined execution while selectively investing in AI-driven applications, platform capabilities, and ecosystem development. In response to this evolving market environment, the Company will continue to iterate and improve its products and services, enhance both software and hardware capabilities, and further support customers and developers in bringing AI-driven applications into practical deployment. At the same time, the Company recognizes that its future trajectory may continue to be influenced by a range of external factors, including shifts in consumer demand, regional economic divergence, inventory dynamics, foreign exchange and interest rate volatility, tariffs and trade policy adjustments, and broader geopolitical uncertainties.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60"/>
          </w:cols>
          <w:pgMar w:left="300" w:top="6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62"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2"/>
          <w:szCs w:val="12"/>
          <w:color w:val="auto"/>
        </w:rPr>
        <w:t>The Company’s management will hold a conference call at 08:30 P.M. U.S. Eastern Time on Monday, May 11, 2026 (08:30 A.M. Hong Kong Time on Tuesday, May 12, 2026) to discuss the financial results. In advance of the conference call, all participants must use the following links to complete the online registration process. Upon registering, each participant will receive the dial-in information and a unique PIN (personal access code) to join the call as well as an email confirmation with the details.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Participants Online Webcast Registration: </w:t>
      </w:r>
      <w:r>
        <w:rPr>
          <w:rFonts w:ascii="Times New Roman" w:cs="Times New Roman" w:eastAsia="Times New Roman" w:hAnsi="Times New Roman"/>
          <w:sz w:val="12"/>
          <w:szCs w:val="12"/>
          <w:u w:val="single" w:color="auto"/>
          <w:color w:val="auto"/>
        </w:rPr>
        <w:t>https://edge.media-server.com/mmc/p/ac9ndekb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Participants Call Registration: </w:t>
      </w:r>
      <w:r>
        <w:rPr>
          <w:rFonts w:ascii="Times New Roman" w:cs="Times New Roman" w:eastAsia="Times New Roman" w:hAnsi="Times New Roman"/>
          <w:sz w:val="12"/>
          <w:szCs w:val="12"/>
          <w:u w:val="single" w:color="auto"/>
          <w:color w:val="auto"/>
        </w:rPr>
        <w:t>https://register-conf.media-server.com/register/BIb902b42554034c629830165e2265dee8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2"/>
          <w:szCs w:val="12"/>
          <w:u w:val="single" w:color="auto"/>
          <w:color w:val="auto"/>
        </w:rPr>
        <w:t>https://ir.tuya.com</w:t>
      </w:r>
      <w:r>
        <w:rPr>
          <w:rFonts w:ascii="Times New Roman" w:cs="Times New Roman" w:eastAsia="Times New Roman" w:hAnsi="Times New Roman"/>
          <w:sz w:val="12"/>
          <w:szCs w:val="12"/>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Tuya Inc.</w:t>
      </w:r>
    </w:p>
    <w:p>
      <w:pPr>
        <w:spacing w:after="0" w:line="1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2"/>
          <w:szCs w:val="12"/>
          <w:color w:val="auto"/>
        </w:rPr>
        <w:t>Tuya Inc. (NYSE: TUYA; HKEX: 2391) is a global leading AI cloud platform service provider with a mission to build an AI developer ecosystem and enable everything to be smart. Tuya has pioneered a purpose-built AI cloud platform with cloud and generative AI capabilities that delivers a full suite of offerings, including Platform-as-a-Service, or PaaS, AI application &amp; others and Smart home &amp; robot products for developers of smart device, commercial applications, and industries. Through its AI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Financial Measures</w:t>
      </w:r>
    </w:p>
    <w:p>
      <w:pPr>
        <w:spacing w:after="0" w:line="1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2"/>
          <w:szCs w:val="12"/>
          <w:color w:val="auto"/>
        </w:rPr>
        <w:t>In evaluating the business, the Company considers and uses non-GAAP financial measures, such as non-GAAP operating expenses, non-GAAP profit from operations (including non-GAAP operating margin), non-GAAP net profit (including non-GAAP net margin), and non-GAAP basic and diluted net profit per ADS, as supplemental measures to review and assess its operating performance. The presentation of non-GAAP financial measures is not intended to be considered in isolation or as a substitute for the financial information prepared and presented in accordance with generally accepted accounting principles in the United States of America (“U.S. GAAP”). The Company defines non-GAAP financial measures by excluding the impact of share-based compensation expenses from the respective GAAP financial measures. The Company presents the non-GAAP financial measures because they are used by the management to evaluate its operating performance and formulate business plans. The Company also believes that the use of the non-GAAP financial measures facilitates investors’ assessment of its operating performance.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11" w:name="page12"/>
    <w:bookmarkEnd w:id="11"/>
    <w:p>
      <w:pPr>
        <w:ind w:right="40"/>
        <w:spacing w:after="0" w:line="268" w:lineRule="auto"/>
        <w:rPr>
          <w:sz w:val="20"/>
          <w:szCs w:val="20"/>
          <w:color w:val="auto"/>
        </w:rPr>
      </w:pPr>
      <w:r>
        <w:rPr>
          <w:rFonts w:ascii="Times New Roman" w:cs="Times New Roman" w:eastAsia="Times New Roman" w:hAnsi="Times New Roman"/>
          <w:sz w:val="12"/>
          <w:szCs w:val="12"/>
          <w:color w:val="auto"/>
        </w:rPr>
        <w:t>Non-GAAP financial measures are not defined under U.S. GAAP and are not presented in accordance with U.S. GAAP. Non-GAAP financial measures have limitations as analytical tools. One of the key limitations of using the aforementioned non-GAAP financial measures is that they do not reflect all items of expenses that affect the Company’s operations. Share-based compensation expenses have been and may continue to be incurred in the business and are not reflected in the presentation of non-GAAP measures. Further, the non-GAAP financial measures may differ from the non-GAAP information used by other companies, including peer companies, and therefore their comparability may be limited. The Company compensates for these limitations by reconciling the non-GAAP measures to the most directly comparable U.S. GAAP measures, all of which should be considered when evaluating the Company’s performance. The Company encourages you to review its financial information in its entirety and not rely on a single financial measure.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Reconciliations of Tuya’s non-GAAP financial measures to the most comparable U.S. GAAP measures are included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 Harbor Statement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2"/>
          <w:szCs w:val="12"/>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statements.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The forward-looking statements included in this press release are only made as of the date hereof, and the Company disclaims any obligation to publicly update any forward-looking statements to reflect subsequent events or circumstances, except as required by law. All forward-looking statements should be evaluated with the understanding of their inherent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Tuya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ir@tuya.com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HL Strategy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Haiyan LI-LABBE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hl@hl-strategy.com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Piacente Financial Communications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China Tel: +86-10-6508-0677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 Tel: +1-212-481-2050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tuya@thepiacentegroup.com</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2025 AND MARCH 31, 2026</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As of</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49"/>
        </w:trPr>
        <w:tc>
          <w:tcPr>
            <w:tcW w:w="4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December 31,</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March 31,</w:t>
            </w:r>
          </w:p>
        </w:tc>
      </w:tr>
      <w:tr>
        <w:trPr>
          <w:trHeight w:val="163"/>
        </w:trPr>
        <w:tc>
          <w:tcPr>
            <w:tcW w:w="4140" w:type="dxa"/>
            <w:vAlign w:val="bottom"/>
          </w:tcPr>
          <w:p>
            <w:pPr>
              <w:spacing w:after="0"/>
              <w:rPr>
                <w:sz w:val="14"/>
                <w:szCs w:val="14"/>
                <w:color w:val="auto"/>
              </w:rPr>
            </w:pPr>
          </w:p>
        </w:tc>
        <w:tc>
          <w:tcPr>
            <w:tcW w:w="558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20" w:type="dxa"/>
            <w:vAlign w:val="bottom"/>
          </w:tcPr>
          <w:p>
            <w:pPr>
              <w:spacing w:after="0"/>
              <w:rPr>
                <w:sz w:val="14"/>
                <w:szCs w:val="14"/>
                <w:color w:val="auto"/>
              </w:rPr>
            </w:pPr>
          </w:p>
        </w:tc>
      </w:tr>
      <w:tr>
        <w:trPr>
          <w:trHeight w:val="13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3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890,708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912,447</w:t>
            </w:r>
          </w:p>
        </w:tc>
        <w:tc>
          <w:tcPr>
            <w:tcW w:w="120" w:type="dxa"/>
            <w:vAlign w:val="bottom"/>
            <w:shd w:val="clear" w:color="auto" w:fill="CCEEFF"/>
          </w:tcPr>
          <w:p>
            <w:pPr>
              <w:spacing w:after="0"/>
              <w:rPr>
                <w:sz w:val="12"/>
                <w:szCs w:val="12"/>
                <w:color w:val="auto"/>
              </w:rPr>
            </w:pP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43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120" w:type="dxa"/>
            <w:vAlign w:val="bottom"/>
          </w:tcPr>
          <w:p>
            <w:pPr>
              <w:spacing w:after="0"/>
              <w:rPr>
                <w:sz w:val="12"/>
                <w:szCs w:val="12"/>
                <w:color w:val="auto"/>
              </w:rPr>
            </w:pP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Short-term investments</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61,770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38,705</w:t>
            </w: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13,193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13,028</w:t>
            </w: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Notes receivable, net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10,111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11,066</w:t>
            </w: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Inventories, net</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30,943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43,699</w:t>
            </w:r>
          </w:p>
        </w:tc>
      </w:tr>
      <w:tr>
        <w:trPr>
          <w:trHeight w:val="15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Prepayments and other current assets, net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16,486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19,457</w:t>
            </w:r>
          </w:p>
        </w:tc>
      </w:tr>
      <w:tr>
        <w:trPr>
          <w:trHeight w:val="138"/>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43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1,023,211</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1,038,410</w:t>
            </w:r>
          </w:p>
        </w:tc>
        <w:tc>
          <w:tcPr>
            <w:tcW w:w="120" w:type="dxa"/>
            <w:vAlign w:val="bottom"/>
            <w:tcBorders>
              <w:bottom w:val="single" w:sz="8" w:color="CCEEFF"/>
            </w:tcBorders>
          </w:tcPr>
          <w:p>
            <w:pPr>
              <w:spacing w:after="0"/>
              <w:rPr>
                <w:sz w:val="12"/>
                <w:szCs w:val="12"/>
                <w:color w:val="auto"/>
              </w:rPr>
            </w:pPr>
          </w:p>
        </w:tc>
      </w:tr>
      <w:tr>
        <w:trPr>
          <w:trHeight w:val="13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4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245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249</w:t>
            </w:r>
          </w:p>
        </w:tc>
        <w:tc>
          <w:tcPr>
            <w:tcW w:w="120" w:type="dxa"/>
            <w:vAlign w:val="bottom"/>
          </w:tcPr>
          <w:p>
            <w:pPr>
              <w:spacing w:after="0"/>
              <w:rPr>
                <w:sz w:val="12"/>
                <w:szCs w:val="12"/>
                <w:color w:val="auto"/>
              </w:rPr>
            </w:pP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15,653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25,143</w:t>
            </w: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Land use rights, net</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8,843</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8,936</w:t>
            </w:r>
          </w:p>
        </w:tc>
        <w:tc>
          <w:tcPr>
            <w:tcW w:w="120" w:type="dxa"/>
            <w:vAlign w:val="bottom"/>
          </w:tcPr>
          <w:p>
            <w:pPr>
              <w:spacing w:after="0"/>
              <w:rPr>
                <w:sz w:val="12"/>
                <w:szCs w:val="12"/>
                <w:color w:val="auto"/>
              </w:rPr>
            </w:pP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5,649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9,890</w:t>
            </w:r>
          </w:p>
        </w:tc>
        <w:tc>
          <w:tcPr>
            <w:tcW w:w="120" w:type="dxa"/>
            <w:vAlign w:val="bottom"/>
            <w:shd w:val="clear" w:color="auto" w:fill="CCEEFF"/>
          </w:tcPr>
          <w:p>
            <w:pPr>
              <w:spacing w:after="0"/>
              <w:rPr>
                <w:sz w:val="12"/>
                <w:szCs w:val="12"/>
                <w:color w:val="auto"/>
              </w:rPr>
            </w:pP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Long-term investments</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77,213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78,843</w:t>
            </w:r>
          </w:p>
        </w:tc>
      </w:tr>
      <w:tr>
        <w:trPr>
          <w:trHeight w:val="15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non-current assets, net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988</w:t>
            </w:r>
          </w:p>
        </w:tc>
        <w:tc>
          <w:tcPr>
            <w:tcW w:w="120" w:type="dxa"/>
            <w:vAlign w:val="bottom"/>
            <w:shd w:val="clear" w:color="auto" w:fill="CCEEFF"/>
          </w:tcPr>
          <w:p>
            <w:pPr>
              <w:spacing w:after="0"/>
              <w:rPr>
                <w:sz w:val="13"/>
                <w:szCs w:val="13"/>
                <w:color w:val="auto"/>
              </w:rPr>
            </w:pPr>
          </w:p>
        </w:tc>
      </w:tr>
      <w:tr>
        <w:trPr>
          <w:trHeight w:val="138"/>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43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109,303</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124,049</w:t>
            </w:r>
          </w:p>
        </w:tc>
        <w:tc>
          <w:tcPr>
            <w:tcW w:w="120" w:type="dxa"/>
            <w:vAlign w:val="bottom"/>
            <w:tcBorders>
              <w:bottom w:val="single" w:sz="8" w:color="CCEEFF"/>
            </w:tcBorders>
          </w:tcPr>
          <w:p>
            <w:pPr>
              <w:spacing w:after="0"/>
              <w:rPr>
                <w:sz w:val="12"/>
                <w:szCs w:val="12"/>
                <w:color w:val="auto"/>
              </w:rPr>
            </w:pPr>
          </w:p>
        </w:tc>
      </w:tr>
      <w:tr>
        <w:trPr>
          <w:trHeight w:val="167"/>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4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1,132,514</w:t>
            </w: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1,162,459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36"/>
        </w:trPr>
        <w:tc>
          <w:tcPr>
            <w:tcW w:w="41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4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4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31,778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38,836</w:t>
            </w: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Advances from customers</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29,330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32,083</w:t>
            </w: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revenue, current</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9,732</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9,148</w:t>
            </w:r>
          </w:p>
        </w:tc>
        <w:tc>
          <w:tcPr>
            <w:tcW w:w="120" w:type="dxa"/>
            <w:vAlign w:val="bottom"/>
          </w:tcPr>
          <w:p>
            <w:pPr>
              <w:spacing w:after="0"/>
              <w:rPr>
                <w:sz w:val="12"/>
                <w:szCs w:val="12"/>
                <w:color w:val="auto"/>
              </w:rPr>
            </w:pPr>
          </w:p>
        </w:tc>
      </w:tr>
      <w:tr>
        <w:trPr>
          <w:trHeight w:val="14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Accruals and other current liabilities</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33,261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65,585</w:t>
            </w: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Incomes tax payables</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142</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244</w:t>
            </w:r>
          </w:p>
        </w:tc>
        <w:tc>
          <w:tcPr>
            <w:tcW w:w="120" w:type="dxa"/>
            <w:vAlign w:val="bottom"/>
          </w:tcPr>
          <w:p>
            <w:pPr>
              <w:spacing w:after="0"/>
              <w:rPr>
                <w:sz w:val="12"/>
                <w:szCs w:val="12"/>
                <w:color w:val="auto"/>
              </w:rPr>
            </w:pPr>
          </w:p>
        </w:tc>
      </w:tr>
      <w:tr>
        <w:trPr>
          <w:trHeight w:val="15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Lease liabilities, current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1,985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3,638</w:t>
            </w:r>
          </w:p>
        </w:tc>
        <w:tc>
          <w:tcPr>
            <w:tcW w:w="120" w:type="dxa"/>
            <w:vAlign w:val="bottom"/>
            <w:shd w:val="clear" w:color="auto" w:fill="CCEEFF"/>
          </w:tcPr>
          <w:p>
            <w:pPr>
              <w:spacing w:after="0"/>
              <w:rPr>
                <w:sz w:val="13"/>
                <w:szCs w:val="13"/>
                <w:color w:val="auto"/>
              </w:rPr>
            </w:pPr>
          </w:p>
        </w:tc>
      </w:tr>
      <w:tr>
        <w:trPr>
          <w:trHeight w:val="138"/>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43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106,228</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149,534</w:t>
            </w:r>
          </w:p>
        </w:tc>
        <w:tc>
          <w:tcPr>
            <w:tcW w:w="120" w:type="dxa"/>
            <w:vAlign w:val="bottom"/>
            <w:tcBorders>
              <w:bottom w:val="single" w:sz="8" w:color="CCEEFF"/>
            </w:tcBorders>
          </w:tcPr>
          <w:p>
            <w:pPr>
              <w:spacing w:after="0"/>
              <w:rPr>
                <w:sz w:val="12"/>
                <w:szCs w:val="12"/>
                <w:color w:val="auto"/>
              </w:rPr>
            </w:pPr>
          </w:p>
        </w:tc>
      </w:tr>
      <w:tr>
        <w:trPr>
          <w:trHeight w:val="138"/>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4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liabilities, non-current</w:t>
            </w:r>
          </w:p>
        </w:tc>
        <w:tc>
          <w:tcPr>
            <w:tcW w:w="5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3,329</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6,418</w:t>
            </w:r>
          </w:p>
        </w:tc>
        <w:tc>
          <w:tcPr>
            <w:tcW w:w="120" w:type="dxa"/>
            <w:vAlign w:val="bottom"/>
          </w:tcPr>
          <w:p>
            <w:pPr>
              <w:spacing w:after="0"/>
              <w:rPr>
                <w:sz w:val="12"/>
                <w:szCs w:val="12"/>
                <w:color w:val="auto"/>
              </w:rPr>
            </w:pPr>
          </w:p>
        </w:tc>
      </w:tr>
      <w:tr>
        <w:trPr>
          <w:trHeight w:val="158"/>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revenue, non-current</w:t>
            </w:r>
          </w:p>
        </w:tc>
        <w:tc>
          <w:tcPr>
            <w:tcW w:w="5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683</w:t>
            </w:r>
          </w:p>
        </w:tc>
        <w:tc>
          <w:tcPr>
            <w:tcW w:w="120" w:type="dxa"/>
            <w:vAlign w:val="bottom"/>
            <w:shd w:val="clear" w:color="auto" w:fill="CCEEFF"/>
          </w:tcPr>
          <w:p>
            <w:pPr>
              <w:spacing w:after="0"/>
              <w:rPr>
                <w:sz w:val="13"/>
                <w:szCs w:val="13"/>
                <w:color w:val="auto"/>
              </w:rPr>
            </w:pPr>
          </w:p>
        </w:tc>
      </w:tr>
      <w:tr>
        <w:trPr>
          <w:trHeight w:val="138"/>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43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3,681</w:t>
            </w:r>
          </w:p>
        </w:tc>
        <w:tc>
          <w:tcPr>
            <w:tcW w:w="22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7,101</w:t>
            </w:r>
          </w:p>
        </w:tc>
        <w:tc>
          <w:tcPr>
            <w:tcW w:w="120" w:type="dxa"/>
            <w:vAlign w:val="bottom"/>
            <w:tcBorders>
              <w:bottom w:val="single" w:sz="8" w:color="CCEEFF"/>
            </w:tcBorders>
          </w:tcPr>
          <w:p>
            <w:pPr>
              <w:spacing w:after="0"/>
              <w:rPr>
                <w:sz w:val="12"/>
                <w:szCs w:val="12"/>
                <w:color w:val="auto"/>
              </w:rPr>
            </w:pPr>
          </w:p>
        </w:tc>
      </w:tr>
      <w:tr>
        <w:trPr>
          <w:trHeight w:val="167"/>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4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109,909</w:t>
            </w: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156,635</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434"/>
        </w:trPr>
        <w:tc>
          <w:tcPr>
            <w:tcW w:w="41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right"/>
              <w:ind w:right="2738"/>
              <w:spacing w:after="0"/>
              <w:rPr>
                <w:sz w:val="20"/>
                <w:szCs w:val="20"/>
                <w:color w:val="auto"/>
              </w:rPr>
            </w:pPr>
            <w:r>
              <w:rPr>
                <w:rFonts w:ascii="Times New Roman" w:cs="Times New Roman" w:eastAsia="Times New Roman" w:hAnsi="Times New Roman"/>
                <w:sz w:val="12"/>
                <w:szCs w:val="12"/>
                <w:color w:val="auto"/>
              </w:rPr>
              <w:t>9</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BALANCE SHEETS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2025 AND MARCH 31, 2026</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As of</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December 31,</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586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46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Ordinary shares</w:t>
            </w:r>
          </w:p>
        </w:tc>
        <w:tc>
          <w:tcPr>
            <w:tcW w:w="46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Class A ordinary shares</w:t>
            </w:r>
          </w:p>
        </w:tc>
        <w:tc>
          <w:tcPr>
            <w:tcW w:w="6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Class B ordinary shares</w:t>
            </w:r>
          </w:p>
        </w:tc>
        <w:tc>
          <w:tcPr>
            <w:tcW w:w="60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Treasury stock</w:t>
            </w:r>
          </w:p>
        </w:tc>
        <w:tc>
          <w:tcPr>
            <w:tcW w:w="6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149"/>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8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1,549,389</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1,512,933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6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(14,842)</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(10,943)</w:t>
            </w:r>
          </w:p>
        </w:tc>
        <w:tc>
          <w:tcPr>
            <w:tcW w:w="0" w:type="dxa"/>
            <w:vAlign w:val="bottom"/>
          </w:tcPr>
          <w:p>
            <w:pPr>
              <w:spacing w:after="0"/>
              <w:rPr>
                <w:sz w:val="1"/>
                <w:szCs w:val="1"/>
                <w:color w:val="auto"/>
              </w:rPr>
            </w:pPr>
          </w:p>
        </w:tc>
      </w:tr>
      <w:tr>
        <w:trPr>
          <w:trHeight w:val="176"/>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462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(511,961)</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(496,185)</w:t>
            </w:r>
          </w:p>
        </w:tc>
        <w:tc>
          <w:tcPr>
            <w:tcW w:w="0" w:type="dxa"/>
            <w:vAlign w:val="bottom"/>
          </w:tcPr>
          <w:p>
            <w:pPr>
              <w:spacing w:after="0"/>
              <w:rPr>
                <w:sz w:val="1"/>
                <w:szCs w:val="1"/>
                <w:color w:val="auto"/>
              </w:rPr>
            </w:pPr>
          </w:p>
        </w:tc>
      </w:tr>
      <w:tr>
        <w:trPr>
          <w:trHeight w:val="28"/>
        </w:trPr>
        <w:tc>
          <w:tcPr>
            <w:tcW w:w="3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46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vMerge w:val="continue"/>
            <w:shd w:val="clear" w:color="auto" w:fill="CCEEFF"/>
          </w:tcPr>
          <w:p>
            <w:pPr>
              <w:spacing w:after="0"/>
              <w:rPr>
                <w:sz w:val="15"/>
                <w:szCs w:val="15"/>
                <w:color w:val="auto"/>
              </w:rPr>
            </w:pPr>
          </w:p>
        </w:tc>
        <w:tc>
          <w:tcPr>
            <w:tcW w:w="46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1,022,605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1,005,824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1,132,514</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1,162,459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3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2718"/>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4" w:right="2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COMPREHENSIVE INCOME</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820" w:type="dxa"/>
            <w:vAlign w:val="bottom"/>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0" w:type="dxa"/>
            <w:vAlign w:val="bottom"/>
          </w:tcPr>
          <w:p>
            <w:pPr>
              <w:spacing w:after="0"/>
              <w:rPr>
                <w:sz w:val="1"/>
                <w:szCs w:val="1"/>
                <w:color w:val="auto"/>
              </w:rPr>
            </w:pPr>
          </w:p>
        </w:tc>
      </w:tr>
      <w:tr>
        <w:trPr>
          <w:trHeight w:val="124"/>
        </w:trPr>
        <w:tc>
          <w:tcPr>
            <w:tcW w:w="43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2"/>
                <w:szCs w:val="12"/>
                <w:color w:val="auto"/>
              </w:rPr>
              <w:t>March 31,</w:t>
            </w:r>
          </w:p>
        </w:tc>
        <w:tc>
          <w:tcPr>
            <w:tcW w:w="1240" w:type="dxa"/>
            <w:vAlign w:val="bottom"/>
            <w:tcBorders>
              <w:top w:val="single" w:sz="8" w:color="auto"/>
            </w:tcBorders>
          </w:tcPr>
          <w:p>
            <w:pPr>
              <w:jc w:val="right"/>
              <w:ind w:right="298"/>
              <w:spacing w:after="0" w:line="12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300" w:type="dxa"/>
            <w:vAlign w:val="bottom"/>
          </w:tcPr>
          <w:p>
            <w:pPr>
              <w:spacing w:after="0"/>
              <w:rPr>
                <w:sz w:val="14"/>
                <w:szCs w:val="14"/>
                <w:color w:val="auto"/>
              </w:rPr>
            </w:pPr>
          </w:p>
        </w:tc>
        <w:tc>
          <w:tcPr>
            <w:tcW w:w="542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4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74,687</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80,882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56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(38,436)</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(42,984)</w:t>
            </w:r>
          </w:p>
        </w:tc>
        <w:tc>
          <w:tcPr>
            <w:tcW w:w="0" w:type="dxa"/>
            <w:vAlign w:val="bottom"/>
          </w:tcPr>
          <w:p>
            <w:pPr>
              <w:spacing w:after="0"/>
              <w:rPr>
                <w:sz w:val="1"/>
                <w:szCs w:val="1"/>
                <w:color w:val="auto"/>
              </w:rPr>
            </w:pPr>
          </w:p>
        </w:tc>
      </w:tr>
      <w:tr>
        <w:trPr>
          <w:trHeight w:val="147"/>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4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36,251</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37,898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5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(22,810)</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(21,972)</w:t>
            </w:r>
          </w:p>
        </w:tc>
        <w:tc>
          <w:tcPr>
            <w:tcW w:w="0" w:type="dxa"/>
            <w:vAlign w:val="bottom"/>
          </w:tcPr>
          <w:p>
            <w:pPr>
              <w:spacing w:after="0"/>
              <w:rPr>
                <w:sz w:val="1"/>
                <w:szCs w:val="1"/>
                <w:color w:val="auto"/>
              </w:rPr>
            </w:pPr>
          </w:p>
        </w:tc>
      </w:tr>
      <w:tr>
        <w:trPr>
          <w:trHeight w:val="149"/>
        </w:trPr>
        <w:tc>
          <w:tcPr>
            <w:tcW w:w="4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Sales and marketing expenses</w:t>
            </w:r>
          </w:p>
        </w:tc>
        <w:tc>
          <w:tcPr>
            <w:tcW w:w="56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(8,347)</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(7,420)</w:t>
            </w: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5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(8,929)</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(4,315)</w:t>
            </w:r>
          </w:p>
        </w:tc>
        <w:tc>
          <w:tcPr>
            <w:tcW w:w="0" w:type="dxa"/>
            <w:vAlign w:val="bottom"/>
          </w:tcPr>
          <w:p>
            <w:pPr>
              <w:spacing w:after="0"/>
              <w:rPr>
                <w:sz w:val="1"/>
                <w:szCs w:val="1"/>
                <w:color w:val="auto"/>
              </w:rPr>
            </w:pPr>
          </w:p>
        </w:tc>
      </w:tr>
      <w:tr>
        <w:trPr>
          <w:trHeight w:val="158"/>
        </w:trPr>
        <w:tc>
          <w:tcPr>
            <w:tcW w:w="4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operating incomes, net</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2,383</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4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(37,703)</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(30,426)</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(Loss)/profit from operations</w:t>
            </w:r>
          </w:p>
        </w:tc>
        <w:tc>
          <w:tcPr>
            <w:tcW w:w="41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(1,452)</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7,472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w:t>
            </w:r>
          </w:p>
        </w:tc>
        <w:tc>
          <w:tcPr>
            <w:tcW w:w="4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non-operating income, net</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767</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Financial income, net</w:t>
            </w:r>
          </w:p>
        </w:tc>
        <w:tc>
          <w:tcPr>
            <w:tcW w:w="5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12,395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exchange gain/(loss), net</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44</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(1,526)</w:t>
            </w:r>
          </w:p>
        </w:tc>
        <w:tc>
          <w:tcPr>
            <w:tcW w:w="0" w:type="dxa"/>
            <w:vAlign w:val="bottom"/>
          </w:tcPr>
          <w:p>
            <w:pPr>
              <w:spacing w:after="0"/>
              <w:rPr>
                <w:sz w:val="1"/>
                <w:szCs w:val="1"/>
                <w:color w:val="auto"/>
              </w:rPr>
            </w:pPr>
          </w:p>
        </w:tc>
      </w:tr>
      <w:tr>
        <w:trPr>
          <w:trHeight w:val="13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Profit before income tax expense</w:t>
            </w:r>
          </w:p>
        </w:tc>
        <w:tc>
          <w:tcPr>
            <w:tcW w:w="4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11,754</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16,209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 expense</w:t>
            </w:r>
          </w:p>
        </w:tc>
        <w:tc>
          <w:tcPr>
            <w:tcW w:w="41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(737)</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(433)</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4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00" w:type="dxa"/>
            <w:vAlign w:val="bottom"/>
            <w:vMerge w:val="continue"/>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15,776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profit attributable to Tuya Inc.</w:t>
            </w:r>
          </w:p>
        </w:tc>
        <w:tc>
          <w:tcPr>
            <w:tcW w:w="4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00" w:type="dxa"/>
            <w:vAlign w:val="bottom"/>
            <w:vMerge w:val="continue"/>
          </w:tcPr>
          <w:p>
            <w:pPr>
              <w:spacing w:after="0"/>
              <w:rPr>
                <w:sz w:val="14"/>
                <w:szCs w:val="14"/>
                <w:color w:val="auto"/>
              </w:rPr>
            </w:pPr>
          </w:p>
        </w:tc>
        <w:tc>
          <w:tcPr>
            <w:tcW w:w="418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15,776</w:t>
            </w:r>
          </w:p>
        </w:tc>
        <w:tc>
          <w:tcPr>
            <w:tcW w:w="0" w:type="dxa"/>
            <w:vAlign w:val="bottom"/>
          </w:tcPr>
          <w:p>
            <w:pPr>
              <w:spacing w:after="0"/>
              <w:rPr>
                <w:sz w:val="1"/>
                <w:szCs w:val="1"/>
                <w:color w:val="auto"/>
              </w:rPr>
            </w:pPr>
          </w:p>
        </w:tc>
      </w:tr>
      <w:tr>
        <w:trPr>
          <w:trHeight w:val="28"/>
        </w:trPr>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profit attribute to ordinary shareholders</w:t>
            </w:r>
          </w:p>
        </w:tc>
        <w:tc>
          <w:tcPr>
            <w:tcW w:w="418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vMerge w:val="continue"/>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11,017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15,776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4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418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15,776</w:t>
            </w:r>
          </w:p>
        </w:tc>
        <w:tc>
          <w:tcPr>
            <w:tcW w:w="0" w:type="dxa"/>
            <w:vAlign w:val="bottom"/>
          </w:tcPr>
          <w:p>
            <w:pPr>
              <w:spacing w:after="0"/>
              <w:rPr>
                <w:sz w:val="1"/>
                <w:szCs w:val="1"/>
                <w:color w:val="auto"/>
              </w:rPr>
            </w:pPr>
          </w:p>
        </w:tc>
      </w:tr>
      <w:tr>
        <w:trPr>
          <w:trHeight w:val="158"/>
        </w:trPr>
        <w:tc>
          <w:tcPr>
            <w:tcW w:w="4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income Foreign currency translation</w:t>
            </w:r>
          </w:p>
        </w:tc>
        <w:tc>
          <w:tcPr>
            <w:tcW w:w="41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3,899</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income attributable to Tuya Inc.</w:t>
            </w:r>
          </w:p>
        </w:tc>
        <w:tc>
          <w:tcPr>
            <w:tcW w:w="5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11,194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19,675</w:t>
            </w:r>
          </w:p>
        </w:tc>
        <w:tc>
          <w:tcPr>
            <w:tcW w:w="0" w:type="dxa"/>
            <w:vAlign w:val="bottom"/>
          </w:tcPr>
          <w:p>
            <w:pPr>
              <w:spacing w:after="0"/>
              <w:rPr>
                <w:sz w:val="1"/>
                <w:szCs w:val="1"/>
                <w:color w:val="auto"/>
              </w:rPr>
            </w:pPr>
          </w:p>
        </w:tc>
      </w:tr>
      <w:tr>
        <w:trPr>
          <w:trHeight w:val="446"/>
        </w:trPr>
        <w:tc>
          <w:tcPr>
            <w:tcW w:w="43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right"/>
              <w:ind w:right="2718"/>
              <w:spacing w:after="0"/>
              <w:rPr>
                <w:sz w:val="20"/>
                <w:szCs w:val="20"/>
                <w:color w:val="auto"/>
              </w:rPr>
            </w:pPr>
            <w:r>
              <w:rPr>
                <w:rFonts w:ascii="Times New Roman" w:cs="Times New Roman" w:eastAsia="Times New Roman" w:hAnsi="Times New Roman"/>
                <w:sz w:val="12"/>
                <w:szCs w:val="12"/>
                <w:color w:val="auto"/>
              </w:rPr>
              <w:t>11</w:t>
            </w: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4" w:right="29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COMPREHENSIVE INCOME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r>
      <w:tr>
        <w:trPr>
          <w:trHeight w:val="124"/>
        </w:trPr>
        <w:tc>
          <w:tcPr>
            <w:tcW w:w="5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25" w:lineRule="exact"/>
              <w:rPr>
                <w:sz w:val="20"/>
                <w:szCs w:val="20"/>
                <w:color w:val="auto"/>
              </w:rPr>
            </w:pPr>
            <w:r>
              <w:rPr>
                <w:rFonts w:ascii="Times New Roman" w:cs="Times New Roman" w:eastAsia="Times New Roman" w:hAnsi="Times New Roman"/>
                <w:sz w:val="12"/>
                <w:szCs w:val="12"/>
                <w:color w:val="auto"/>
              </w:rPr>
              <w:t>March 31,</w:t>
            </w:r>
          </w:p>
        </w:tc>
        <w:tc>
          <w:tcPr>
            <w:tcW w:w="1240" w:type="dxa"/>
            <w:vAlign w:val="bottom"/>
            <w:tcBorders>
              <w:top w:val="single" w:sz="8" w:color="auto"/>
            </w:tcBorders>
          </w:tcPr>
          <w:p>
            <w:pPr>
              <w:jc w:val="right"/>
              <w:ind w:right="298"/>
              <w:spacing w:after="0" w:line="12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Pr>
          <w:p>
            <w:pPr>
              <w:spacing w:after="0"/>
              <w:rPr>
                <w:sz w:val="10"/>
                <w:szCs w:val="10"/>
                <w:color w:val="auto"/>
              </w:rPr>
            </w:pPr>
          </w:p>
        </w:tc>
      </w:tr>
      <w:tr>
        <w:trPr>
          <w:trHeight w:val="163"/>
        </w:trPr>
        <w:tc>
          <w:tcPr>
            <w:tcW w:w="5300" w:type="dxa"/>
            <w:vAlign w:val="bottom"/>
          </w:tcPr>
          <w:p>
            <w:pPr>
              <w:spacing w:after="0"/>
              <w:rPr>
                <w:sz w:val="14"/>
                <w:szCs w:val="14"/>
                <w:color w:val="auto"/>
              </w:rPr>
            </w:pPr>
          </w:p>
        </w:tc>
        <w:tc>
          <w:tcPr>
            <w:tcW w:w="442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20" w:type="dxa"/>
            <w:vAlign w:val="bottom"/>
          </w:tcPr>
          <w:p>
            <w:pPr>
              <w:spacing w:after="0"/>
              <w:rPr>
                <w:sz w:val="14"/>
                <w:szCs w:val="14"/>
                <w:color w:val="auto"/>
              </w:rPr>
            </w:pPr>
          </w:p>
        </w:tc>
      </w:tr>
      <w:tr>
        <w:trPr>
          <w:trHeight w:val="13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profit attributable to Tuya Inc.</w:t>
            </w:r>
          </w:p>
        </w:tc>
        <w:tc>
          <w:tcPr>
            <w:tcW w:w="3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11,017</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15,776</w:t>
            </w:r>
          </w:p>
        </w:tc>
        <w:tc>
          <w:tcPr>
            <w:tcW w:w="120" w:type="dxa"/>
            <w:vAlign w:val="bottom"/>
            <w:tcBorders>
              <w:top w:val="single" w:sz="8" w:color="CCEEFF"/>
            </w:tcBorders>
            <w:shd w:val="clear" w:color="auto" w:fill="CCEEFF"/>
          </w:tcPr>
          <w:p>
            <w:pPr>
              <w:spacing w:after="0"/>
              <w:rPr>
                <w:sz w:val="12"/>
                <w:szCs w:val="12"/>
                <w:color w:val="auto"/>
              </w:rPr>
            </w:pPr>
          </w:p>
        </w:tc>
      </w:tr>
      <w:tr>
        <w:trPr>
          <w:trHeight w:val="155"/>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profit attributable to ordinary shareholders</w:t>
            </w:r>
          </w:p>
        </w:tc>
        <w:tc>
          <w:tcPr>
            <w:tcW w:w="31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11,017</w:t>
            </w:r>
          </w:p>
        </w:tc>
        <w:tc>
          <w:tcPr>
            <w:tcW w:w="2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15,776</w:t>
            </w:r>
          </w:p>
        </w:tc>
        <w:tc>
          <w:tcPr>
            <w:tcW w:w="120" w:type="dxa"/>
            <w:vAlign w:val="bottom"/>
            <w:tcBorders>
              <w:bottom w:val="single" w:sz="8" w:color="CCEEFF"/>
            </w:tcBorders>
          </w:tcPr>
          <w:p>
            <w:pPr>
              <w:spacing w:after="0"/>
              <w:rPr>
                <w:sz w:val="13"/>
                <w:szCs w:val="13"/>
                <w:color w:val="auto"/>
              </w:rPr>
            </w:pP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ordinary shares used in computing net profit per share, basic and diluted</w:t>
            </w:r>
          </w:p>
        </w:tc>
        <w:tc>
          <w:tcPr>
            <w:tcW w:w="3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Basic</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606,308,258</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615,523,100</w:t>
            </w:r>
          </w:p>
        </w:tc>
        <w:tc>
          <w:tcPr>
            <w:tcW w:w="120" w:type="dxa"/>
            <w:vAlign w:val="bottom"/>
          </w:tcPr>
          <w:p>
            <w:pPr>
              <w:spacing w:after="0"/>
              <w:rPr>
                <w:sz w:val="12"/>
                <w:szCs w:val="12"/>
                <w:color w:val="auto"/>
              </w:rPr>
            </w:pPr>
          </w:p>
        </w:tc>
      </w:tr>
      <w:tr>
        <w:trPr>
          <w:trHeight w:val="14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Diluted</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608,490,640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616,307,696</w:t>
            </w:r>
          </w:p>
        </w:tc>
        <w:tc>
          <w:tcPr>
            <w:tcW w:w="120" w:type="dxa"/>
            <w:vAlign w:val="bottom"/>
            <w:shd w:val="clear" w:color="auto" w:fill="CCEEFF"/>
          </w:tcPr>
          <w:p>
            <w:pPr>
              <w:spacing w:after="0"/>
              <w:rPr>
                <w:sz w:val="12"/>
                <w:szCs w:val="12"/>
                <w:color w:val="auto"/>
              </w:rPr>
            </w:pPr>
          </w:p>
        </w:tc>
      </w:tr>
      <w:tr>
        <w:trPr>
          <w:trHeight w:val="149"/>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Net profit per share attributable to ordinary shareholders, basic and diluted</w:t>
            </w:r>
          </w:p>
        </w:tc>
        <w:tc>
          <w:tcPr>
            <w:tcW w:w="3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Basic</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0.03</w:t>
            </w:r>
          </w:p>
        </w:tc>
      </w:tr>
      <w:tr>
        <w:trPr>
          <w:trHeight w:val="149"/>
        </w:trPr>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Diluted</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0.03</w:t>
            </w:r>
          </w:p>
        </w:tc>
      </w:tr>
      <w:tr>
        <w:trPr>
          <w:trHeight w:val="14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Share-based compensation expenses were included in:</w:t>
            </w:r>
          </w:p>
        </w:tc>
        <w:tc>
          <w:tcPr>
            <w:tcW w:w="3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2,016</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372</w:t>
            </w:r>
          </w:p>
        </w:tc>
        <w:tc>
          <w:tcPr>
            <w:tcW w:w="120" w:type="dxa"/>
            <w:vAlign w:val="bottom"/>
          </w:tcPr>
          <w:p>
            <w:pPr>
              <w:spacing w:after="0"/>
              <w:rPr>
                <w:sz w:val="12"/>
                <w:szCs w:val="12"/>
                <w:color w:val="auto"/>
              </w:rPr>
            </w:pPr>
          </w:p>
        </w:tc>
      </w:tr>
      <w:tr>
        <w:trPr>
          <w:trHeight w:val="14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Sales and marketing expenses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w:t>
            </w:r>
          </w:p>
        </w:tc>
        <w:tc>
          <w:tcPr>
            <w:tcW w:w="120" w:type="dxa"/>
            <w:vAlign w:val="bottom"/>
            <w:shd w:val="clear" w:color="auto" w:fill="CCEEFF"/>
          </w:tcPr>
          <w:p>
            <w:pPr>
              <w:spacing w:after="0"/>
              <w:rPr>
                <w:sz w:val="12"/>
                <w:szCs w:val="12"/>
                <w:color w:val="auto"/>
              </w:rPr>
            </w:pPr>
          </w:p>
        </w:tc>
      </w:tr>
      <w:tr>
        <w:trPr>
          <w:trHeight w:val="162"/>
        </w:trPr>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5,521</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170</w:t>
            </w:r>
          </w:p>
        </w:tc>
        <w:tc>
          <w:tcPr>
            <w:tcW w:w="120" w:type="dxa"/>
            <w:vAlign w:val="bottom"/>
          </w:tcPr>
          <w:p>
            <w:pPr>
              <w:spacing w:after="0"/>
              <w:rPr>
                <w:sz w:val="14"/>
                <w:szCs w:val="14"/>
                <w:color w:val="auto"/>
              </w:rPr>
            </w:pPr>
          </w:p>
        </w:tc>
      </w:tr>
      <w:tr>
        <w:trPr>
          <w:trHeight w:val="432"/>
        </w:trPr>
        <w:tc>
          <w:tcPr>
            <w:tcW w:w="5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2718"/>
              <w:spacing w:after="0"/>
              <w:rPr>
                <w:sz w:val="20"/>
                <w:szCs w:val="20"/>
                <w:color w:val="auto"/>
              </w:rPr>
            </w:pPr>
            <w:r>
              <w:rPr>
                <w:rFonts w:ascii="Times New Roman" w:cs="Times New Roman" w:eastAsia="Times New Roman" w:hAnsi="Times New Roman"/>
                <w:sz w:val="12"/>
                <w:szCs w:val="12"/>
                <w:color w:val="auto"/>
              </w:rPr>
              <w:t>12</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20" w:type="dxa"/>
            <w:vAlign w:val="bottom"/>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r>
      <w:tr>
        <w:trPr>
          <w:trHeight w:val="124"/>
        </w:trPr>
        <w:tc>
          <w:tcPr>
            <w:tcW w:w="4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2"/>
                <w:szCs w:val="12"/>
                <w:color w:val="auto"/>
              </w:rPr>
              <w:t>March 31,</w:t>
            </w:r>
          </w:p>
        </w:tc>
        <w:tc>
          <w:tcPr>
            <w:tcW w:w="1240" w:type="dxa"/>
            <w:vAlign w:val="bottom"/>
            <w:tcBorders>
              <w:top w:val="single" w:sz="8" w:color="auto"/>
            </w:tcBorders>
          </w:tcPr>
          <w:p>
            <w:pPr>
              <w:jc w:val="right"/>
              <w:ind w:right="278"/>
              <w:spacing w:after="0" w:line="12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Pr>
          <w:p>
            <w:pPr>
              <w:spacing w:after="0"/>
              <w:rPr>
                <w:sz w:val="10"/>
                <w:szCs w:val="10"/>
                <w:color w:val="auto"/>
              </w:rPr>
            </w:pPr>
          </w:p>
        </w:tc>
      </w:tr>
      <w:tr>
        <w:trPr>
          <w:trHeight w:val="163"/>
        </w:trPr>
        <w:tc>
          <w:tcPr>
            <w:tcW w:w="4700" w:type="dxa"/>
            <w:vAlign w:val="bottom"/>
          </w:tcPr>
          <w:p>
            <w:pPr>
              <w:spacing w:after="0"/>
              <w:rPr>
                <w:sz w:val="14"/>
                <w:szCs w:val="14"/>
                <w:color w:val="auto"/>
              </w:rPr>
            </w:pPr>
          </w:p>
        </w:tc>
        <w:tc>
          <w:tcPr>
            <w:tcW w:w="502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20" w:type="dxa"/>
            <w:vAlign w:val="bottom"/>
          </w:tcPr>
          <w:p>
            <w:pPr>
              <w:spacing w:after="0"/>
              <w:rPr>
                <w:sz w:val="14"/>
                <w:szCs w:val="14"/>
                <w:color w:val="auto"/>
              </w:rPr>
            </w:pPr>
          </w:p>
        </w:tc>
      </w:tr>
      <w:tr>
        <w:trPr>
          <w:trHeight w:val="13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generated from operating activities</w:t>
            </w:r>
          </w:p>
        </w:tc>
        <w:tc>
          <w:tcPr>
            <w:tcW w:w="37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9,352</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6,399</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Net cash generated from investing activities</w:t>
            </w:r>
          </w:p>
        </w:tc>
        <w:tc>
          <w:tcPr>
            <w:tcW w:w="52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101,183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14,924</w:t>
            </w:r>
          </w:p>
        </w:tc>
      </w:tr>
      <w:tr>
        <w:trPr>
          <w:trHeight w:val="14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generated from financing activities</w:t>
            </w:r>
          </w:p>
        </w:tc>
        <w:tc>
          <w:tcPr>
            <w:tcW w:w="5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8"/>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 restricted cash</w:t>
            </w:r>
          </w:p>
        </w:tc>
        <w:tc>
          <w:tcPr>
            <w:tcW w:w="52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32</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428</w:t>
            </w:r>
          </w:p>
        </w:tc>
        <w:tc>
          <w:tcPr>
            <w:tcW w:w="120" w:type="dxa"/>
            <w:vAlign w:val="bottom"/>
          </w:tcPr>
          <w:p>
            <w:pPr>
              <w:spacing w:after="0"/>
              <w:rPr>
                <w:sz w:val="13"/>
                <w:szCs w:val="13"/>
                <w:color w:val="auto"/>
              </w:rPr>
            </w:pPr>
          </w:p>
        </w:tc>
      </w:tr>
      <w:tr>
        <w:trPr>
          <w:trHeight w:val="13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cash equivalents, restricted cash</w:t>
            </w:r>
          </w:p>
        </w:tc>
        <w:tc>
          <w:tcPr>
            <w:tcW w:w="37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110,569</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21,751</w:t>
            </w:r>
          </w:p>
        </w:tc>
        <w:tc>
          <w:tcPr>
            <w:tcW w:w="120" w:type="dxa"/>
            <w:vAlign w:val="bottom"/>
            <w:tcBorders>
              <w:top w:val="single" w:sz="8" w:color="CCEEFF"/>
            </w:tcBorders>
            <w:shd w:val="clear" w:color="auto" w:fill="CCEEFF"/>
          </w:tcPr>
          <w:p>
            <w:pPr>
              <w:spacing w:after="0"/>
              <w:rPr>
                <w:sz w:val="12"/>
                <w:szCs w:val="12"/>
                <w:color w:val="auto"/>
              </w:rPr>
            </w:pPr>
          </w:p>
        </w:tc>
      </w:tr>
      <w:tr>
        <w:trPr>
          <w:trHeight w:val="138"/>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restricted cash at the beginning of period</w:t>
            </w:r>
          </w:p>
        </w:tc>
        <w:tc>
          <w:tcPr>
            <w:tcW w:w="37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653,384</w:t>
            </w:r>
          </w:p>
        </w:tc>
        <w:tc>
          <w:tcPr>
            <w:tcW w:w="2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890,953</w:t>
            </w:r>
          </w:p>
        </w:tc>
        <w:tc>
          <w:tcPr>
            <w:tcW w:w="120" w:type="dxa"/>
            <w:vAlign w:val="bottom"/>
            <w:tcBorders>
              <w:bottom w:val="single" w:sz="8" w:color="CCEEFF"/>
            </w:tcBorders>
          </w:tcPr>
          <w:p>
            <w:pPr>
              <w:spacing w:after="0"/>
              <w:rPr>
                <w:sz w:val="12"/>
                <w:szCs w:val="12"/>
                <w:color w:val="auto"/>
              </w:rPr>
            </w:pPr>
          </w:p>
        </w:tc>
      </w:tr>
      <w:tr>
        <w:trPr>
          <w:trHeight w:val="16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restricted cash at the end of period</w:t>
            </w:r>
          </w:p>
        </w:tc>
        <w:tc>
          <w:tcPr>
            <w:tcW w:w="37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763,953</w:t>
            </w:r>
          </w:p>
        </w:tc>
        <w:tc>
          <w:tcPr>
            <w:tcW w:w="2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912,704</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434"/>
        </w:trPr>
        <w:tc>
          <w:tcPr>
            <w:tcW w:w="47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718"/>
              <w:spacing w:after="0"/>
              <w:rPr>
                <w:sz w:val="20"/>
                <w:szCs w:val="20"/>
                <w:color w:val="auto"/>
              </w:rPr>
            </w:pPr>
            <w:r>
              <w:rPr>
                <w:rFonts w:ascii="Times New Roman" w:cs="Times New Roman" w:eastAsia="Times New Roman" w:hAnsi="Times New Roman"/>
                <w:sz w:val="12"/>
                <w:szCs w:val="12"/>
                <w:color w:val="auto"/>
              </w:rPr>
              <w:t>13</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RECONCILIATION OF NON-GAAP MEASURES TO THE MOST</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DIRECTLY COMPARABLE FINANCIAL MEASURES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8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r>
      <w:tr>
        <w:trPr>
          <w:trHeight w:val="124"/>
        </w:trPr>
        <w:tc>
          <w:tcPr>
            <w:tcW w:w="49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500" w:type="dxa"/>
            <w:vAlign w:val="bottom"/>
            <w:tcBorders>
              <w:top w:val="single" w:sz="8" w:color="auto"/>
            </w:tcBorders>
            <w:gridSpan w:val="2"/>
          </w:tcPr>
          <w:p>
            <w:pPr>
              <w:jc w:val="right"/>
              <w:ind w:right="620"/>
              <w:spacing w:after="0" w:line="125" w:lineRule="exact"/>
              <w:rPr>
                <w:sz w:val="20"/>
                <w:szCs w:val="20"/>
                <w:color w:val="auto"/>
              </w:rPr>
            </w:pPr>
            <w:r>
              <w:rPr>
                <w:rFonts w:ascii="Times New Roman" w:cs="Times New Roman" w:eastAsia="Times New Roman" w:hAnsi="Times New Roman"/>
                <w:sz w:val="12"/>
                <w:szCs w:val="12"/>
                <w:color w:val="auto"/>
              </w:rPr>
              <w:t>March 31,</w:t>
            </w:r>
          </w:p>
        </w:tc>
        <w:tc>
          <w:tcPr>
            <w:tcW w:w="1240" w:type="dxa"/>
            <w:vAlign w:val="bottom"/>
            <w:tcBorders>
              <w:top w:val="single" w:sz="8" w:color="auto"/>
            </w:tcBorders>
          </w:tcPr>
          <w:p>
            <w:pPr>
              <w:jc w:val="right"/>
              <w:ind w:right="298"/>
              <w:spacing w:after="0" w:line="12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40" w:type="dxa"/>
            <w:vAlign w:val="bottom"/>
          </w:tcPr>
          <w:p>
            <w:pPr>
              <w:spacing w:after="0"/>
              <w:rPr>
                <w:sz w:val="10"/>
                <w:szCs w:val="10"/>
                <w:color w:val="auto"/>
              </w:rPr>
            </w:pPr>
          </w:p>
        </w:tc>
      </w:tr>
      <w:tr>
        <w:trPr>
          <w:trHeight w:val="163"/>
        </w:trPr>
        <w:tc>
          <w:tcPr>
            <w:tcW w:w="4980" w:type="dxa"/>
            <w:vAlign w:val="bottom"/>
          </w:tcPr>
          <w:p>
            <w:pPr>
              <w:spacing w:after="0"/>
              <w:rPr>
                <w:sz w:val="14"/>
                <w:szCs w:val="14"/>
                <w:color w:val="auto"/>
              </w:rPr>
            </w:pPr>
          </w:p>
        </w:tc>
        <w:tc>
          <w:tcPr>
            <w:tcW w:w="468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color w:val="auto"/>
              </w:rPr>
              <w:t>2025</w:t>
            </w:r>
          </w:p>
        </w:tc>
        <w:tc>
          <w:tcPr>
            <w:tcW w:w="260" w:type="dxa"/>
            <w:vAlign w:val="bottom"/>
          </w:tcPr>
          <w:p>
            <w:pPr>
              <w:spacing w:after="0"/>
              <w:rPr>
                <w:sz w:val="14"/>
                <w:szCs w:val="1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40" w:type="dxa"/>
            <w:vAlign w:val="bottom"/>
          </w:tcPr>
          <w:p>
            <w:pPr>
              <w:spacing w:after="0"/>
              <w:rPr>
                <w:sz w:val="14"/>
                <w:szCs w:val="14"/>
                <w:color w:val="auto"/>
              </w:rPr>
            </w:pPr>
          </w:p>
        </w:tc>
      </w:tr>
      <w:tr>
        <w:trPr>
          <w:trHeight w:val="13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operating expenses to non-GAAP operating expenses</w:t>
            </w:r>
          </w:p>
        </w:tc>
        <w:tc>
          <w:tcPr>
            <w:tcW w:w="34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expenses</w:t>
            </w:r>
          </w:p>
        </w:tc>
        <w:tc>
          <w:tcPr>
            <w:tcW w:w="49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(22,810)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(21,972)</w:t>
            </w:r>
          </w:p>
        </w:tc>
      </w:tr>
      <w:tr>
        <w:trPr>
          <w:trHeight w:val="14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4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2,016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372</w:t>
            </w:r>
          </w:p>
        </w:tc>
        <w:tc>
          <w:tcPr>
            <w:tcW w:w="140" w:type="dxa"/>
            <w:vAlign w:val="bottom"/>
            <w:shd w:val="clear" w:color="auto" w:fill="CCEEFF"/>
          </w:tcPr>
          <w:p>
            <w:pPr>
              <w:spacing w:after="0"/>
              <w:rPr>
                <w:sz w:val="12"/>
                <w:szCs w:val="12"/>
                <w:color w:val="auto"/>
              </w:rPr>
            </w:pPr>
          </w:p>
        </w:tc>
      </w:tr>
      <w:tr>
        <w:trPr>
          <w:trHeight w:val="158"/>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Research and development expenses</w:t>
            </w:r>
          </w:p>
        </w:tc>
        <w:tc>
          <w:tcPr>
            <w:tcW w:w="49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(20,794)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(21,600)</w:t>
            </w:r>
          </w:p>
        </w:tc>
      </w:tr>
      <w:tr>
        <w:trPr>
          <w:trHeight w:val="13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and marketing expenses</w:t>
            </w:r>
          </w:p>
        </w:tc>
        <w:tc>
          <w:tcPr>
            <w:tcW w:w="34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(8,347)</w:t>
            </w: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(7,420)</w:t>
            </w: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49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738</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86</w:t>
            </w:r>
          </w:p>
        </w:tc>
        <w:tc>
          <w:tcPr>
            <w:tcW w:w="140" w:type="dxa"/>
            <w:vAlign w:val="bottom"/>
          </w:tcPr>
          <w:p>
            <w:pPr>
              <w:spacing w:after="0"/>
              <w:rPr>
                <w:sz w:val="12"/>
                <w:szCs w:val="12"/>
                <w:color w:val="auto"/>
              </w:rPr>
            </w:pPr>
          </w:p>
        </w:tc>
      </w:tr>
      <w:tr>
        <w:trPr>
          <w:trHeight w:val="15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Sales and marketing expenses</w:t>
            </w:r>
          </w:p>
        </w:tc>
        <w:tc>
          <w:tcPr>
            <w:tcW w:w="4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(7,609)</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(7,334)</w:t>
            </w:r>
          </w:p>
        </w:tc>
      </w:tr>
      <w:tr>
        <w:trPr>
          <w:trHeight w:val="138"/>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440" w:type="dxa"/>
            <w:vAlign w:val="bottom"/>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(8,929)</w:t>
            </w:r>
          </w:p>
        </w:tc>
        <w:tc>
          <w:tcPr>
            <w:tcW w:w="260" w:type="dxa"/>
            <w:vAlign w:val="bottom"/>
          </w:tcPr>
          <w:p>
            <w:pPr>
              <w:spacing w:after="0"/>
              <w:rPr>
                <w:sz w:val="12"/>
                <w:szCs w:val="1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(4,315)</w:t>
            </w:r>
          </w:p>
        </w:tc>
        <w:tc>
          <w:tcPr>
            <w:tcW w:w="140" w:type="dxa"/>
            <w:vAlign w:val="bottom"/>
          </w:tcPr>
          <w:p>
            <w:pPr>
              <w:spacing w:after="0"/>
              <w:rPr>
                <w:sz w:val="12"/>
                <w:szCs w:val="12"/>
                <w:color w:val="auto"/>
              </w:rPr>
            </w:pPr>
          </w:p>
        </w:tc>
      </w:tr>
      <w:tr>
        <w:trPr>
          <w:trHeight w:val="14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4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5,521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170</w:t>
            </w:r>
          </w:p>
        </w:tc>
        <w:tc>
          <w:tcPr>
            <w:tcW w:w="140" w:type="dxa"/>
            <w:vAlign w:val="bottom"/>
            <w:shd w:val="clear" w:color="auto" w:fill="CCEEFF"/>
          </w:tcPr>
          <w:p>
            <w:pPr>
              <w:spacing w:after="0"/>
              <w:rPr>
                <w:sz w:val="12"/>
                <w:szCs w:val="12"/>
                <w:color w:val="auto"/>
              </w:rPr>
            </w:pPr>
          </w:p>
        </w:tc>
      </w:tr>
      <w:tr>
        <w:trPr>
          <w:trHeight w:val="158"/>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General and administrative expenses</w:t>
            </w:r>
          </w:p>
        </w:tc>
        <w:tc>
          <w:tcPr>
            <w:tcW w:w="49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(3,408)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(4,145)</w:t>
            </w:r>
          </w:p>
        </w:tc>
      </w:tr>
      <w:tr>
        <w:trPr>
          <w:trHeight w:val="13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(loss)/profit from operations to non-GAAP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profit from operations</w:t>
            </w:r>
          </w:p>
        </w:tc>
        <w:tc>
          <w:tcPr>
            <w:tcW w:w="34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(Loss)/profit from operations</w:t>
            </w:r>
          </w:p>
        </w:tc>
        <w:tc>
          <w:tcPr>
            <w:tcW w:w="49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(1,452)</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7,472</w:t>
            </w:r>
          </w:p>
        </w:tc>
        <w:tc>
          <w:tcPr>
            <w:tcW w:w="140" w:type="dxa"/>
            <w:vAlign w:val="bottom"/>
          </w:tcPr>
          <w:p>
            <w:pPr>
              <w:spacing w:after="0"/>
              <w:rPr>
                <w:sz w:val="12"/>
                <w:szCs w:val="12"/>
                <w:color w:val="auto"/>
              </w:rPr>
            </w:pPr>
          </w:p>
        </w:tc>
      </w:tr>
      <w:tr>
        <w:trPr>
          <w:trHeight w:val="14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margin</w:t>
            </w:r>
          </w:p>
        </w:tc>
        <w:tc>
          <w:tcPr>
            <w:tcW w:w="4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9.2%</w:t>
            </w:r>
          </w:p>
        </w:tc>
      </w:tr>
      <w:tr>
        <w:trPr>
          <w:trHeight w:val="149"/>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494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8,275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628</w:t>
            </w:r>
          </w:p>
        </w:tc>
        <w:tc>
          <w:tcPr>
            <w:tcW w:w="140" w:type="dxa"/>
            <w:vAlign w:val="bottom"/>
          </w:tcPr>
          <w:p>
            <w:pPr>
              <w:spacing w:after="0"/>
              <w:rPr>
                <w:sz w:val="12"/>
                <w:szCs w:val="12"/>
                <w:color w:val="auto"/>
              </w:rPr>
            </w:pPr>
          </w:p>
        </w:tc>
      </w:tr>
      <w:tr>
        <w:trPr>
          <w:trHeight w:val="15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Non-GAAP profit from operations</w:t>
            </w:r>
          </w:p>
        </w:tc>
        <w:tc>
          <w:tcPr>
            <w:tcW w:w="4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6,823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8,100</w:t>
            </w:r>
          </w:p>
        </w:tc>
        <w:tc>
          <w:tcPr>
            <w:tcW w:w="140" w:type="dxa"/>
            <w:vAlign w:val="bottom"/>
            <w:shd w:val="clear" w:color="auto" w:fill="CCEEFF"/>
          </w:tcPr>
          <w:p>
            <w:pPr>
              <w:spacing w:after="0"/>
              <w:rPr>
                <w:sz w:val="13"/>
                <w:szCs w:val="13"/>
                <w:color w:val="auto"/>
              </w:rPr>
            </w:pPr>
          </w:p>
        </w:tc>
      </w:tr>
      <w:tr>
        <w:trPr>
          <w:trHeight w:val="147"/>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Operating margin</w:t>
            </w:r>
          </w:p>
        </w:tc>
        <w:tc>
          <w:tcPr>
            <w:tcW w:w="344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140" w:type="dxa"/>
            <w:vAlign w:val="bottom"/>
          </w:tcPr>
          <w:p>
            <w:pPr>
              <w:spacing w:after="0"/>
              <w:rPr>
                <w:sz w:val="12"/>
                <w:szCs w:val="12"/>
                <w:color w:val="auto"/>
              </w:rPr>
            </w:pPr>
          </w:p>
        </w:tc>
      </w:tr>
      <w:tr>
        <w:trPr>
          <w:trHeight w:val="435"/>
        </w:trPr>
        <w:tc>
          <w:tcPr>
            <w:tcW w:w="4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658"/>
              <w:spacing w:after="0"/>
              <w:rPr>
                <w:sz w:val="20"/>
                <w:szCs w:val="20"/>
                <w:color w:val="auto"/>
              </w:rPr>
            </w:pPr>
            <w:r>
              <w:rPr>
                <w:rFonts w:ascii="Times New Roman" w:cs="Times New Roman" w:eastAsia="Times New Roman" w:hAnsi="Times New Roman"/>
                <w:sz w:val="12"/>
                <w:szCs w:val="12"/>
                <w:color w:val="auto"/>
              </w:rPr>
              <w:t>14</w:t>
            </w: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TUYA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RECONCILIATION OF NON-GAAP MEASURES TO THE MOST</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DIRECTLY COMPARABLE FINANCIAL MEASURES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(All amounts in US$ thousands (“US$”),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except for share and per share data, unless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284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0" w:type="dxa"/>
            <w:vAlign w:val="bottom"/>
          </w:tcPr>
          <w:p>
            <w:pPr>
              <w:spacing w:after="0"/>
              <w:rPr>
                <w:sz w:val="1"/>
                <w:szCs w:val="1"/>
                <w:color w:val="auto"/>
              </w:rPr>
            </w:pPr>
          </w:p>
        </w:tc>
      </w:tr>
      <w:tr>
        <w:trPr>
          <w:trHeight w:val="124"/>
        </w:trPr>
        <w:tc>
          <w:tcPr>
            <w:tcW w:w="846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580"/>
              <w:spacing w:after="0" w:line="125" w:lineRule="exact"/>
              <w:rPr>
                <w:sz w:val="20"/>
                <w:szCs w:val="20"/>
                <w:color w:val="auto"/>
              </w:rPr>
            </w:pPr>
            <w:r>
              <w:rPr>
                <w:rFonts w:ascii="Times New Roman" w:cs="Times New Roman" w:eastAsia="Times New Roman" w:hAnsi="Times New Roman"/>
                <w:sz w:val="12"/>
                <w:szCs w:val="12"/>
                <w:color w:val="auto"/>
              </w:rPr>
              <w:t>March 31,</w:t>
            </w:r>
          </w:p>
        </w:tc>
        <w:tc>
          <w:tcPr>
            <w:tcW w:w="1240" w:type="dxa"/>
            <w:vAlign w:val="bottom"/>
            <w:tcBorders>
              <w:top w:val="single" w:sz="8" w:color="auto"/>
            </w:tcBorders>
          </w:tcPr>
          <w:p>
            <w:pPr>
              <w:jc w:val="right"/>
              <w:ind w:right="278"/>
              <w:spacing w:after="0" w:line="12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2026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profit to non-GAAP net profit</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profit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11,017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15,776</w:t>
            </w:r>
          </w:p>
        </w:tc>
        <w:tc>
          <w:tcPr>
            <w:tcW w:w="0" w:type="dxa"/>
            <w:vAlign w:val="bottom"/>
          </w:tcPr>
          <w:p>
            <w:pPr>
              <w:spacing w:after="0"/>
              <w:rPr>
                <w:sz w:val="1"/>
                <w:szCs w:val="1"/>
                <w:color w:val="auto"/>
              </w:rPr>
            </w:pPr>
          </w:p>
        </w:tc>
      </w:tr>
      <w:tr>
        <w:trPr>
          <w:trHeight w:val="14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margin</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14.8%</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19.5%</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Add: Share-based compensation expenses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8,275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Non-GAAP Net profit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19,292</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16,404</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Non-GAAP Net margin</w:t>
            </w: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60" w:type="dxa"/>
            <w:vAlign w:val="bottom"/>
            <w:vMerge w:val="continue"/>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25.8%</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20.3%</w:t>
            </w:r>
          </w:p>
        </w:tc>
        <w:tc>
          <w:tcPr>
            <w:tcW w:w="0" w:type="dxa"/>
            <w:vAlign w:val="bottom"/>
          </w:tcPr>
          <w:p>
            <w:pPr>
              <w:spacing w:after="0"/>
              <w:rPr>
                <w:sz w:val="1"/>
                <w:szCs w:val="1"/>
                <w:color w:val="auto"/>
              </w:rPr>
            </w:pPr>
          </w:p>
        </w:tc>
      </w:tr>
      <w:tr>
        <w:trPr>
          <w:trHeight w:val="138"/>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ordinary shares used in computing non-GAAP net profit per share, basic and diluted</w:t>
            </w: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Basic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606,308,258</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615,523,100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Diluted</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608,490,640</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616,307,696</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Non-GAAP net profit per share attributable to ordinary shareholders, basic and diluted</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Basic</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0.03</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0.03</w:t>
            </w:r>
          </w:p>
        </w:tc>
        <w:tc>
          <w:tcPr>
            <w:tcW w:w="0" w:type="dxa"/>
            <w:vAlign w:val="bottom"/>
          </w:tcPr>
          <w:p>
            <w:pPr>
              <w:spacing w:after="0"/>
              <w:rPr>
                <w:sz w:val="1"/>
                <w:szCs w:val="1"/>
                <w:color w:val="auto"/>
              </w:rPr>
            </w:pPr>
          </w:p>
        </w:tc>
      </w:tr>
      <w:tr>
        <w:trPr>
          <w:trHeight w:val="138"/>
        </w:trPr>
        <w:tc>
          <w:tcPr>
            <w:tcW w:w="8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Diluted</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5"/>
        </w:trPr>
        <w:tc>
          <w:tcPr>
            <w:tcW w:w="84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2"/>
                <w:szCs w:val="12"/>
                <w:color w:val="auto"/>
              </w:rPr>
              <w:t>15</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4" w:right="299" w:bottom="1440" w:gutter="0" w:footer="0" w:header="0"/>
        </w:sectPr>
      </w:pPr>
    </w:p>
    <w:bookmarkStart w:id="19" w:name="page20"/>
    <w:bookmarkEnd w:id="19"/>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34290</wp:posOffset>
            </wp:positionV>
            <wp:extent cx="6897370" cy="512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51257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97370" cy="513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7370" cy="5131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2026-05-11T16:19:59Z</dcterms:created>
  <dcterms:modified xsi:type="dcterms:W3CDTF">2026-05-11T16:19:59Z</dcterms:modified>
</cp:coreProperties>
</file>