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203200</wp:posOffset>
            </wp:positionH>
            <wp:positionV relativeFrom="page">
              <wp:posOffset>295275</wp:posOffset>
            </wp:positionV>
            <wp:extent cx="714248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327025</wp:posOffset>
            </wp:positionV>
            <wp:extent cx="7142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7620"/>
                    </a:xfrm>
                    <a:prstGeom prst="rect">
                      <a:avLst/>
                    </a:prstGeom>
                    <a:noFill/>
                  </pic:spPr>
                </pic:pic>
              </a:graphicData>
            </a:graphic>
          </wp:anchor>
        </w:drawing>
        <w:t>UNITED STATES</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PURSUANT TO RULE 13a-16 OR 15d-16 UNDER</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8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142240</wp:posOffset>
            </wp:positionV>
            <wp:extent cx="17837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Commission File Number: 001-40210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142240</wp:posOffset>
            </wp:positionV>
            <wp:extent cx="17837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39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Tuya Inc.</w:t>
      </w:r>
    </w:p>
    <w:p>
      <w:pPr>
        <w:spacing w:after="0" w:line="2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10/F, Building A, Huace Center</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Xihu District, Hangzhou City</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Zhejiang, 310012</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66" w:lineRule="exact"/>
        <w:rPr>
          <w:sz w:val="24"/>
          <w:szCs w:val="24"/>
          <w:color w:val="auto"/>
        </w:rPr>
      </w:pPr>
    </w:p>
    <w:p>
      <w:pPr>
        <w:ind w:left="4320"/>
        <w:spacing w:after="0" w:line="196" w:lineRule="exact"/>
        <w:tabs>
          <w:tab w:leader="none" w:pos="5920" w:val="left"/>
        </w:tabs>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164465</wp:posOffset>
            </wp:positionV>
            <wp:extent cx="71424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187960</wp:posOffset>
            </wp:positionV>
            <wp:extent cx="714248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600075</wp:posOffset>
            </wp:positionV>
            <wp:extent cx="71424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139"/>
          </w:cols>
          <w:pgMar w:left="320" w:top="70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380" w:type="dxa"/>
            <w:vAlign w:val="bottom"/>
            <w:gridSpan w:val="2"/>
          </w:tcPr>
          <w:p>
            <w:pPr>
              <w:jc w:val="center"/>
              <w:ind w:right="4860"/>
              <w:spacing w:after="0"/>
              <w:rPr>
                <w:sz w:val="20"/>
                <w:szCs w:val="20"/>
                <w:color w:val="auto"/>
              </w:rPr>
            </w:pPr>
            <w:r>
              <w:rPr>
                <w:rFonts w:ascii="Times New Roman" w:cs="Times New Roman" w:eastAsia="Times New Roman" w:hAnsi="Times New Roman"/>
                <w:sz w:val="17"/>
                <w:szCs w:val="17"/>
                <w:b w:val="1"/>
                <w:bCs w:val="1"/>
                <w:color w:val="auto"/>
                <w:w w:val="97"/>
              </w:rPr>
              <w:t>EXHIBIT INDEX</w:t>
            </w:r>
          </w:p>
        </w:tc>
      </w:tr>
      <w:tr>
        <w:trPr>
          <w:trHeight w:val="399"/>
        </w:trPr>
        <w:tc>
          <w:tcPr>
            <w:tcW w:w="17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954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55"/>
        </w:trPr>
        <w:tc>
          <w:tcPr>
            <w:tcW w:w="20" w:type="dxa"/>
            <w:vAlign w:val="bottom"/>
          </w:tcPr>
          <w:p>
            <w:pPr>
              <w:spacing w:after="0"/>
              <w:rPr>
                <w:sz w:val="13"/>
                <w:szCs w:val="13"/>
                <w:color w:val="auto"/>
              </w:rPr>
            </w:pPr>
          </w:p>
        </w:tc>
        <w:tc>
          <w:tcPr>
            <w:tcW w:w="2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7"/>
                <w:szCs w:val="17"/>
                <w:color w:val="0000EE"/>
                <w:w w:val="87"/>
              </w:rPr>
              <w:t>99.</w:t>
            </w:r>
            <w:r>
              <w:rPr>
                <w:rFonts w:ascii="Times New Roman" w:cs="Times New Roman" w:eastAsia="Times New Roman" w:hAnsi="Times New Roman"/>
                <w:sz w:val="17"/>
                <w:szCs w:val="17"/>
                <w:u w:val="single" w:color="auto"/>
                <w:color w:val="0000EE"/>
                <w:w w:val="87"/>
              </w:rPr>
              <w:t>1</w:t>
            </w:r>
          </w:p>
        </w:tc>
        <w:tc>
          <w:tcPr>
            <w:tcW w:w="11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540" w:type="dxa"/>
            <w:vAlign w:val="bottom"/>
            <w:tcBorders>
              <w:top w:val="single" w:sz="8" w:color="auto"/>
            </w:tcBorders>
            <w:gridSpan w:val="6"/>
          </w:tcPr>
          <w:p>
            <w:pPr>
              <w:spacing w:after="0" w:line="155" w:lineRule="exact"/>
              <w:rPr>
                <w:sz w:val="20"/>
                <w:szCs w:val="20"/>
                <w:color w:val="auto"/>
              </w:rPr>
            </w:pPr>
            <w:r>
              <w:rPr>
                <w:rFonts w:ascii="Times New Roman" w:cs="Times New Roman" w:eastAsia="Times New Roman" w:hAnsi="Times New Roman"/>
                <w:sz w:val="17"/>
                <w:szCs w:val="17"/>
                <w:color w:val="0000EE"/>
              </w:rPr>
              <w:t>Press Release—Tuya Inc. to Hold Annual General Meeting on June 18, 2026</w:t>
            </w:r>
          </w:p>
        </w:tc>
      </w:tr>
      <w:tr>
        <w:trPr>
          <w:trHeight w:val="180"/>
        </w:trPr>
        <w:tc>
          <w:tcPr>
            <w:tcW w:w="300" w:type="dxa"/>
            <w:vAlign w:val="bottom"/>
            <w:tcBorders>
              <w:top w:val="single" w:sz="8" w:color="0000EE"/>
            </w:tcBorders>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2</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20" w:type="dxa"/>
            <w:vAlign w:val="bottom"/>
            <w:tcBorders>
              <w:top w:val="single" w:sz="8" w:color="0000EE"/>
            </w:tcBorders>
            <w:gridSpan w:val="5"/>
          </w:tcPr>
          <w:p>
            <w:pPr>
              <w:spacing w:after="0" w:line="180" w:lineRule="exact"/>
              <w:rPr>
                <w:sz w:val="20"/>
                <w:szCs w:val="20"/>
                <w:color w:val="auto"/>
              </w:rPr>
            </w:pPr>
            <w:r>
              <w:rPr>
                <w:rFonts w:ascii="Times New Roman" w:cs="Times New Roman" w:eastAsia="Times New Roman" w:hAnsi="Times New Roman"/>
                <w:sz w:val="17"/>
                <w:szCs w:val="17"/>
                <w:color w:val="0000EE"/>
              </w:rPr>
              <w:t>Circular</w:t>
            </w:r>
          </w:p>
        </w:tc>
        <w:tc>
          <w:tcPr>
            <w:tcW w:w="4420" w:type="dxa"/>
            <w:vAlign w:val="bottom"/>
          </w:tcPr>
          <w:p>
            <w:pPr>
              <w:spacing w:after="0"/>
              <w:rPr>
                <w:sz w:val="15"/>
                <w:szCs w:val="15"/>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r>
      <w:tr>
        <w:trPr>
          <w:trHeight w:val="180"/>
        </w:trPr>
        <w:tc>
          <w:tcPr>
            <w:tcW w:w="300" w:type="dxa"/>
            <w:vAlign w:val="bottom"/>
            <w:tcBorders>
              <w:bottom w:val="single" w:sz="8" w:color="0000EE"/>
            </w:tcBorders>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3</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tcBorders>
              <w:bottom w:val="single" w:sz="8" w:color="0000EE"/>
            </w:tcBorders>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7"/>
              </w:rPr>
              <w:t>Notice of Annual General Meeting</w:t>
            </w:r>
          </w:p>
        </w:tc>
        <w:tc>
          <w:tcPr>
            <w:tcW w:w="7220" w:type="dxa"/>
            <w:vAlign w:val="bottom"/>
            <w:gridSpan w:val="4"/>
          </w:tcPr>
          <w:p>
            <w:pPr>
              <w:spacing w:after="0"/>
              <w:rPr>
                <w:sz w:val="15"/>
                <w:szCs w:val="15"/>
                <w:color w:val="auto"/>
              </w:rPr>
            </w:pPr>
          </w:p>
        </w:tc>
      </w:tr>
      <w:tr>
        <w:trPr>
          <w:trHeight w:val="180"/>
        </w:trPr>
        <w:tc>
          <w:tcPr>
            <w:tcW w:w="300" w:type="dxa"/>
            <w:vAlign w:val="bottom"/>
            <w:tcBorders>
              <w:bottom w:val="single" w:sz="8" w:color="0000EE"/>
            </w:tcBorders>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4</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60" w:type="dxa"/>
            <w:vAlign w:val="bottom"/>
            <w:tcBorders>
              <w:bottom w:val="single" w:sz="8" w:color="0000EE"/>
            </w:tcBorders>
            <w:gridSpan w:val="4"/>
          </w:tcPr>
          <w:p>
            <w:pPr>
              <w:spacing w:after="0" w:line="180" w:lineRule="exact"/>
              <w:rPr>
                <w:sz w:val="20"/>
                <w:szCs w:val="20"/>
                <w:color w:val="auto"/>
              </w:rPr>
            </w:pPr>
            <w:r>
              <w:rPr>
                <w:rFonts w:ascii="Times New Roman" w:cs="Times New Roman" w:eastAsia="Times New Roman" w:hAnsi="Times New Roman"/>
                <w:sz w:val="17"/>
                <w:szCs w:val="17"/>
                <w:color w:val="0000EE"/>
                <w:w w:val="97"/>
              </w:rPr>
              <w:t>Form of Proxy for the Annual General Meeting</w:t>
            </w:r>
          </w:p>
        </w:tc>
        <w:tc>
          <w:tcPr>
            <w:tcW w:w="6380" w:type="dxa"/>
            <w:vAlign w:val="bottom"/>
            <w:gridSpan w:val="2"/>
          </w:tcPr>
          <w:p>
            <w:pPr>
              <w:spacing w:after="0"/>
              <w:rPr>
                <w:sz w:val="15"/>
                <w:szCs w:val="15"/>
                <w:color w:val="auto"/>
              </w:rPr>
            </w:pPr>
          </w:p>
        </w:tc>
      </w:tr>
      <w:tr>
        <w:trPr>
          <w:trHeight w:val="180"/>
        </w:trPr>
        <w:tc>
          <w:tcPr>
            <w:tcW w:w="30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0000EE"/>
                <w:w w:val="93"/>
              </w:rPr>
              <w:t>99.</w:t>
            </w:r>
            <w:r>
              <w:rPr>
                <w:rFonts w:ascii="Times New Roman" w:cs="Times New Roman" w:eastAsia="Times New Roman" w:hAnsi="Times New Roman"/>
                <w:sz w:val="17"/>
                <w:szCs w:val="17"/>
                <w:u w:val="single" w:color="auto"/>
                <w:color w:val="0000EE"/>
                <w:w w:val="93"/>
              </w:rPr>
              <w:t>5</w:t>
            </w: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540" w:type="dxa"/>
            <w:vAlign w:val="bottom"/>
            <w:gridSpan w:val="6"/>
          </w:tcPr>
          <w:p>
            <w:pPr>
              <w:spacing w:after="0" w:line="180" w:lineRule="exact"/>
              <w:rPr>
                <w:sz w:val="20"/>
                <w:szCs w:val="20"/>
                <w:color w:val="auto"/>
              </w:rPr>
            </w:pPr>
            <w:r>
              <w:rPr>
                <w:rFonts w:ascii="Times New Roman" w:cs="Times New Roman" w:eastAsia="Times New Roman" w:hAnsi="Times New Roman"/>
                <w:sz w:val="17"/>
                <w:szCs w:val="17"/>
                <w:color w:val="0000EE"/>
              </w:rPr>
              <w:t>Form of Voting Card for ADS Holders</w:t>
            </w:r>
          </w:p>
        </w:tc>
      </w:tr>
      <w:tr>
        <w:trPr>
          <w:trHeight w:val="617"/>
        </w:trPr>
        <w:tc>
          <w:tcPr>
            <w:tcW w:w="20" w:type="dxa"/>
            <w:vAlign w:val="bottom"/>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top w:val="single" w:sz="8" w:color="0000EE"/>
              <w:bottom w:val="single" w:sz="8" w:color="auto"/>
            </w:tcBorders>
            <w:gridSpan w:val="3"/>
          </w:tcPr>
          <w:p>
            <w:pPr>
              <w:spacing w:after="0"/>
              <w:rPr>
                <w:sz w:val="24"/>
                <w:szCs w:val="24"/>
                <w:color w:val="auto"/>
              </w:rPr>
            </w:pPr>
          </w:p>
        </w:tc>
        <w:tc>
          <w:tcPr>
            <w:tcW w:w="2560" w:type="dxa"/>
            <w:vAlign w:val="bottom"/>
            <w:tcBorders>
              <w:bottom w:val="single" w:sz="8" w:color="auto"/>
            </w:tcBorders>
            <w:gridSpan w:val="2"/>
          </w:tcPr>
          <w:p>
            <w:pPr>
              <w:jc w:val="right"/>
              <w:ind w:right="1077"/>
              <w:spacing w:after="0"/>
              <w:rPr>
                <w:sz w:val="20"/>
                <w:szCs w:val="20"/>
                <w:color w:val="auto"/>
              </w:rPr>
            </w:pPr>
            <w:r>
              <w:rPr>
                <w:rFonts w:ascii="Times New Roman" w:cs="Times New Roman" w:eastAsia="Times New Roman" w:hAnsi="Times New Roman"/>
                <w:sz w:val="17"/>
                <w:szCs w:val="17"/>
                <w:color w:val="auto"/>
              </w:rPr>
              <w:t>2</w:t>
            </w: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8" w:lineRule="exact"/>
        <w:rPr>
          <w:sz w:val="20"/>
          <w:szCs w:val="20"/>
          <w:color w:val="auto"/>
        </w:rPr>
      </w:pPr>
    </w:p>
    <w:p>
      <w:pPr>
        <w:ind w:right="240" w:firstLine="599"/>
        <w:spacing w:after="0" w:line="270"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Tuya Inc.</w:t>
            </w:r>
          </w:p>
        </w:tc>
        <w:tc>
          <w:tcPr>
            <w:tcW w:w="4820" w:type="dxa"/>
            <w:vAlign w:val="bottom"/>
          </w:tcPr>
          <w:p>
            <w:pPr>
              <w:spacing w:after="0"/>
              <w:rPr>
                <w:sz w:val="18"/>
                <w:szCs w:val="18"/>
                <w:color w:val="auto"/>
              </w:rPr>
            </w:pPr>
          </w:p>
        </w:tc>
      </w:tr>
      <w:tr>
        <w:trPr>
          <w:trHeight w:val="399"/>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Yi (Alex) Yang</w:t>
            </w:r>
          </w:p>
        </w:tc>
      </w:tr>
      <w:tr>
        <w:trPr>
          <w:trHeight w:val="176"/>
        </w:trPr>
        <w:tc>
          <w:tcPr>
            <w:tcW w:w="4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20" w:type="dxa"/>
            <w:vAlign w:val="bottom"/>
          </w:tcPr>
          <w:p>
            <w:pPr>
              <w:jc w:val="right"/>
              <w:ind w:right="97"/>
              <w:spacing w:after="0" w:line="176" w:lineRule="exact"/>
              <w:rPr>
                <w:sz w:val="20"/>
                <w:szCs w:val="20"/>
                <w:color w:val="auto"/>
              </w:rPr>
            </w:pPr>
            <w:r>
              <w:rPr>
                <w:rFonts w:ascii="Times New Roman" w:cs="Times New Roman" w:eastAsia="Times New Roman" w:hAnsi="Times New Roman"/>
                <w:sz w:val="17"/>
                <w:szCs w:val="17"/>
                <w:color w:val="auto"/>
              </w:rPr>
              <w:t>:</w:t>
            </w:r>
          </w:p>
        </w:tc>
        <w:tc>
          <w:tcPr>
            <w:tcW w:w="48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Yi (Alex) Yang</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2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14, 2026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Tuya Inc. to Hold Annual General Meeting on June 18, 2026</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SANTA CLARA, Calif., May 13, 2026 -- Tuya Inc. ("Tuya" or the "Company") (NYSE: TUYA; HKEX: 2391), a global leading AI cloud platform service provider, today announced that it will hold an annual general meeting of the Company's shareholders (the "AGM") at 2:00 p.m. (Hong Kong time) on Thursday, June 18, 2026 at Huace Center, Building A, 3/F VVIP room, Xihu District, Hangzhou City, Zhejiang Province, 310012, China, for the purposes of considering and, if thought fit, passing each of the Proposed Resolutions as defined and set forth in the notice of the AGM (the "AGM Notice"). The AGM Notice and the form of proxy for the AGM are available on the Company's website at </w:t>
      </w:r>
      <w:r>
        <w:rPr>
          <w:rFonts w:ascii="Times New Roman" w:cs="Times New Roman" w:eastAsia="Times New Roman" w:hAnsi="Times New Roman"/>
          <w:sz w:val="17"/>
          <w:szCs w:val="17"/>
          <w:u w:val="single" w:color="auto"/>
          <w:color w:val="auto"/>
        </w:rPr>
        <w:t>ir.tuya.com</w:t>
      </w:r>
      <w:r>
        <w:rPr>
          <w:rFonts w:ascii="Times New Roman" w:cs="Times New Roman" w:eastAsia="Times New Roman" w:hAnsi="Times New Roman"/>
          <w:sz w:val="17"/>
          <w:szCs w:val="17"/>
          <w:color w:val="auto"/>
        </w:rPr>
        <w:t>. The board of directors of the Company fully supports the Proposed Resolutions and recommends that shareholders and holders of American depositary shares ("ADSs") vote in favor of the Proposed Resolutions.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Holders of record of the Company's ordinary shares as of the close of business on May 22, 2026 (Hong Kong time) are entitled to receive notice of, and to attend and vote at, the AGM or any adjournment or postponement thereof. Holders of record of ADSs as of the close of business on May 22, 2026 (New York time) who wish to exercise their voting rights for the ADSs underlying Class A ordinary shares must give voting instructions directly to The Bank of New York Mellon, the depositary of the ADSs, if ADSs are held directly by holders on the books and records of The Bank of New York Mellon or indirectly through a bank, brokerage or other securities intermediary if the ADSs are held by any of them on behalf of holders.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The Company has filed its annual report on Form 20-F, including its audited financial statements, for the fiscal year ended December 31, 2025, with the U.S. Securities and Exchange Commission (the "SEC"). The Company's annual report on Form 20-F can be accessed on the Company's website at </w:t>
      </w:r>
      <w:r>
        <w:rPr>
          <w:rFonts w:ascii="Times New Roman" w:cs="Times New Roman" w:eastAsia="Times New Roman" w:hAnsi="Times New Roman"/>
          <w:sz w:val="17"/>
          <w:szCs w:val="17"/>
          <w:u w:val="single" w:color="auto"/>
          <w:color w:val="auto"/>
        </w:rPr>
        <w:t>ir.tuya.com</w:t>
      </w:r>
      <w:r>
        <w:rPr>
          <w:rFonts w:ascii="Times New Roman" w:cs="Times New Roman" w:eastAsia="Times New Roman" w:hAnsi="Times New Roman"/>
          <w:sz w:val="17"/>
          <w:szCs w:val="17"/>
          <w:color w:val="auto"/>
        </w:rPr>
        <w:t xml:space="preserve"> and on the SEC's website at </w:t>
      </w:r>
      <w:r>
        <w:rPr>
          <w:rFonts w:ascii="Times New Roman" w:cs="Times New Roman" w:eastAsia="Times New Roman" w:hAnsi="Times New Roman"/>
          <w:sz w:val="17"/>
          <w:szCs w:val="17"/>
          <w:u w:val="single" w:color="auto"/>
          <w:color w:val="auto"/>
        </w:rPr>
        <w:t>http://www.sec.gov</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Tuya Inc.</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Tuya Inc. (NYSE: TUYA; HKEX: 2391) is a global leading AI cloud platform service provider with a mission to build an AI developer ecosystem and enable everything to be smart. Tuya has pioneered a purpose-built AI cloud platform with cloud and generative AI capabilities that delivers a full suite of offerings, including Platform-as-a-Service, or PaaS, AI application &amp; others and Smart home &amp; robot products for developers of smart device, commercial applications, and industries. Through its AI developer platform, Tuya has activated a vibrant global developer community of brands, OEMs, AI agents, system integrators and independent software vendors to collectively strive for smart solutions ecosystem embodying the principles of green and low-carbon, security, high efficiency, agility, and openness.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Tuya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ir@tuya.com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HL Strategy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Haiyan LI-LABBE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hl@hl-strategy.com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Piacente Financial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China Tel: +86-10-6508-0677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Tel: +1-212-481-2050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tuya@thepiacentegroup.com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398780</wp:posOffset>
            </wp:positionV>
            <wp:extent cx="71424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424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THIS CIRCULAR IS IMPORTANT AND REQUIRES YOUR IMMEDIATE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71424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7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color w:val="231F20"/>
        </w:rPr>
        <w:t xml:space="preserve">If you are in any doubt </w:t>
      </w:r>
      <w:r>
        <w:rPr>
          <w:rFonts w:ascii="Times New Roman" w:cs="Times New Roman" w:eastAsia="Times New Roman" w:hAnsi="Times New Roman"/>
          <w:sz w:val="17"/>
          <w:szCs w:val="17"/>
          <w:color w:val="231F20"/>
        </w:rPr>
        <w:t>as to any aspect of this circular or as to the action to be taken, you should consult a stockbroker or other registered dealer in securities, a bank</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manager, solicitor, professional accountant or other professional adviser.</w:t>
      </w:r>
    </w:p>
    <w:p>
      <w:pPr>
        <w:spacing w:after="0" w:line="1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color w:val="231F20"/>
        </w:rPr>
        <w:t xml:space="preserve">If you have sold or transferred </w:t>
      </w:r>
      <w:r>
        <w:rPr>
          <w:rFonts w:ascii="Times New Roman" w:cs="Times New Roman" w:eastAsia="Times New Roman" w:hAnsi="Times New Roman"/>
          <w:sz w:val="17"/>
          <w:szCs w:val="17"/>
          <w:color w:val="231F20"/>
        </w:rPr>
        <w:t>all your shares in Tuya Inc., you should at once hand this circular, together with the enclosed forms of proxy, to the purchaser or</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transferee or to the bank, licensed securities dealer or other agent through whom the sale or transfer was effected for transmission to the purchaser or transferee.</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231F20"/>
        </w:rPr>
        <w:t>Hong Kong Exchanges and Clearing Limited and The Stock Exchange of Hong Kong Limited take no responsibility for the contents of this circular, make no representation as to its accuracy or completeness and expressly disclaim any liability whatsoever for any loss howsoever arising from or in reliance upon the whole or any part of the contents of this circular.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This circular is for information purposes only and does not constitute an invitation or offer to acquire, purchase or subscribe for any securities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71424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274955</wp:posOffset>
            </wp:positionV>
            <wp:extent cx="951230" cy="491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1230" cy="49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231F20"/>
        </w:rPr>
        <w:t>Tuya Inc.</w:t>
      </w:r>
    </w:p>
    <w:p>
      <w:pPr>
        <w:spacing w:after="0" w:line="48" w:lineRule="exact"/>
        <w:rPr>
          <w:sz w:val="20"/>
          <w:szCs w:val="20"/>
          <w:color w:val="auto"/>
        </w:rPr>
      </w:pPr>
    </w:p>
    <w:p>
      <w:pPr>
        <w:jc w:val="center"/>
        <w:spacing w:after="0" w:line="280" w:lineRule="exact"/>
        <w:rPr>
          <w:sz w:val="20"/>
          <w:szCs w:val="20"/>
          <w:color w:val="auto"/>
        </w:rPr>
      </w:pPr>
      <w:r>
        <w:rPr>
          <w:rFonts w:ascii="PMingLiU" w:cs="PMingLiU" w:eastAsia="PMingLiU" w:hAnsi="PMingLiU"/>
          <w:sz w:val="23"/>
          <w:szCs w:val="23"/>
          <w:color w:val="000000"/>
          <w:shd w:val="clear" w:color="auto" w:fill="231F20"/>
        </w:rPr>
        <w:t>塗鴉智能</w:t>
      </w:r>
      <w:r>
        <w:rPr>
          <w:rFonts w:ascii="Times New Roman" w:cs="Times New Roman" w:eastAsia="Times New Roman" w:hAnsi="Times New Roman"/>
          <w:sz w:val="17"/>
          <w:szCs w:val="17"/>
          <w:b w:val="1"/>
          <w:bCs w:val="1"/>
          <w:color w:val="231F20"/>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(A company controlled through weighted voting rights and incorporated in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the Cayman Islands with limited liability)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(HKEX Stock Code: 2391)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(NYSE Stock Ticker: TUYA)</w:t>
      </w:r>
    </w:p>
    <w:p>
      <w:pPr>
        <w:spacing w:after="0" w:line="183" w:lineRule="exact"/>
        <w:rPr>
          <w:sz w:val="20"/>
          <w:szCs w:val="20"/>
          <w:color w:val="auto"/>
        </w:rPr>
      </w:pPr>
    </w:p>
    <w:p>
      <w:pPr>
        <w:ind w:left="3820" w:hanging="240"/>
        <w:spacing w:after="0"/>
        <w:tabs>
          <w:tab w:leader="none" w:pos="3820" w:val="left"/>
        </w:tabs>
        <w:numPr>
          <w:ilvl w:val="1"/>
          <w:numId w:val="1"/>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GRANT OF GENERAL MANDATE TO</w:t>
      </w:r>
    </w:p>
    <w:p>
      <w:pPr>
        <w:spacing w:after="0" w:line="24" w:lineRule="exact"/>
        <w:rPr>
          <w:rFonts w:ascii="Times New Roman" w:cs="Times New Roman" w:eastAsia="Times New Roman" w:hAnsi="Times New Roman"/>
          <w:sz w:val="17"/>
          <w:szCs w:val="17"/>
          <w:b w:val="1"/>
          <w:bCs w:val="1"/>
          <w:color w:val="231F20"/>
        </w:rPr>
      </w:pPr>
    </w:p>
    <w:p>
      <w:pPr>
        <w:ind w:left="4360" w:hanging="208"/>
        <w:spacing w:after="0"/>
        <w:tabs>
          <w:tab w:leader="none" w:pos="4360" w:val="left"/>
        </w:tabs>
        <w:numPr>
          <w:ilvl w:val="6"/>
          <w:numId w:val="1"/>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ISSUE SHARES AND/OR ADSs AND</w:t>
      </w:r>
    </w:p>
    <w:p>
      <w:pPr>
        <w:spacing w:after="0" w:line="4" w:lineRule="exact"/>
        <w:rPr>
          <w:rFonts w:ascii="Times New Roman" w:cs="Times New Roman" w:eastAsia="Times New Roman" w:hAnsi="Times New Roman"/>
          <w:sz w:val="17"/>
          <w:szCs w:val="17"/>
          <w:b w:val="1"/>
          <w:bCs w:val="1"/>
          <w:color w:val="231F20"/>
        </w:rPr>
      </w:pPr>
    </w:p>
    <w:p>
      <w:pPr>
        <w:ind w:left="3740" w:hanging="281"/>
        <w:spacing w:after="0"/>
        <w:tabs>
          <w:tab w:leader="none" w:pos="3740" w:val="left"/>
        </w:tabs>
        <w:numPr>
          <w:ilvl w:val="0"/>
          <w:numId w:val="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SELL AND/OR TRANSFER OF TREASURY SHARES;</w:t>
      </w:r>
    </w:p>
    <w:p>
      <w:pPr>
        <w:spacing w:after="0" w:line="4" w:lineRule="exact"/>
        <w:rPr>
          <w:rFonts w:ascii="Times New Roman" w:cs="Times New Roman" w:eastAsia="Times New Roman" w:hAnsi="Times New Roman"/>
          <w:sz w:val="17"/>
          <w:szCs w:val="17"/>
          <w:b w:val="1"/>
          <w:bCs w:val="1"/>
          <w:color w:val="231F20"/>
        </w:rPr>
      </w:pPr>
    </w:p>
    <w:p>
      <w:pPr>
        <w:ind w:left="3960" w:right="3740" w:hanging="262"/>
        <w:spacing w:after="0" w:line="260" w:lineRule="auto"/>
        <w:tabs>
          <w:tab w:leader="none" w:pos="3933" w:val="left"/>
        </w:tabs>
        <w:numPr>
          <w:ilvl w:val="2"/>
          <w:numId w:val="2"/>
        </w:numPr>
        <w:rPr>
          <w:rFonts w:ascii="Times New Roman" w:cs="Times New Roman" w:eastAsia="Times New Roman" w:hAnsi="Times New Roman"/>
          <w:sz w:val="16"/>
          <w:szCs w:val="16"/>
          <w:b w:val="1"/>
          <w:bCs w:val="1"/>
          <w:color w:val="231F20"/>
        </w:rPr>
      </w:pPr>
      <w:r>
        <w:rPr>
          <w:rFonts w:ascii="Times New Roman" w:cs="Times New Roman" w:eastAsia="Times New Roman" w:hAnsi="Times New Roman"/>
          <w:sz w:val="16"/>
          <w:szCs w:val="16"/>
          <w:b w:val="1"/>
          <w:bCs w:val="1"/>
          <w:color w:val="231F20"/>
        </w:rPr>
        <w:t>PROPOSED GRANT OF GENERAL MANDATE TO REPURCHASE SHARES AND/OR ADSs;</w:t>
      </w:r>
    </w:p>
    <w:p>
      <w:pPr>
        <w:ind w:left="4000" w:hanging="228"/>
        <w:spacing w:after="0"/>
        <w:tabs>
          <w:tab w:leader="none" w:pos="4000" w:val="left"/>
        </w:tabs>
        <w:numPr>
          <w:ilvl w:val="4"/>
          <w:numId w:val="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RE-ELECTION OF DIRECTORS;</w:t>
      </w:r>
    </w:p>
    <w:p>
      <w:pPr>
        <w:spacing w:after="0" w:line="4" w:lineRule="exact"/>
        <w:rPr>
          <w:rFonts w:ascii="Times New Roman" w:cs="Times New Roman" w:eastAsia="Times New Roman" w:hAnsi="Times New Roman"/>
          <w:sz w:val="17"/>
          <w:szCs w:val="17"/>
          <w:b w:val="1"/>
          <w:bCs w:val="1"/>
          <w:color w:val="231F20"/>
        </w:rPr>
      </w:pPr>
    </w:p>
    <w:p>
      <w:pPr>
        <w:ind w:left="5440" w:right="3680" w:hanging="1751"/>
        <w:spacing w:after="0" w:line="245" w:lineRule="auto"/>
        <w:tabs>
          <w:tab w:leader="none" w:pos="3921" w:val="left"/>
        </w:tabs>
        <w:numPr>
          <w:ilvl w:val="3"/>
          <w:numId w:val="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RE-APPOINTMENT OF AUDITOR; AND</w:t>
      </w:r>
    </w:p>
    <w:p>
      <w:pPr>
        <w:ind w:left="4040" w:hanging="230"/>
        <w:spacing w:after="0"/>
        <w:tabs>
          <w:tab w:leader="none" w:pos="4040" w:val="left"/>
        </w:tabs>
        <w:numPr>
          <w:ilvl w:val="5"/>
          <w:numId w:val="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1424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A letter from the Board is set out on pages 6 to 11 of this circular.</w:t>
      </w:r>
    </w:p>
    <w:p>
      <w:pPr>
        <w:spacing w:after="0" w:line="2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231F20"/>
        </w:rPr>
        <w:t>The AGM will be held at Huace Center, Building A, 3/F VVIP room, Xihu District, Hangzhou City, Zhejiang Province, 310012, China on Thursday, June 18, 2026. The AGM will commence at 2:00 p.m. (Hong Kong time). Notice convening the above are set out on pages 22 to 27 of this circular, respectively. A form of proxy for use at the AGM is also enclosed and published on the websites of the Stock Exchange (</w:t>
      </w:r>
      <w:r>
        <w:rPr>
          <w:rFonts w:ascii="Times New Roman" w:cs="Times New Roman" w:eastAsia="Times New Roman" w:hAnsi="Times New Roman"/>
          <w:sz w:val="17"/>
          <w:szCs w:val="17"/>
          <w:b w:val="1"/>
          <w:bCs w:val="1"/>
          <w:color w:val="231F20"/>
        </w:rPr>
        <w:t>www.hkexnews.hk</w:t>
      </w:r>
      <w:r>
        <w:rPr>
          <w:rFonts w:ascii="Times New Roman" w:cs="Times New Roman" w:eastAsia="Times New Roman" w:hAnsi="Times New Roman"/>
          <w:sz w:val="17"/>
          <w:szCs w:val="17"/>
          <w:color w:val="231F20"/>
        </w:rPr>
        <w:t>) and the Company (</w:t>
      </w:r>
      <w:r>
        <w:rPr>
          <w:rFonts w:ascii="Times New Roman" w:cs="Times New Roman" w:eastAsia="Times New Roman" w:hAnsi="Times New Roman"/>
          <w:sz w:val="17"/>
          <w:szCs w:val="17"/>
          <w:b w:val="1"/>
          <w:bCs w:val="1"/>
          <w:color w:val="231F20"/>
        </w:rPr>
        <w:t>ir.tuya.com</w:t>
      </w:r>
      <w:r>
        <w:rPr>
          <w:rFonts w:ascii="Times New Roman" w:cs="Times New Roman" w:eastAsia="Times New Roman" w:hAnsi="Times New Roman"/>
          <w:sz w:val="17"/>
          <w:szCs w:val="17"/>
          <w:color w:val="231F20"/>
        </w:rPr>
        <w:t>).</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231F20"/>
        </w:rPr>
        <w:t>Holders of record of the Company’s Shares on the Company’s registers of members as of the close of business on the Share Record Date (Hong Kong time) are entitled to attend the AGM in person. Holders of the ADSs as of the close of business on the ADS Record Date (New York time) are entitled to submit your voting instructions directly to The Bank of New York Mellon if ADSs are held directly by holders on the books and records of The Bank of New York Mellon or indirectly through a bank, brokerage or other securities intermediary if the ADSs are held by any of them on behalf of holders. Whether or not you propose to attend and vote at the said meeting, please complete, sign, date, and return the proxy form accompanying this circular to the Company’s share registrar in Hong Kong, Computershare Hong Kong Investor Services Limited (for holders of the Shares) or your voting instructions to The Bank of New York Mellon or to your bank, brokerage or other securities intermediary, as the case may be (for holders of the ADSs) as promptly as possible and before the prescribed deadline if you wish to exercise your voting rights. Computershare Hong Kong Investor Services Limited must receive the proxy forms for the AGM by no later than 2:00 p.m., Hong Kong time on Monday, June 15, 2026 at 17M Floor, Hopewell Centre, 183 Queen’s Road East, Wanchai, Hong Kong; and The Bank of New York Mellon must receive your voting instructions by the time and date specified in the ADS voting instruction card to enable the votes attaching to the Class A Ordinary Shares represented by your ADSs to be cast at the AGM. Treasury shares, if any and registered under the name of the Company, shall have no voting rights at the general meeting(s) of the Company. For the avoidance of doubt, for the purpose of the Listing Rules, the Company shall, upon depositing any treasury shares in the CCASS, abstain from voting at any of its general meeting(s) in relation to those shares.</w:t>
      </w:r>
    </w:p>
    <w:p>
      <w:pPr>
        <w:spacing w:after="0" w:line="179" w:lineRule="exact"/>
        <w:rPr>
          <w:sz w:val="20"/>
          <w:szCs w:val="20"/>
          <w:color w:val="auto"/>
        </w:rPr>
      </w:pPr>
    </w:p>
    <w:p>
      <w:pPr>
        <w:ind w:left="580" w:hanging="580"/>
        <w:spacing w:after="0"/>
        <w:tabs>
          <w:tab w:leader="none" w:pos="580" w:val="left"/>
        </w:tabs>
        <w:numPr>
          <w:ilvl w:val="0"/>
          <w:numId w:val="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For identification purpose only</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231F20"/>
        </w:rPr>
        <w:t>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1424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0"/>
        </w:trPr>
        <w:tc>
          <w:tcPr>
            <w:tcW w:w="3720" w:type="dxa"/>
            <w:vAlign w:val="bottom"/>
          </w:tcPr>
          <w:p>
            <w:pPr>
              <w:spacing w:after="0"/>
              <w:rPr>
                <w:sz w:val="19"/>
                <w:szCs w:val="19"/>
                <w:color w:val="auto"/>
              </w:rPr>
            </w:pPr>
          </w:p>
        </w:tc>
        <w:tc>
          <w:tcPr>
            <w:tcW w:w="7520" w:type="dxa"/>
            <w:vAlign w:val="bottom"/>
          </w:tcPr>
          <w:p>
            <w:pPr>
              <w:jc w:val="right"/>
              <w:ind w:right="5077"/>
              <w:spacing w:after="0"/>
              <w:rPr>
                <w:sz w:val="20"/>
                <w:szCs w:val="20"/>
                <w:color w:val="auto"/>
              </w:rPr>
            </w:pPr>
            <w:r>
              <w:rPr>
                <w:rFonts w:ascii="Times New Roman" w:cs="Times New Roman" w:eastAsia="Times New Roman" w:hAnsi="Times New Roman"/>
                <w:sz w:val="17"/>
                <w:szCs w:val="17"/>
                <w:b w:val="1"/>
                <w:bCs w:val="1"/>
                <w:color w:val="231F20"/>
              </w:rPr>
              <w:t>CONTENTS</w:t>
            </w:r>
          </w:p>
        </w:tc>
      </w:tr>
      <w:tr>
        <w:trPr>
          <w:trHeight w:val="37"/>
        </w:trPr>
        <w:tc>
          <w:tcPr>
            <w:tcW w:w="3720" w:type="dxa"/>
            <w:vAlign w:val="bottom"/>
            <w:tcBorders>
              <w:bottom w:val="single" w:sz="8" w:color="auto"/>
            </w:tcBorders>
          </w:tcPr>
          <w:p>
            <w:pPr>
              <w:spacing w:after="0"/>
              <w:rPr>
                <w:sz w:val="3"/>
                <w:szCs w:val="3"/>
                <w:color w:val="auto"/>
              </w:rPr>
            </w:pPr>
          </w:p>
        </w:tc>
        <w:tc>
          <w:tcPr>
            <w:tcW w:w="7520" w:type="dxa"/>
            <w:vAlign w:val="bottom"/>
            <w:tcBorders>
              <w:bottom w:val="single" w:sz="8" w:color="auto"/>
            </w:tcBorders>
          </w:tcPr>
          <w:p>
            <w:pPr>
              <w:spacing w:after="0"/>
              <w:rPr>
                <w:sz w:val="3"/>
                <w:szCs w:val="3"/>
                <w:color w:val="auto"/>
              </w:rPr>
            </w:pPr>
          </w:p>
        </w:tc>
      </w:tr>
      <w:tr>
        <w:trPr>
          <w:trHeight w:val="392"/>
        </w:trPr>
        <w:tc>
          <w:tcPr>
            <w:tcW w:w="3720" w:type="dxa"/>
            <w:vAlign w:val="bottom"/>
          </w:tcPr>
          <w:p>
            <w:pPr>
              <w:spacing w:after="0"/>
              <w:rPr>
                <w:sz w:val="24"/>
                <w:szCs w:val="24"/>
                <w:color w:val="auto"/>
              </w:rPr>
            </w:pPr>
          </w:p>
        </w:tc>
        <w:tc>
          <w:tcPr>
            <w:tcW w:w="752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Pages</w:t>
            </w:r>
          </w:p>
        </w:tc>
      </w:tr>
      <w:tr>
        <w:trPr>
          <w:trHeight w:val="399"/>
        </w:trPr>
        <w:tc>
          <w:tcPr>
            <w:tcW w:w="3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DEFINITIONS</w:t>
            </w:r>
          </w:p>
        </w:tc>
        <w:tc>
          <w:tcPr>
            <w:tcW w:w="7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399"/>
        </w:trPr>
        <w:tc>
          <w:tcPr>
            <w:tcW w:w="3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LETTER FROM THE BOARD</w:t>
            </w:r>
          </w:p>
        </w:tc>
        <w:tc>
          <w:tcPr>
            <w:tcW w:w="7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399"/>
        </w:trPr>
        <w:tc>
          <w:tcPr>
            <w:tcW w:w="372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8"/>
              </w:rPr>
              <w:t>1.INTRODUCTION</w:t>
            </w:r>
          </w:p>
        </w:tc>
        <w:tc>
          <w:tcPr>
            <w:tcW w:w="7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ind w:left="800" w:hanging="451"/>
        <w:spacing w:after="0"/>
        <w:tabs>
          <w:tab w:leader="none" w:pos="8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GRANT OF GENERAL MANDATE TO (I) ISSUE SHARES AND/OR ADSs AND (II) SELL AND/OR TRANSFER OF</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85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TREASURY SHARES</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383"/>
        </w:trPr>
        <w:tc>
          <w:tcPr>
            <w:tcW w:w="6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w:t>
            </w:r>
          </w:p>
        </w:tc>
        <w:tc>
          <w:tcPr>
            <w:tcW w:w="85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PROPOSED GRANT OF GENERAL MANDATE TO REPURCHASE SHARES AND/OR ADSs</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399"/>
        </w:trPr>
        <w:tc>
          <w:tcPr>
            <w:tcW w:w="6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4.</w:t>
            </w:r>
          </w:p>
        </w:tc>
        <w:tc>
          <w:tcPr>
            <w:tcW w:w="85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PROPOSED RE-ELECTION OF DIRECTORS</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399"/>
        </w:trPr>
        <w:tc>
          <w:tcPr>
            <w:tcW w:w="6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5.</w:t>
            </w:r>
          </w:p>
        </w:tc>
        <w:tc>
          <w:tcPr>
            <w:tcW w:w="85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PROPOSED RE-APPOINTMENT OF AUDITOR</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399"/>
        </w:trPr>
        <w:tc>
          <w:tcPr>
            <w:tcW w:w="6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6.</w:t>
            </w:r>
          </w:p>
        </w:tc>
        <w:tc>
          <w:tcPr>
            <w:tcW w:w="85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THE AGM AND PROXY ARRANGEMENT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399"/>
        </w:trPr>
        <w:tc>
          <w:tcPr>
            <w:tcW w:w="6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7.</w:t>
            </w:r>
          </w:p>
        </w:tc>
        <w:tc>
          <w:tcPr>
            <w:tcW w:w="85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RECOMMENDATIONS</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399"/>
        </w:trPr>
        <w:tc>
          <w:tcPr>
            <w:tcW w:w="6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8.</w:t>
            </w:r>
          </w:p>
        </w:tc>
        <w:tc>
          <w:tcPr>
            <w:tcW w:w="85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FURTHER INFORMATION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399"/>
        </w:trPr>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APPENDIX I</w:t>
            </w:r>
          </w:p>
        </w:tc>
        <w:tc>
          <w:tcPr>
            <w:tcW w:w="79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EXPLANATORY STATEMENT ON THE REPURCHASE MANDATE</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399"/>
        </w:trPr>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APPENDIX II</w:t>
            </w:r>
          </w:p>
        </w:tc>
        <w:tc>
          <w:tcPr>
            <w:tcW w:w="79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DETAILS OF DIRECTORS PROPOSED FOR RE-ELECTION</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399"/>
        </w:trPr>
        <w:tc>
          <w:tcPr>
            <w:tcW w:w="9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NOTICE OF ANNUAL GENERAL MEETING</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bl>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2480" cy="7620"/>
                    </a:xfrm>
                    <a:prstGeom prst="rect">
                      <a:avLst/>
                    </a:prstGeom>
                    <a:noFill/>
                  </pic:spPr>
                </pic:pic>
              </a:graphicData>
            </a:graphic>
          </wp:anchor>
        </w:drawing>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231F20"/>
        </w:rPr>
        <w:t>In this circular, unless the context otherwise requires, the following expressions shall have the following meanings: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“2015 Equity Incentive Plan”</w:t>
            </w:r>
          </w:p>
        </w:tc>
        <w:tc>
          <w:tcPr>
            <w:tcW w:w="8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equity incentive plan our Company adopted on December 23, 2014, as amended from time to time</w:t>
            </w:r>
          </w:p>
        </w:tc>
      </w:tr>
      <w:tr>
        <w:trPr>
          <w:trHeight w:val="399"/>
        </w:trPr>
        <w:tc>
          <w:tcPr>
            <w:tcW w:w="2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“2024 Share Scheme”</w:t>
            </w:r>
          </w:p>
        </w:tc>
        <w:tc>
          <w:tcPr>
            <w:tcW w:w="8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share scheme our Company adopted on June 20, 2024, as amended from time to time</w:t>
            </w:r>
          </w:p>
        </w:tc>
      </w:tr>
      <w:tr>
        <w:trPr>
          <w:trHeight w:val="399"/>
        </w:trPr>
        <w:tc>
          <w:tcPr>
            <w:tcW w:w="2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“ADS(s)”</w:t>
            </w:r>
          </w:p>
        </w:tc>
        <w:tc>
          <w:tcPr>
            <w:tcW w:w="8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American Depositary Shares, each representing one Class A Ordinary Share as amended from time to time</w:t>
            </w:r>
          </w:p>
        </w:tc>
      </w:tr>
      <w:tr>
        <w:trPr>
          <w:trHeight w:val="399"/>
        </w:trPr>
        <w:tc>
          <w:tcPr>
            <w:tcW w:w="2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“ADS Record Date”</w:t>
            </w:r>
          </w:p>
        </w:tc>
        <w:tc>
          <w:tcPr>
            <w:tcW w:w="8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May 22, 2026 (New York time)</w:t>
            </w:r>
          </w:p>
        </w:tc>
      </w:tr>
      <w:tr>
        <w:trPr>
          <w:trHeight w:val="383"/>
        </w:trPr>
        <w:tc>
          <w:tcPr>
            <w:tcW w:w="2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“AGM”</w:t>
            </w:r>
          </w:p>
        </w:tc>
        <w:tc>
          <w:tcPr>
            <w:tcW w:w="850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9"/>
              </w:rPr>
              <w:t>the annual general meeting of the Company to be convened on Thursday, June 18, 2026 at 2:00 p.m. (Hong Kong time), to</w:t>
            </w:r>
          </w:p>
        </w:tc>
      </w:tr>
      <w:tr>
        <w:trPr>
          <w:trHeight w:val="200"/>
        </w:trPr>
        <w:tc>
          <w:tcPr>
            <w:tcW w:w="2740" w:type="dxa"/>
            <w:vAlign w:val="bottom"/>
          </w:tcPr>
          <w:p>
            <w:pPr>
              <w:spacing w:after="0"/>
              <w:rPr>
                <w:sz w:val="17"/>
                <w:szCs w:val="17"/>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9"/>
              </w:rPr>
              <w:t>consider and, if appropriate, to approve the resolutions contained in the notice of the AGM which is set out on pages 22 to</w:t>
            </w:r>
          </w:p>
        </w:tc>
      </w:tr>
      <w:tr>
        <w:trPr>
          <w:trHeight w:val="216"/>
        </w:trPr>
        <w:tc>
          <w:tcPr>
            <w:tcW w:w="27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27 of this circular, or any adjournment thereof</w:t>
            </w:r>
          </w:p>
        </w:tc>
      </w:tr>
      <w:tr>
        <w:trPr>
          <w:trHeight w:val="383"/>
        </w:trPr>
        <w:tc>
          <w:tcPr>
            <w:tcW w:w="2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“Articles”, “Articles of Association”</w:t>
            </w:r>
          </w:p>
        </w:tc>
        <w:tc>
          <w:tcPr>
            <w:tcW w:w="850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7"/>
              </w:rPr>
              <w:t>the tenth amended and restated articles of association of the Company adopted by a special resolution of the Shareholders of</w:t>
            </w:r>
          </w:p>
        </w:tc>
      </w:tr>
      <w:tr>
        <w:trPr>
          <w:trHeight w:val="216"/>
        </w:trPr>
        <w:tc>
          <w:tcPr>
            <w:tcW w:w="27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Company on June 19, 2025 and effective on June 19, 2025</w:t>
            </w:r>
          </w:p>
        </w:tc>
      </w:tr>
      <w:tr>
        <w:trPr>
          <w:trHeight w:val="399"/>
        </w:trPr>
        <w:tc>
          <w:tcPr>
            <w:tcW w:w="274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“associate(s)”</w:t>
            </w:r>
          </w:p>
        </w:tc>
        <w:tc>
          <w:tcPr>
            <w:tcW w:w="8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has the meaning ascribed to it under the Listing Rules</w:t>
            </w:r>
          </w:p>
        </w:tc>
      </w:tr>
      <w:tr>
        <w:trPr>
          <w:trHeight w:val="399"/>
        </w:trPr>
        <w:tc>
          <w:tcPr>
            <w:tcW w:w="274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“Board”</w:t>
            </w:r>
          </w:p>
        </w:tc>
        <w:tc>
          <w:tcPr>
            <w:tcW w:w="8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board of Directors</w:t>
            </w:r>
          </w:p>
        </w:tc>
      </w:tr>
      <w:tr>
        <w:trPr>
          <w:trHeight w:val="399"/>
        </w:trPr>
        <w:tc>
          <w:tcPr>
            <w:tcW w:w="274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“CCASS”</w:t>
            </w:r>
          </w:p>
        </w:tc>
        <w:tc>
          <w:tcPr>
            <w:tcW w:w="8500" w:type="dxa"/>
            <w:vAlign w:val="bottom"/>
          </w:tcPr>
          <w:p>
            <w:pPr>
              <w:ind w:left="200"/>
              <w:spacing w:after="0"/>
              <w:rPr>
                <w:sz w:val="20"/>
                <w:szCs w:val="20"/>
                <w:color w:val="auto"/>
              </w:rPr>
            </w:pPr>
            <w:r>
              <w:rPr>
                <w:rFonts w:ascii="Times New Roman" w:cs="Times New Roman" w:eastAsia="Times New Roman" w:hAnsi="Times New Roman"/>
                <w:sz w:val="17"/>
                <w:szCs w:val="17"/>
                <w:color w:val="231F20"/>
              </w:rPr>
              <w:t>the Central Clearing and Settlement System, a securities settlement system established and operated by the HKSCC</w:t>
            </w:r>
          </w:p>
        </w:tc>
      </w:tr>
      <w:tr>
        <w:trPr>
          <w:trHeight w:val="383"/>
        </w:trPr>
        <w:tc>
          <w:tcPr>
            <w:tcW w:w="274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“China” or “PRC”</w:t>
            </w:r>
          </w:p>
        </w:tc>
        <w:tc>
          <w:tcPr>
            <w:tcW w:w="8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People’s Republic of China, and for the purposes of this circular only, except where the context requires otherwise,</w:t>
            </w:r>
          </w:p>
        </w:tc>
      </w:tr>
      <w:tr>
        <w:trPr>
          <w:trHeight w:val="216"/>
        </w:trPr>
        <w:tc>
          <w:tcPr>
            <w:tcW w:w="274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excluding Hong Kong, the Macao Special Administrative Region of the People’s Republic of China and Taiwan</w:t>
            </w:r>
          </w:p>
        </w:tc>
      </w:tr>
      <w:tr>
        <w:trPr>
          <w:trHeight w:val="624"/>
        </w:trPr>
        <w:tc>
          <w:tcPr>
            <w:tcW w:w="2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7"/>
                <w:szCs w:val="17"/>
                <w:color w:val="auto"/>
              </w:rPr>
              <w:t>– 1 –</w:t>
            </w:r>
          </w:p>
        </w:tc>
      </w:tr>
    </w:tbl>
    <w:p>
      <w:pPr>
        <w:sectPr>
          <w:pgSz w:w="11900" w:h="16838" w:orient="portrait"/>
          <w:cols w:equalWidth="0" w:num="1">
            <w:col w:w="11240"/>
          </w:cols>
          <w:pgMar w:left="320" w:top="881" w:right="3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564515</wp:posOffset>
            </wp:positionV>
            <wp:extent cx="71424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700" w:type="dxa"/>
            <w:vAlign w:val="bottom"/>
          </w:tcPr>
          <w:p>
            <w:pPr>
              <w:spacing w:after="0"/>
              <w:rPr>
                <w:sz w:val="19"/>
                <w:szCs w:val="19"/>
                <w:color w:val="auto"/>
              </w:rPr>
            </w:pPr>
          </w:p>
        </w:tc>
        <w:tc>
          <w:tcPr>
            <w:tcW w:w="8540" w:type="dxa"/>
            <w:vAlign w:val="bottom"/>
          </w:tcPr>
          <w:p>
            <w:pPr>
              <w:ind w:left="2380"/>
              <w:spacing w:after="0"/>
              <w:rPr>
                <w:sz w:val="20"/>
                <w:szCs w:val="20"/>
                <w:color w:val="auto"/>
              </w:rPr>
            </w:pPr>
            <w:r>
              <w:rPr>
                <w:rFonts w:ascii="Times New Roman" w:cs="Times New Roman" w:eastAsia="Times New Roman" w:hAnsi="Times New Roman"/>
                <w:sz w:val="17"/>
                <w:szCs w:val="17"/>
                <w:b w:val="1"/>
                <w:bCs w:val="1"/>
                <w:color w:val="231F20"/>
              </w:rPr>
              <w:t>DEFINITIONS</w:t>
            </w:r>
          </w:p>
        </w:tc>
      </w:tr>
      <w:tr>
        <w:trPr>
          <w:trHeight w:val="37"/>
        </w:trPr>
        <w:tc>
          <w:tcPr>
            <w:tcW w:w="2700" w:type="dxa"/>
            <w:vAlign w:val="bottom"/>
            <w:tcBorders>
              <w:bottom w:val="single" w:sz="8" w:color="auto"/>
            </w:tcBorders>
          </w:tcPr>
          <w:p>
            <w:pPr>
              <w:spacing w:after="0"/>
              <w:rPr>
                <w:sz w:val="3"/>
                <w:szCs w:val="3"/>
                <w:color w:val="auto"/>
              </w:rPr>
            </w:pPr>
          </w:p>
        </w:tc>
        <w:tc>
          <w:tcPr>
            <w:tcW w:w="8540" w:type="dxa"/>
            <w:vAlign w:val="bottom"/>
            <w:tcBorders>
              <w:bottom w:val="single" w:sz="8" w:color="auto"/>
            </w:tcBorders>
          </w:tcPr>
          <w:p>
            <w:pPr>
              <w:spacing w:after="0"/>
              <w:rPr>
                <w:sz w:val="3"/>
                <w:szCs w:val="3"/>
                <w:color w:val="auto"/>
              </w:rPr>
            </w:pPr>
          </w:p>
        </w:tc>
      </w:tr>
      <w:tr>
        <w:trPr>
          <w:trHeight w:val="400"/>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“Class A Ordinary Share(s)”</w:t>
            </w: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7"/>
              </w:rPr>
              <w:t>Class A ordinary share(s) in the share capital of the Company with a par value of US$0.00005 each, conferring a holder of a</w:t>
            </w:r>
          </w:p>
        </w:tc>
      </w:tr>
      <w:tr>
        <w:trPr>
          <w:trHeight w:val="216"/>
        </w:trPr>
        <w:tc>
          <w:tcPr>
            <w:tcW w:w="2700" w:type="dxa"/>
            <w:vAlign w:val="bottom"/>
          </w:tcPr>
          <w:p>
            <w:pPr>
              <w:spacing w:after="0"/>
              <w:rPr>
                <w:sz w:val="18"/>
                <w:szCs w:val="18"/>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Class A ordinary share one vote per Share on any resolution tabled at the Company’s general meetings</w:t>
            </w:r>
          </w:p>
        </w:tc>
      </w:tr>
      <w:tr>
        <w:trPr>
          <w:trHeight w:val="383"/>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“Class B Ordinary Share(s)”</w:t>
            </w: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Class B ordinary share(s) in the share capital of the Company with a par value of US$0.00005 each, conferring weighted</w:t>
            </w:r>
          </w:p>
        </w:tc>
      </w:tr>
      <w:tr>
        <w:trPr>
          <w:trHeight w:val="200"/>
        </w:trPr>
        <w:tc>
          <w:tcPr>
            <w:tcW w:w="2700" w:type="dxa"/>
            <w:vAlign w:val="bottom"/>
          </w:tcPr>
          <w:p>
            <w:pPr>
              <w:spacing w:after="0"/>
              <w:rPr>
                <w:sz w:val="17"/>
                <w:szCs w:val="17"/>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voting rights in the Company such that a holder of a Class B ordinary share is currently entitled to ten votes per Share on</w:t>
            </w:r>
          </w:p>
        </w:tc>
      </w:tr>
      <w:tr>
        <w:trPr>
          <w:trHeight w:val="200"/>
        </w:trPr>
        <w:tc>
          <w:tcPr>
            <w:tcW w:w="2700" w:type="dxa"/>
            <w:vAlign w:val="bottom"/>
          </w:tcPr>
          <w:p>
            <w:pPr>
              <w:spacing w:after="0"/>
              <w:rPr>
                <w:sz w:val="17"/>
                <w:szCs w:val="17"/>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any resolution tabled at the Company’s general meetings, save for resolutions with respect to any Reserved Matters, in</w:t>
            </w:r>
          </w:p>
        </w:tc>
      </w:tr>
      <w:tr>
        <w:trPr>
          <w:trHeight w:val="216"/>
        </w:trPr>
        <w:tc>
          <w:tcPr>
            <w:tcW w:w="2700" w:type="dxa"/>
            <w:vAlign w:val="bottom"/>
          </w:tcPr>
          <w:p>
            <w:pPr>
              <w:spacing w:after="0"/>
              <w:rPr>
                <w:sz w:val="18"/>
                <w:szCs w:val="18"/>
                <w:color w:val="auto"/>
              </w:rPr>
            </w:pP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which case they shall be entitled to one vote per Share</w:t>
            </w:r>
          </w:p>
        </w:tc>
      </w:tr>
      <w:tr>
        <w:trPr>
          <w:trHeight w:val="399"/>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“Company”</w:t>
            </w: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Tuya Inc., an exempted company with limited liability incorporated in the Cayman Islands on August 28, 2014</w:t>
            </w:r>
          </w:p>
        </w:tc>
      </w:tr>
      <w:tr>
        <w:trPr>
          <w:trHeight w:val="399"/>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“Compensation Committee”</w:t>
            </w: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compensation committee of the Board</w:t>
            </w:r>
          </w:p>
        </w:tc>
      </w:tr>
      <w:tr>
        <w:trPr>
          <w:trHeight w:val="399"/>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“connected person(s)”</w:t>
            </w: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has the meaning ascribed to it under the Listing Rules</w:t>
            </w:r>
          </w:p>
        </w:tc>
      </w:tr>
      <w:tr>
        <w:trPr>
          <w:trHeight w:val="399"/>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“controlling shareholder(s)”</w:t>
            </w: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has the meaning ascribed to it under the Listing Rules</w:t>
            </w:r>
          </w:p>
        </w:tc>
      </w:tr>
      <w:tr>
        <w:trPr>
          <w:trHeight w:val="379"/>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“Depositary” or “The Bank of New</w:t>
            </w: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231F20"/>
              </w:rPr>
              <w:t>The Bank of New York Mellon, the depositary of our ADSs</w:t>
            </w:r>
          </w:p>
        </w:tc>
      </w:tr>
      <w:tr>
        <w:trPr>
          <w:trHeight w:val="220"/>
        </w:trPr>
        <w:tc>
          <w:tcPr>
            <w:tcW w:w="27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231F20"/>
              </w:rPr>
              <w:t>York Mellon”</w:t>
            </w:r>
          </w:p>
        </w:tc>
        <w:tc>
          <w:tcPr>
            <w:tcW w:w="8540" w:type="dxa"/>
            <w:vAlign w:val="bottom"/>
          </w:tcPr>
          <w:p>
            <w:pPr>
              <w:spacing w:after="0"/>
              <w:rPr>
                <w:sz w:val="19"/>
                <w:szCs w:val="19"/>
                <w:color w:val="auto"/>
              </w:rPr>
            </w:pPr>
          </w:p>
        </w:tc>
      </w:tr>
      <w:tr>
        <w:trPr>
          <w:trHeight w:val="399"/>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“Director(s)”</w:t>
            </w: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director(s)of the Company</w:t>
            </w:r>
          </w:p>
        </w:tc>
      </w:tr>
      <w:tr>
        <w:trPr>
          <w:trHeight w:val="399"/>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“Group”</w:t>
            </w: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231F20"/>
              </w:rPr>
              <w:t>the Company, its subsidiaries and the consolidated affiliated entities from time to time</w:t>
            </w:r>
          </w:p>
        </w:tc>
      </w:tr>
      <w:tr>
        <w:trPr>
          <w:trHeight w:val="399"/>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“HKSCC”</w:t>
            </w: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Hong Kong Securities Clearing Company Limited</w:t>
            </w:r>
          </w:p>
        </w:tc>
      </w:tr>
      <w:tr>
        <w:trPr>
          <w:trHeight w:val="399"/>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“HK$”</w:t>
            </w: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Hong Kong dollars, the lawful currency of Hong Kong</w:t>
            </w:r>
          </w:p>
        </w:tc>
      </w:tr>
      <w:tr>
        <w:trPr>
          <w:trHeight w:val="399"/>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“Hong Kong”</w:t>
            </w: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Hong Kong Special Administrative Region of the People’s Republic of China</w:t>
            </w:r>
          </w:p>
        </w:tc>
      </w:tr>
      <w:tr>
        <w:trPr>
          <w:trHeight w:val="379"/>
        </w:trPr>
        <w:tc>
          <w:tcPr>
            <w:tcW w:w="27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“Hong Kong Stock Exchange” or</w:t>
            </w:r>
          </w:p>
        </w:tc>
        <w:tc>
          <w:tcPr>
            <w:tcW w:w="85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Stock Exchange of Hong Kong Limited</w:t>
            </w:r>
          </w:p>
        </w:tc>
      </w:tr>
      <w:tr>
        <w:trPr>
          <w:trHeight w:val="220"/>
        </w:trPr>
        <w:tc>
          <w:tcPr>
            <w:tcW w:w="27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231F20"/>
              </w:rPr>
              <w:t>“Stock Exchange”</w:t>
            </w:r>
          </w:p>
        </w:tc>
        <w:tc>
          <w:tcPr>
            <w:tcW w:w="8540" w:type="dxa"/>
            <w:vAlign w:val="bottom"/>
          </w:tcPr>
          <w:p>
            <w:pPr>
              <w:spacing w:after="0"/>
              <w:rPr>
                <w:sz w:val="19"/>
                <w:szCs w:val="19"/>
                <w:color w:val="auto"/>
              </w:rPr>
            </w:pPr>
          </w:p>
        </w:tc>
      </w:tr>
      <w:tr>
        <w:trPr>
          <w:trHeight w:val="624"/>
        </w:trPr>
        <w:tc>
          <w:tcPr>
            <w:tcW w:w="27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7"/>
                <w:szCs w:val="17"/>
                <w:color w:val="auto"/>
              </w:rPr>
              <w:t>– 2 –</w:t>
            </w:r>
          </w:p>
        </w:tc>
      </w:tr>
    </w:tbl>
    <w:p>
      <w:pPr>
        <w:sectPr>
          <w:pgSz w:w="11900" w:h="16838" w:orient="portrait"/>
          <w:cols w:equalWidth="0" w:num="1">
            <w:col w:w="11240"/>
          </w:cols>
          <w:pgMar w:left="320" w:top="906" w:right="3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564515</wp:posOffset>
            </wp:positionV>
            <wp:extent cx="714248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600" w:type="dxa"/>
            <w:vAlign w:val="bottom"/>
          </w:tcPr>
          <w:p>
            <w:pPr>
              <w:spacing w:after="0"/>
              <w:rPr>
                <w:sz w:val="19"/>
                <w:szCs w:val="19"/>
                <w:color w:val="auto"/>
              </w:rPr>
            </w:pPr>
          </w:p>
        </w:tc>
        <w:tc>
          <w:tcPr>
            <w:tcW w:w="8640" w:type="dxa"/>
            <w:vAlign w:val="bottom"/>
          </w:tcPr>
          <w:p>
            <w:pPr>
              <w:ind w:left="2480"/>
              <w:spacing w:after="0"/>
              <w:rPr>
                <w:sz w:val="20"/>
                <w:szCs w:val="20"/>
                <w:color w:val="auto"/>
              </w:rPr>
            </w:pPr>
            <w:r>
              <w:rPr>
                <w:rFonts w:ascii="Times New Roman" w:cs="Times New Roman" w:eastAsia="Times New Roman" w:hAnsi="Times New Roman"/>
                <w:sz w:val="17"/>
                <w:szCs w:val="17"/>
                <w:b w:val="1"/>
                <w:bCs w:val="1"/>
                <w:color w:val="231F20"/>
              </w:rPr>
              <w:t>DEFINITIONS</w:t>
            </w:r>
          </w:p>
        </w:tc>
      </w:tr>
      <w:tr>
        <w:trPr>
          <w:trHeight w:val="37"/>
        </w:trPr>
        <w:tc>
          <w:tcPr>
            <w:tcW w:w="2600" w:type="dxa"/>
            <w:vAlign w:val="bottom"/>
            <w:tcBorders>
              <w:bottom w:val="single" w:sz="8" w:color="auto"/>
            </w:tcBorders>
          </w:tcPr>
          <w:p>
            <w:pPr>
              <w:spacing w:after="0"/>
              <w:rPr>
                <w:sz w:val="3"/>
                <w:szCs w:val="3"/>
                <w:color w:val="auto"/>
              </w:rPr>
            </w:pPr>
          </w:p>
        </w:tc>
        <w:tc>
          <w:tcPr>
            <w:tcW w:w="8640" w:type="dxa"/>
            <w:vAlign w:val="bottom"/>
            <w:tcBorders>
              <w:bottom w:val="single" w:sz="8" w:color="auto"/>
            </w:tcBorders>
          </w:tcPr>
          <w:p>
            <w:pPr>
              <w:spacing w:after="0"/>
              <w:rPr>
                <w:sz w:val="3"/>
                <w:szCs w:val="3"/>
                <w:color w:val="auto"/>
              </w:rPr>
            </w:pPr>
          </w:p>
        </w:tc>
      </w:tr>
      <w:tr>
        <w:trPr>
          <w:trHeight w:val="400"/>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“Interim Measures”</w:t>
            </w:r>
          </w:p>
        </w:tc>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has the meaning ascribed to it in the section headed “4. Impact of Repurchases and Interim Measures” in page 13 of this</w:t>
            </w:r>
          </w:p>
        </w:tc>
      </w:tr>
      <w:tr>
        <w:trPr>
          <w:trHeight w:val="216"/>
        </w:trPr>
        <w:tc>
          <w:tcPr>
            <w:tcW w:w="260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circular</w:t>
            </w:r>
          </w:p>
        </w:tc>
      </w:tr>
      <w:tr>
        <w:trPr>
          <w:trHeight w:val="383"/>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“Issuance and Resale Mandate”</w:t>
            </w:r>
          </w:p>
        </w:tc>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7"/>
              </w:rPr>
              <w:t>has the meaning ascribed to it in the section headed “2. Proposed Grant of General Mandate to (I) Issue Shares and/or ADSs</w:t>
            </w:r>
          </w:p>
        </w:tc>
      </w:tr>
      <w:tr>
        <w:trPr>
          <w:trHeight w:val="216"/>
        </w:trPr>
        <w:tc>
          <w:tcPr>
            <w:tcW w:w="260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and (II) Sell and/or Transfer Treasury Shares” in page 7 of this circular</w:t>
            </w:r>
          </w:p>
        </w:tc>
      </w:tr>
      <w:tr>
        <w:trPr>
          <w:trHeight w:val="383"/>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“Latest Practicable Date”</w:t>
            </w:r>
          </w:p>
        </w:tc>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May 8, 2026, being the latest practicable date prior to the publication of this circular for ascertaining certain information</w:t>
            </w:r>
          </w:p>
        </w:tc>
      </w:tr>
      <w:tr>
        <w:trPr>
          <w:trHeight w:val="216"/>
        </w:trPr>
        <w:tc>
          <w:tcPr>
            <w:tcW w:w="260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contained herein</w:t>
            </w:r>
          </w:p>
        </w:tc>
      </w:tr>
      <w:tr>
        <w:trPr>
          <w:trHeight w:val="399"/>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“Listing”</w:t>
            </w:r>
          </w:p>
        </w:tc>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 listing of the Class A Ordinary Shares on the Main Board of the Stock Exchange on July 5, 2022</w:t>
            </w:r>
          </w:p>
        </w:tc>
      </w:tr>
      <w:tr>
        <w:trPr>
          <w:trHeight w:val="383"/>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“Listing Date”</w:t>
            </w:r>
          </w:p>
        </w:tc>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 date on which the Class A Ordinary Shares are listed and on which dealings in the Class A Ordinary Shares are first</w:t>
            </w:r>
          </w:p>
        </w:tc>
      </w:tr>
      <w:tr>
        <w:trPr>
          <w:trHeight w:val="216"/>
        </w:trPr>
        <w:tc>
          <w:tcPr>
            <w:tcW w:w="260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permitted to take place on the Stock Exchange, which is Tuesday, July 5, 2022</w:t>
            </w:r>
          </w:p>
        </w:tc>
      </w:tr>
    </w:tbl>
    <w:p>
      <w:pPr>
        <w:spacing w:after="0" w:line="179"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7"/>
          <w:szCs w:val="17"/>
          <w:b w:val="1"/>
          <w:bCs w:val="1"/>
          <w:color w:val="231F20"/>
        </w:rPr>
        <w:t>“Listing Rules” or “Hong Kong Listing</w:t>
      </w:r>
      <w:r>
        <w:rPr>
          <w:sz w:val="20"/>
          <w:szCs w:val="20"/>
          <w:color w:val="auto"/>
        </w:rPr>
        <w:tab/>
      </w:r>
      <w:r>
        <w:rPr>
          <w:rFonts w:ascii="Times New Roman" w:cs="Times New Roman" w:eastAsia="Times New Roman" w:hAnsi="Times New Roman"/>
          <w:sz w:val="16"/>
          <w:szCs w:val="16"/>
          <w:color w:val="auto"/>
        </w:rPr>
        <w:t>the Rules Governing the Listing of Securities on The Stock Exchange of Hong Kong Limited, as amended from time to time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231F20"/>
              </w:rPr>
              <w:t>Rules”</w:t>
            </w:r>
          </w:p>
        </w:tc>
        <w:tc>
          <w:tcPr>
            <w:tcW w:w="8740" w:type="dxa"/>
            <w:vAlign w:val="bottom"/>
          </w:tcPr>
          <w:p>
            <w:pPr>
              <w:spacing w:after="0"/>
              <w:rPr>
                <w:sz w:val="19"/>
                <w:szCs w:val="19"/>
                <w:color w:val="auto"/>
              </w:rPr>
            </w:pPr>
          </w:p>
        </w:tc>
      </w:tr>
      <w:tr>
        <w:trPr>
          <w:trHeight w:val="362"/>
        </w:trPr>
        <w:tc>
          <w:tcPr>
            <w:tcW w:w="25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“Memorandum”</w:t>
            </w:r>
          </w:p>
        </w:tc>
        <w:tc>
          <w:tcPr>
            <w:tcW w:w="8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tenth amended and restated memorandum of association of the Company adopted by a special resolution of the</w:t>
            </w:r>
          </w:p>
        </w:tc>
      </w:tr>
      <w:tr>
        <w:trPr>
          <w:trHeight w:val="216"/>
        </w:trPr>
        <w:tc>
          <w:tcPr>
            <w:tcW w:w="2500" w:type="dxa"/>
            <w:vAlign w:val="bottom"/>
          </w:tcPr>
          <w:p>
            <w:pPr>
              <w:spacing w:after="0"/>
              <w:rPr>
                <w:sz w:val="18"/>
                <w:szCs w:val="18"/>
                <w:color w:val="auto"/>
              </w:rPr>
            </w:pPr>
          </w:p>
        </w:tc>
        <w:tc>
          <w:tcPr>
            <w:tcW w:w="8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Shareholders of the Company on June 19, 2025 and effective on June 19, 2025</w:t>
            </w:r>
          </w:p>
        </w:tc>
      </w:tr>
      <w:tr>
        <w:trPr>
          <w:trHeight w:val="399"/>
        </w:trPr>
        <w:tc>
          <w:tcPr>
            <w:tcW w:w="25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“Model Code”</w:t>
            </w:r>
          </w:p>
        </w:tc>
        <w:tc>
          <w:tcPr>
            <w:tcW w:w="8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Model Code for Securities Transactions by Directors of Listed Issuers set out in Appendix C3 of the Listing Rules</w:t>
            </w:r>
          </w:p>
        </w:tc>
      </w:tr>
      <w:tr>
        <w:trPr>
          <w:trHeight w:val="408"/>
        </w:trPr>
        <w:tc>
          <w:tcPr>
            <w:tcW w:w="25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“Mr. Chen”</w:t>
            </w:r>
          </w:p>
        </w:tc>
        <w:tc>
          <w:tcPr>
            <w:tcW w:w="8740" w:type="dxa"/>
            <w:vAlign w:val="bottom"/>
          </w:tcPr>
          <w:p>
            <w:pPr>
              <w:ind w:left="440"/>
              <w:spacing w:after="0" w:line="207" w:lineRule="exact"/>
              <w:rPr>
                <w:sz w:val="20"/>
                <w:szCs w:val="20"/>
                <w:color w:val="auto"/>
              </w:rPr>
            </w:pPr>
            <w:r>
              <w:rPr>
                <w:rFonts w:ascii="Times New Roman" w:cs="Times New Roman" w:eastAsia="Times New Roman" w:hAnsi="Times New Roman"/>
                <w:sz w:val="17"/>
                <w:szCs w:val="17"/>
                <w:color w:val="auto"/>
                <w:w w:val="98"/>
              </w:rPr>
              <w:t>Mr.CHEN Liaohan (</w:t>
            </w:r>
            <w:r>
              <w:rPr>
                <w:rFonts w:ascii="PMingLiU" w:cs="PMingLiU" w:eastAsia="PMingLiU" w:hAnsi="PMingLiU"/>
                <w:sz w:val="17"/>
                <w:szCs w:val="17"/>
                <w:color w:val="auto"/>
                <w:w w:val="98"/>
              </w:rPr>
              <w:t>陳燎罕</w:t>
            </w:r>
            <w:r>
              <w:rPr>
                <w:rFonts w:ascii="Times New Roman" w:cs="Times New Roman" w:eastAsia="Times New Roman" w:hAnsi="Times New Roman"/>
                <w:sz w:val="17"/>
                <w:szCs w:val="17"/>
                <w:color w:val="auto"/>
                <w:w w:val="98"/>
              </w:rPr>
              <w:t>), our founder, an executive Director, co-chairman of the Board, president of the Company, and</w:t>
            </w:r>
          </w:p>
        </w:tc>
      </w:tr>
      <w:tr>
        <w:trPr>
          <w:trHeight w:val="216"/>
        </w:trPr>
        <w:tc>
          <w:tcPr>
            <w:tcW w:w="2500" w:type="dxa"/>
            <w:vAlign w:val="bottom"/>
          </w:tcPr>
          <w:p>
            <w:pPr>
              <w:spacing w:after="0"/>
              <w:rPr>
                <w:sz w:val="18"/>
                <w:szCs w:val="18"/>
                <w:color w:val="auto"/>
              </w:rPr>
            </w:pPr>
          </w:p>
        </w:tc>
        <w:tc>
          <w:tcPr>
            <w:tcW w:w="8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one of the controlling shareholders of the Company</w:t>
            </w:r>
          </w:p>
        </w:tc>
      </w:tr>
      <w:tr>
        <w:trPr>
          <w:trHeight w:val="408"/>
        </w:trPr>
        <w:tc>
          <w:tcPr>
            <w:tcW w:w="25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“Mr. Wang”</w:t>
            </w:r>
          </w:p>
        </w:tc>
        <w:tc>
          <w:tcPr>
            <w:tcW w:w="8740" w:type="dxa"/>
            <w:vAlign w:val="bottom"/>
          </w:tcPr>
          <w:p>
            <w:pPr>
              <w:ind w:left="440"/>
              <w:spacing w:after="0" w:line="207" w:lineRule="exact"/>
              <w:rPr>
                <w:sz w:val="20"/>
                <w:szCs w:val="20"/>
                <w:color w:val="auto"/>
              </w:rPr>
            </w:pPr>
            <w:r>
              <w:rPr>
                <w:rFonts w:ascii="Times New Roman" w:cs="Times New Roman" w:eastAsia="Times New Roman" w:hAnsi="Times New Roman"/>
                <w:sz w:val="17"/>
                <w:szCs w:val="17"/>
                <w:color w:val="auto"/>
              </w:rPr>
              <w:t>Mr.WANG Xueji (</w:t>
            </w:r>
            <w:r>
              <w:rPr>
                <w:rFonts w:ascii="PMingLiU" w:cs="PMingLiU" w:eastAsia="PMingLiU" w:hAnsi="PMingLiU"/>
                <w:sz w:val="17"/>
                <w:szCs w:val="17"/>
                <w:color w:val="auto"/>
              </w:rPr>
              <w:t>王學集</w:t>
            </w:r>
            <w:r>
              <w:rPr>
                <w:rFonts w:ascii="Times New Roman" w:cs="Times New Roman" w:eastAsia="Times New Roman" w:hAnsi="Times New Roman"/>
                <w:sz w:val="17"/>
                <w:szCs w:val="17"/>
                <w:color w:val="auto"/>
              </w:rPr>
              <w:t>), our founder, an executive Director, co-chairman of the Board, chief executive officer of the</w:t>
            </w:r>
          </w:p>
        </w:tc>
      </w:tr>
      <w:tr>
        <w:trPr>
          <w:trHeight w:val="216"/>
        </w:trPr>
        <w:tc>
          <w:tcPr>
            <w:tcW w:w="2500" w:type="dxa"/>
            <w:vAlign w:val="bottom"/>
          </w:tcPr>
          <w:p>
            <w:pPr>
              <w:spacing w:after="0"/>
              <w:rPr>
                <w:sz w:val="18"/>
                <w:szCs w:val="18"/>
                <w:color w:val="auto"/>
              </w:rPr>
            </w:pPr>
          </w:p>
        </w:tc>
        <w:tc>
          <w:tcPr>
            <w:tcW w:w="8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Company, and one of the controlling shareholders of the Company</w:t>
            </w:r>
          </w:p>
        </w:tc>
      </w:tr>
      <w:tr>
        <w:trPr>
          <w:trHeight w:val="399"/>
        </w:trPr>
        <w:tc>
          <w:tcPr>
            <w:tcW w:w="25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“Nomination Committee”</w:t>
            </w:r>
          </w:p>
        </w:tc>
        <w:tc>
          <w:tcPr>
            <w:tcW w:w="8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nomination committee of the Board</w:t>
            </w:r>
          </w:p>
        </w:tc>
      </w:tr>
      <w:tr>
        <w:trPr>
          <w:trHeight w:val="379"/>
        </w:trPr>
        <w:tc>
          <w:tcPr>
            <w:tcW w:w="250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“NYSE” or “New York Stock</w:t>
            </w:r>
          </w:p>
        </w:tc>
        <w:tc>
          <w:tcPr>
            <w:tcW w:w="874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231F20"/>
              </w:rPr>
              <w:t> </w:t>
            </w:r>
            <w:r>
              <w:rPr>
                <w:rFonts w:ascii="Times New Roman" w:cs="Times New Roman" w:eastAsia="Times New Roman" w:hAnsi="Times New Roman"/>
                <w:sz w:val="17"/>
                <w:szCs w:val="17"/>
                <w:color w:val="231F20"/>
              </w:rPr>
              <w:t>the New York Stock Exchange</w:t>
            </w:r>
          </w:p>
        </w:tc>
      </w:tr>
      <w:tr>
        <w:trPr>
          <w:trHeight w:val="220"/>
        </w:trPr>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231F20"/>
              </w:rPr>
              <w:t>Exchange”</w:t>
            </w:r>
          </w:p>
        </w:tc>
        <w:tc>
          <w:tcPr>
            <w:tcW w:w="8740" w:type="dxa"/>
            <w:vAlign w:val="bottom"/>
          </w:tcPr>
          <w:p>
            <w:pPr>
              <w:spacing w:after="0"/>
              <w:rPr>
                <w:sz w:val="19"/>
                <w:szCs w:val="19"/>
                <w:color w:val="auto"/>
              </w:rPr>
            </w:pPr>
          </w:p>
        </w:tc>
      </w:tr>
      <w:tr>
        <w:trPr>
          <w:trHeight w:val="624"/>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7"/>
                <w:szCs w:val="17"/>
                <w:color w:val="auto"/>
              </w:rPr>
              <w:t>– 3 –</w:t>
            </w:r>
          </w:p>
        </w:tc>
      </w:tr>
    </w:tbl>
    <w:p>
      <w:pPr>
        <w:sectPr>
          <w:pgSz w:w="11900" w:h="16838" w:orient="portrait"/>
          <w:cols w:equalWidth="0" w:num="1">
            <w:col w:w="11240"/>
          </w:cols>
          <w:pgMar w:left="320" w:top="906" w:right="3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564515</wp:posOffset>
            </wp:positionV>
            <wp:extent cx="714248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480" w:type="dxa"/>
            <w:vAlign w:val="bottom"/>
          </w:tcPr>
          <w:p>
            <w:pPr>
              <w:spacing w:after="0"/>
              <w:rPr>
                <w:sz w:val="19"/>
                <w:szCs w:val="19"/>
                <w:color w:val="auto"/>
              </w:rPr>
            </w:pPr>
          </w:p>
        </w:tc>
        <w:tc>
          <w:tcPr>
            <w:tcW w:w="8760" w:type="dxa"/>
            <w:vAlign w:val="bottom"/>
          </w:tcPr>
          <w:p>
            <w:pPr>
              <w:ind w:left="2600"/>
              <w:spacing w:after="0"/>
              <w:rPr>
                <w:sz w:val="20"/>
                <w:szCs w:val="20"/>
                <w:color w:val="auto"/>
              </w:rPr>
            </w:pPr>
            <w:r>
              <w:rPr>
                <w:rFonts w:ascii="Times New Roman" w:cs="Times New Roman" w:eastAsia="Times New Roman" w:hAnsi="Times New Roman"/>
                <w:sz w:val="17"/>
                <w:szCs w:val="17"/>
                <w:b w:val="1"/>
                <w:bCs w:val="1"/>
                <w:color w:val="231F20"/>
              </w:rPr>
              <w:t>DEFINITIONS</w:t>
            </w:r>
          </w:p>
        </w:tc>
      </w:tr>
      <w:tr>
        <w:trPr>
          <w:trHeight w:val="37"/>
        </w:trPr>
        <w:tc>
          <w:tcPr>
            <w:tcW w:w="2480" w:type="dxa"/>
            <w:vAlign w:val="bottom"/>
            <w:tcBorders>
              <w:bottom w:val="single" w:sz="8" w:color="auto"/>
            </w:tcBorders>
          </w:tcPr>
          <w:p>
            <w:pPr>
              <w:spacing w:after="0"/>
              <w:rPr>
                <w:sz w:val="3"/>
                <w:szCs w:val="3"/>
                <w:color w:val="auto"/>
              </w:rPr>
            </w:pPr>
          </w:p>
        </w:tc>
        <w:tc>
          <w:tcPr>
            <w:tcW w:w="8760" w:type="dxa"/>
            <w:vAlign w:val="bottom"/>
            <w:tcBorders>
              <w:bottom w:val="single" w:sz="8" w:color="auto"/>
            </w:tcBorders>
          </w:tcPr>
          <w:p>
            <w:pPr>
              <w:spacing w:after="0"/>
              <w:rPr>
                <w:sz w:val="3"/>
                <w:szCs w:val="3"/>
                <w:color w:val="auto"/>
              </w:rPr>
            </w:pPr>
          </w:p>
        </w:tc>
      </w:tr>
      <w:tr>
        <w:trPr>
          <w:trHeight w:val="400"/>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“Repurchase Mandate”</w:t>
            </w: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has the meaning ascribed to it in the section headed “3. Proposed Grant of General Mandate to Repurchase Shares and/or</w:t>
            </w:r>
          </w:p>
        </w:tc>
      </w:tr>
      <w:tr>
        <w:trPr>
          <w:trHeight w:val="216"/>
        </w:trPr>
        <w:tc>
          <w:tcPr>
            <w:tcW w:w="2480" w:type="dxa"/>
            <w:vAlign w:val="bottom"/>
          </w:tcPr>
          <w:p>
            <w:pPr>
              <w:spacing w:after="0"/>
              <w:rPr>
                <w:sz w:val="18"/>
                <w:szCs w:val="18"/>
                <w:color w:val="auto"/>
              </w:rPr>
            </w:pP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ADSs” in page 8 of this circular</w:t>
            </w:r>
          </w:p>
        </w:tc>
      </w:tr>
      <w:tr>
        <w:trPr>
          <w:trHeight w:val="383"/>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“Reserved Matters”</w:t>
            </w: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7"/>
              </w:rPr>
              <w:t>those resolutions with respect to which each Share is entitled to one vote at general meetings of the Company pursuant to the</w:t>
            </w:r>
          </w:p>
        </w:tc>
      </w:tr>
      <w:tr>
        <w:trPr>
          <w:trHeight w:val="200"/>
        </w:trPr>
        <w:tc>
          <w:tcPr>
            <w:tcW w:w="2480" w:type="dxa"/>
            <w:vAlign w:val="bottom"/>
          </w:tcPr>
          <w:p>
            <w:pPr>
              <w:spacing w:after="0"/>
              <w:rPr>
                <w:sz w:val="17"/>
                <w:szCs w:val="17"/>
                <w:color w:val="auto"/>
              </w:rPr>
            </w:pP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7"/>
              </w:rPr>
              <w:t>Listing Rules and the Memorandum and Articles, being: (i) any amendment to the memorandum of association or articles of</w:t>
            </w:r>
          </w:p>
        </w:tc>
      </w:tr>
      <w:tr>
        <w:trPr>
          <w:trHeight w:val="200"/>
        </w:trPr>
        <w:tc>
          <w:tcPr>
            <w:tcW w:w="2480" w:type="dxa"/>
            <w:vAlign w:val="bottom"/>
          </w:tcPr>
          <w:p>
            <w:pPr>
              <w:spacing w:after="0"/>
              <w:rPr>
                <w:sz w:val="17"/>
                <w:szCs w:val="17"/>
                <w:color w:val="auto"/>
              </w:rPr>
            </w:pP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9"/>
              </w:rPr>
              <w:t>association of the Company, (ii) the variation of the rights attached to any class of Shares, (iii)the appointment, election or</w:t>
            </w:r>
          </w:p>
        </w:tc>
      </w:tr>
      <w:tr>
        <w:trPr>
          <w:trHeight w:val="200"/>
        </w:trPr>
        <w:tc>
          <w:tcPr>
            <w:tcW w:w="2480" w:type="dxa"/>
            <w:vAlign w:val="bottom"/>
          </w:tcPr>
          <w:p>
            <w:pPr>
              <w:spacing w:after="0"/>
              <w:rPr>
                <w:sz w:val="17"/>
                <w:szCs w:val="17"/>
                <w:color w:val="auto"/>
              </w:rPr>
            </w:pP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8"/>
              </w:rPr>
              <w:t>removal of any independent non-executive Director, (iv) the appointment or removal of the Company’s auditors, and (v) the</w:t>
            </w:r>
          </w:p>
        </w:tc>
      </w:tr>
      <w:tr>
        <w:trPr>
          <w:trHeight w:val="216"/>
        </w:trPr>
        <w:tc>
          <w:tcPr>
            <w:tcW w:w="2480" w:type="dxa"/>
            <w:vAlign w:val="bottom"/>
          </w:tcPr>
          <w:p>
            <w:pPr>
              <w:spacing w:after="0"/>
              <w:rPr>
                <w:sz w:val="18"/>
                <w:szCs w:val="18"/>
                <w:color w:val="auto"/>
              </w:rPr>
            </w:pP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voluntary liquidation or winding-up of the Company</w:t>
            </w:r>
          </w:p>
        </w:tc>
      </w:tr>
      <w:tr>
        <w:trPr>
          <w:trHeight w:val="383"/>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“SFO”</w:t>
            </w: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231F20"/>
              </w:rPr>
              <w:t>Securities and Futures Ordinance (Chapter 571 of the Laws of Hong Kong), as amended, supplemented or otherwise</w:t>
            </w:r>
          </w:p>
        </w:tc>
      </w:tr>
      <w:tr>
        <w:trPr>
          <w:trHeight w:val="216"/>
        </w:trPr>
        <w:tc>
          <w:tcPr>
            <w:tcW w:w="2480" w:type="dxa"/>
            <w:vAlign w:val="bottom"/>
          </w:tcPr>
          <w:p>
            <w:pPr>
              <w:spacing w:after="0"/>
              <w:rPr>
                <w:sz w:val="18"/>
                <w:szCs w:val="18"/>
                <w:color w:val="auto"/>
              </w:rPr>
            </w:pP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231F20"/>
              </w:rPr>
              <w:t>modified from time to time</w:t>
            </w:r>
          </w:p>
        </w:tc>
      </w:tr>
      <w:tr>
        <w:trPr>
          <w:trHeight w:val="399"/>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“Shareholder(s)”</w:t>
            </w: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holder(s) of Shares and, where the context requires, ADSs</w:t>
            </w:r>
          </w:p>
        </w:tc>
      </w:tr>
      <w:tr>
        <w:trPr>
          <w:trHeight w:val="399"/>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“Share Record Date”</w:t>
            </w: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May 22, 2026 (Hong Kong time)</w:t>
            </w:r>
          </w:p>
        </w:tc>
      </w:tr>
      <w:tr>
        <w:trPr>
          <w:trHeight w:val="383"/>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“Shares”</w:t>
            </w: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the Class A Ordinary Shares and Class B Ordinary Shares in the share capital of the Company, as the context so requires</w:t>
            </w:r>
          </w:p>
        </w:tc>
      </w:tr>
      <w:tr>
        <w:trPr>
          <w:trHeight w:val="200"/>
        </w:trPr>
        <w:tc>
          <w:tcPr>
            <w:tcW w:w="2480" w:type="dxa"/>
            <w:vAlign w:val="bottom"/>
          </w:tcPr>
          <w:p>
            <w:pPr>
              <w:spacing w:after="0"/>
              <w:rPr>
                <w:sz w:val="17"/>
                <w:szCs w:val="17"/>
                <w:color w:val="auto"/>
              </w:rPr>
            </w:pP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(treasury shares, if any and registered under the name of the Company, shall have no voting rights at the general</w:t>
            </w:r>
          </w:p>
        </w:tc>
      </w:tr>
      <w:tr>
        <w:trPr>
          <w:trHeight w:val="200"/>
        </w:trPr>
        <w:tc>
          <w:tcPr>
            <w:tcW w:w="2480" w:type="dxa"/>
            <w:vAlign w:val="bottom"/>
          </w:tcPr>
          <w:p>
            <w:pPr>
              <w:spacing w:after="0"/>
              <w:rPr>
                <w:sz w:val="17"/>
                <w:szCs w:val="17"/>
                <w:color w:val="auto"/>
              </w:rPr>
            </w:pP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9"/>
              </w:rPr>
              <w:t>meeting(s)of the Company; and for the avoidance of doubt, for the purpose of the Listing Rules, the Company shall, upon</w:t>
            </w:r>
          </w:p>
        </w:tc>
      </w:tr>
      <w:tr>
        <w:trPr>
          <w:trHeight w:val="216"/>
        </w:trPr>
        <w:tc>
          <w:tcPr>
            <w:tcW w:w="2480" w:type="dxa"/>
            <w:vAlign w:val="bottom"/>
          </w:tcPr>
          <w:p>
            <w:pPr>
              <w:spacing w:after="0"/>
              <w:rPr>
                <w:sz w:val="18"/>
                <w:szCs w:val="18"/>
                <w:color w:val="auto"/>
              </w:rPr>
            </w:pP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8"/>
              </w:rPr>
              <w:t>depositing any treasury shares in the CCASS, abstain from voting at any of its general meeting(s)in relation to those shares)</w:t>
            </w:r>
          </w:p>
        </w:tc>
      </w:tr>
      <w:tr>
        <w:trPr>
          <w:trHeight w:val="399"/>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“subsidiary(ies)”</w:t>
            </w: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has the meaning ascribed to it under the Listing Rules</w:t>
            </w:r>
          </w:p>
        </w:tc>
      </w:tr>
      <w:tr>
        <w:trPr>
          <w:trHeight w:val="399"/>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“substantial shareholder(s)”</w:t>
            </w: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231F20"/>
              </w:rPr>
              <w:t>has the meaning ascribed to it under the Listing Rules</w:t>
            </w:r>
          </w:p>
        </w:tc>
      </w:tr>
      <w:tr>
        <w:trPr>
          <w:trHeight w:val="383"/>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“Takeovers Code”</w:t>
            </w: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97"/>
              </w:rPr>
              <w:t>the Codes on Takeovers and Mergers and Share Buy-backs issued by the Securities and Futures Commission in Hong Kong,</w:t>
            </w:r>
          </w:p>
        </w:tc>
      </w:tr>
      <w:tr>
        <w:trPr>
          <w:trHeight w:val="216"/>
        </w:trPr>
        <w:tc>
          <w:tcPr>
            <w:tcW w:w="2480" w:type="dxa"/>
            <w:vAlign w:val="bottom"/>
          </w:tcPr>
          <w:p>
            <w:pPr>
              <w:spacing w:after="0"/>
              <w:rPr>
                <w:sz w:val="18"/>
                <w:szCs w:val="18"/>
                <w:color w:val="auto"/>
              </w:rPr>
            </w:pP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as amended, supplemented or otherwise modified from time to time</w:t>
            </w:r>
          </w:p>
        </w:tc>
      </w:tr>
      <w:tr>
        <w:trPr>
          <w:trHeight w:val="399"/>
        </w:trPr>
        <w:tc>
          <w:tcPr>
            <w:tcW w:w="248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“treasury shares”</w:t>
            </w:r>
          </w:p>
        </w:tc>
        <w:tc>
          <w:tcPr>
            <w:tcW w:w="8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has the meaning ascribed to it under the Listing Rules</w:t>
            </w:r>
          </w:p>
        </w:tc>
      </w:tr>
      <w:tr>
        <w:trPr>
          <w:trHeight w:val="624"/>
        </w:trPr>
        <w:tc>
          <w:tcPr>
            <w:tcW w:w="24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7"/>
                <w:szCs w:val="17"/>
                <w:color w:val="auto"/>
              </w:rPr>
              <w:t>– 4 –</w:t>
            </w:r>
          </w:p>
        </w:tc>
      </w:tr>
    </w:tbl>
    <w:p>
      <w:pPr>
        <w:sectPr>
          <w:pgSz w:w="11900" w:h="16838" w:orient="portrait"/>
          <w:cols w:equalWidth="0" w:num="1">
            <w:col w:w="11240"/>
          </w:cols>
          <w:pgMar w:left="320" w:top="906" w:right="3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564515</wp:posOffset>
            </wp:positionV>
            <wp:extent cx="714248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760" w:type="dxa"/>
            <w:vAlign w:val="bottom"/>
          </w:tcPr>
          <w:p>
            <w:pPr>
              <w:spacing w:after="0"/>
              <w:rPr>
                <w:sz w:val="19"/>
                <w:szCs w:val="19"/>
                <w:color w:val="auto"/>
              </w:rPr>
            </w:pPr>
          </w:p>
        </w:tc>
        <w:tc>
          <w:tcPr>
            <w:tcW w:w="8480" w:type="dxa"/>
            <w:vAlign w:val="bottom"/>
          </w:tcPr>
          <w:p>
            <w:pPr>
              <w:ind w:left="2320"/>
              <w:spacing w:after="0"/>
              <w:rPr>
                <w:sz w:val="20"/>
                <w:szCs w:val="20"/>
                <w:color w:val="auto"/>
              </w:rPr>
            </w:pPr>
            <w:r>
              <w:rPr>
                <w:rFonts w:ascii="Times New Roman" w:cs="Times New Roman" w:eastAsia="Times New Roman" w:hAnsi="Times New Roman"/>
                <w:sz w:val="17"/>
                <w:szCs w:val="17"/>
                <w:b w:val="1"/>
                <w:bCs w:val="1"/>
                <w:color w:val="231F20"/>
              </w:rPr>
              <w:t>DEFINITIONS</w:t>
            </w:r>
          </w:p>
        </w:tc>
      </w:tr>
      <w:tr>
        <w:trPr>
          <w:trHeight w:val="37"/>
        </w:trPr>
        <w:tc>
          <w:tcPr>
            <w:tcW w:w="2760" w:type="dxa"/>
            <w:vAlign w:val="bottom"/>
            <w:tcBorders>
              <w:bottom w:val="single" w:sz="8" w:color="auto"/>
            </w:tcBorders>
          </w:tcPr>
          <w:p>
            <w:pPr>
              <w:spacing w:after="0"/>
              <w:rPr>
                <w:sz w:val="3"/>
                <w:szCs w:val="3"/>
                <w:color w:val="auto"/>
              </w:rPr>
            </w:pPr>
          </w:p>
        </w:tc>
        <w:tc>
          <w:tcPr>
            <w:tcW w:w="8480" w:type="dxa"/>
            <w:vAlign w:val="bottom"/>
            <w:tcBorders>
              <w:bottom w:val="single" w:sz="8" w:color="auto"/>
            </w:tcBorders>
          </w:tcPr>
          <w:p>
            <w:pPr>
              <w:spacing w:after="0"/>
              <w:rPr>
                <w:sz w:val="3"/>
                <w:szCs w:val="3"/>
                <w:color w:val="auto"/>
              </w:rPr>
            </w:pPr>
          </w:p>
        </w:tc>
      </w:tr>
      <w:tr>
        <w:trPr>
          <w:trHeight w:val="417"/>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“United States” or “U.S.”</w:t>
            </w:r>
          </w:p>
        </w:tc>
        <w:tc>
          <w:tcPr>
            <w:tcW w:w="8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United States of America, its territories, its possessions and all areas subject to its jurisdiction</w:t>
            </w:r>
          </w:p>
        </w:tc>
      </w:tr>
      <w:tr>
        <w:trPr>
          <w:trHeight w:val="399"/>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“US$”</w:t>
            </w:r>
          </w:p>
        </w:tc>
        <w:tc>
          <w:tcPr>
            <w:tcW w:w="8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United States dollars, the lawful currency of the United States</w:t>
            </w:r>
          </w:p>
        </w:tc>
      </w:tr>
      <w:tr>
        <w:trPr>
          <w:trHeight w:val="399"/>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“weighted voting right”</w:t>
            </w:r>
          </w:p>
        </w:tc>
        <w:tc>
          <w:tcPr>
            <w:tcW w:w="8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has the meaning ascribed to it under the Listing Rules</w:t>
            </w:r>
          </w:p>
        </w:tc>
      </w:tr>
      <w:tr>
        <w:trPr>
          <w:trHeight w:val="379"/>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“WVR Beneficiaries”, each a “WVR</w:t>
            </w:r>
          </w:p>
        </w:tc>
        <w:tc>
          <w:tcPr>
            <w:tcW w:w="8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has the meaning ascribed to it under the Listing Rules and unless the context otherwise requires, refers to Mr.Wang and</w:t>
            </w:r>
          </w:p>
        </w:tc>
      </w:tr>
      <w:tr>
        <w:trPr>
          <w:trHeight w:val="220"/>
        </w:trPr>
        <w:tc>
          <w:tcPr>
            <w:tcW w:w="27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231F20"/>
              </w:rPr>
              <w:t>Beneficiary”</w:t>
            </w:r>
          </w:p>
        </w:tc>
        <w:tc>
          <w:tcPr>
            <w:tcW w:w="8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Mr.Chen, being the beneficial owners of the Class B Ordinary Shares which carry weighted voting rights</w:t>
            </w:r>
          </w:p>
        </w:tc>
      </w:tr>
      <w:tr>
        <w:trPr>
          <w:trHeight w:val="399"/>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“WVR Structure”</w:t>
            </w:r>
          </w:p>
        </w:tc>
        <w:tc>
          <w:tcPr>
            <w:tcW w:w="8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has the meaning ascribed to it under the Listing Rules</w:t>
            </w:r>
          </w:p>
        </w:tc>
      </w:tr>
      <w:tr>
        <w:trPr>
          <w:trHeight w:val="399"/>
        </w:trPr>
        <w:tc>
          <w:tcPr>
            <w:tcW w:w="2760" w:type="dxa"/>
            <w:vAlign w:val="bottom"/>
          </w:tcPr>
          <w:p>
            <w:pPr>
              <w:spacing w:after="0"/>
              <w:rPr>
                <w:sz w:val="20"/>
                <w:szCs w:val="20"/>
                <w:color w:val="auto"/>
              </w:rPr>
            </w:pPr>
            <w:r>
              <w:rPr>
                <w:rFonts w:ascii="Times New Roman" w:cs="Times New Roman" w:eastAsia="Times New Roman" w:hAnsi="Times New Roman"/>
                <w:sz w:val="17"/>
                <w:szCs w:val="17"/>
                <w:b w:val="1"/>
                <w:bCs w:val="1"/>
                <w:color w:val="231F20"/>
              </w:rPr>
              <w:t>“%”</w:t>
            </w:r>
          </w:p>
        </w:tc>
        <w:tc>
          <w:tcPr>
            <w:tcW w:w="8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per cent</w:t>
            </w:r>
          </w:p>
        </w:tc>
      </w:tr>
      <w:tr>
        <w:trPr>
          <w:trHeight w:val="599"/>
        </w:trPr>
        <w:tc>
          <w:tcPr>
            <w:tcW w:w="276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7"/>
                <w:szCs w:val="17"/>
                <w:color w:val="auto"/>
              </w:rPr>
              <w:t>– 5 –</w:t>
            </w:r>
          </w:p>
        </w:tc>
      </w:tr>
    </w:tbl>
    <w:p>
      <w:pPr>
        <w:sectPr>
          <w:pgSz w:w="11900" w:h="16838" w:orient="portrait"/>
          <w:cols w:equalWidth="0" w:num="1">
            <w:col w:w="11240"/>
          </w:cols>
          <w:pgMar w:left="320" w:top="90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2480" cy="762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173990</wp:posOffset>
            </wp:positionV>
            <wp:extent cx="951230" cy="491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230" cy="49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308"/>
        </w:trPr>
        <w:tc>
          <w:tcPr>
            <w:tcW w:w="2840" w:type="dxa"/>
            <w:vAlign w:val="bottom"/>
          </w:tcPr>
          <w:p>
            <w:pPr>
              <w:spacing w:after="0"/>
              <w:rPr>
                <w:sz w:val="24"/>
                <w:szCs w:val="24"/>
                <w:color w:val="auto"/>
              </w:rPr>
            </w:pPr>
          </w:p>
        </w:tc>
        <w:tc>
          <w:tcPr>
            <w:tcW w:w="8400" w:type="dxa"/>
            <w:vAlign w:val="bottom"/>
          </w:tcPr>
          <w:p>
            <w:pPr>
              <w:ind w:left="2320"/>
              <w:spacing w:after="0"/>
              <w:rPr>
                <w:sz w:val="20"/>
                <w:szCs w:val="20"/>
                <w:color w:val="auto"/>
              </w:rPr>
            </w:pPr>
            <w:r>
              <w:rPr>
                <w:rFonts w:ascii="Times New Roman" w:cs="Times New Roman" w:eastAsia="Times New Roman" w:hAnsi="Times New Roman"/>
                <w:sz w:val="23"/>
                <w:szCs w:val="23"/>
                <w:b w:val="1"/>
                <w:bCs w:val="1"/>
                <w:color w:val="231F20"/>
              </w:rPr>
              <w:t>Tuya Inc.</w:t>
            </w:r>
          </w:p>
        </w:tc>
      </w:tr>
      <w:tr>
        <w:trPr>
          <w:trHeight w:val="298"/>
        </w:trPr>
        <w:tc>
          <w:tcPr>
            <w:tcW w:w="2840" w:type="dxa"/>
            <w:vAlign w:val="bottom"/>
          </w:tcPr>
          <w:p>
            <w:pPr>
              <w:spacing w:after="0"/>
              <w:rPr>
                <w:sz w:val="24"/>
                <w:szCs w:val="24"/>
                <w:color w:val="auto"/>
              </w:rPr>
            </w:pPr>
          </w:p>
        </w:tc>
        <w:tc>
          <w:tcPr>
            <w:tcW w:w="8400" w:type="dxa"/>
            <w:vAlign w:val="bottom"/>
          </w:tcPr>
          <w:p>
            <w:pPr>
              <w:jc w:val="center"/>
              <w:ind w:right="2756"/>
              <w:spacing w:after="0" w:line="280" w:lineRule="exact"/>
              <w:rPr>
                <w:sz w:val="20"/>
                <w:szCs w:val="20"/>
                <w:color w:val="auto"/>
              </w:rPr>
            </w:pPr>
            <w:r>
              <w:rPr>
                <w:rFonts w:ascii="PMingLiU" w:cs="PMingLiU" w:eastAsia="PMingLiU" w:hAnsi="PMingLiU"/>
                <w:sz w:val="23"/>
                <w:szCs w:val="23"/>
                <w:color w:val="000000"/>
                <w:shd w:val="clear" w:color="auto" w:fill="231F20"/>
              </w:rPr>
              <w:t>塗鴉智能</w:t>
            </w:r>
            <w:r>
              <w:rPr>
                <w:rFonts w:ascii="Times New Roman" w:cs="Times New Roman" w:eastAsia="Times New Roman" w:hAnsi="Times New Roman"/>
                <w:sz w:val="17"/>
                <w:szCs w:val="17"/>
                <w:b w:val="1"/>
                <w:bCs w:val="1"/>
                <w:color w:val="231F20"/>
              </w:rPr>
              <w:t>*</w:t>
            </w:r>
          </w:p>
        </w:tc>
      </w:tr>
      <w:tr>
        <w:trPr>
          <w:trHeight w:val="201"/>
        </w:trPr>
        <w:tc>
          <w:tcPr>
            <w:tcW w:w="2840" w:type="dxa"/>
            <w:vAlign w:val="bottom"/>
          </w:tcPr>
          <w:p>
            <w:pPr>
              <w:spacing w:after="0"/>
              <w:rPr>
                <w:sz w:val="17"/>
                <w:szCs w:val="17"/>
                <w:color w:val="auto"/>
              </w:rPr>
            </w:pPr>
          </w:p>
        </w:tc>
        <w:tc>
          <w:tcPr>
            <w:tcW w:w="8400" w:type="dxa"/>
            <w:vAlign w:val="bottom"/>
          </w:tcPr>
          <w:p>
            <w:pPr>
              <w:jc w:val="center"/>
              <w:ind w:right="2736"/>
              <w:spacing w:after="0"/>
              <w:rPr>
                <w:sz w:val="20"/>
                <w:szCs w:val="20"/>
                <w:color w:val="auto"/>
              </w:rPr>
            </w:pPr>
            <w:r>
              <w:rPr>
                <w:rFonts w:ascii="Times New Roman" w:cs="Times New Roman" w:eastAsia="Times New Roman" w:hAnsi="Times New Roman"/>
                <w:sz w:val="17"/>
                <w:szCs w:val="17"/>
                <w:i w:val="1"/>
                <w:iCs w:val="1"/>
                <w:color w:val="231F20"/>
                <w:w w:val="97"/>
              </w:rPr>
              <w:t>(A company controlled through weighted voting rights and incorporated in</w:t>
            </w:r>
          </w:p>
        </w:tc>
      </w:tr>
      <w:tr>
        <w:trPr>
          <w:trHeight w:val="198"/>
        </w:trPr>
        <w:tc>
          <w:tcPr>
            <w:tcW w:w="2840" w:type="dxa"/>
            <w:vAlign w:val="bottom"/>
          </w:tcPr>
          <w:p>
            <w:pPr>
              <w:spacing w:after="0"/>
              <w:rPr>
                <w:sz w:val="17"/>
                <w:szCs w:val="17"/>
                <w:color w:val="auto"/>
              </w:rPr>
            </w:pPr>
          </w:p>
        </w:tc>
        <w:tc>
          <w:tcPr>
            <w:tcW w:w="8400" w:type="dxa"/>
            <w:vAlign w:val="bottom"/>
          </w:tcPr>
          <w:p>
            <w:pPr>
              <w:jc w:val="center"/>
              <w:ind w:right="2756"/>
              <w:spacing w:after="0"/>
              <w:rPr>
                <w:sz w:val="20"/>
                <w:szCs w:val="20"/>
                <w:color w:val="auto"/>
              </w:rPr>
            </w:pPr>
            <w:r>
              <w:rPr>
                <w:rFonts w:ascii="Times New Roman" w:cs="Times New Roman" w:eastAsia="Times New Roman" w:hAnsi="Times New Roman"/>
                <w:sz w:val="17"/>
                <w:szCs w:val="17"/>
                <w:i w:val="1"/>
                <w:iCs w:val="1"/>
                <w:color w:val="231F20"/>
                <w:w w:val="97"/>
              </w:rPr>
              <w:t>the Cayman Islands with limited liability)</w:t>
            </w:r>
          </w:p>
        </w:tc>
      </w:tr>
      <w:tr>
        <w:trPr>
          <w:trHeight w:val="200"/>
        </w:trPr>
        <w:tc>
          <w:tcPr>
            <w:tcW w:w="2840" w:type="dxa"/>
            <w:vAlign w:val="bottom"/>
          </w:tcPr>
          <w:p>
            <w:pPr>
              <w:spacing w:after="0"/>
              <w:rPr>
                <w:sz w:val="17"/>
                <w:szCs w:val="17"/>
                <w:color w:val="auto"/>
              </w:rPr>
            </w:pPr>
          </w:p>
        </w:tc>
        <w:tc>
          <w:tcPr>
            <w:tcW w:w="8400" w:type="dxa"/>
            <w:vAlign w:val="bottom"/>
          </w:tcPr>
          <w:p>
            <w:pPr>
              <w:jc w:val="center"/>
              <w:ind w:right="2756"/>
              <w:spacing w:after="0"/>
              <w:rPr>
                <w:sz w:val="20"/>
                <w:szCs w:val="20"/>
                <w:color w:val="auto"/>
              </w:rPr>
            </w:pPr>
            <w:r>
              <w:rPr>
                <w:rFonts w:ascii="Times New Roman" w:cs="Times New Roman" w:eastAsia="Times New Roman" w:hAnsi="Times New Roman"/>
                <w:sz w:val="17"/>
                <w:szCs w:val="17"/>
                <w:b w:val="1"/>
                <w:bCs w:val="1"/>
                <w:color w:val="231F20"/>
                <w:w w:val="97"/>
              </w:rPr>
              <w:t>(HKEX Stock Code: 2391)</w:t>
            </w:r>
          </w:p>
        </w:tc>
      </w:tr>
      <w:tr>
        <w:trPr>
          <w:trHeight w:val="220"/>
        </w:trPr>
        <w:tc>
          <w:tcPr>
            <w:tcW w:w="2840" w:type="dxa"/>
            <w:vAlign w:val="bottom"/>
          </w:tcPr>
          <w:p>
            <w:pPr>
              <w:spacing w:after="0"/>
              <w:rPr>
                <w:sz w:val="19"/>
                <w:szCs w:val="19"/>
                <w:color w:val="auto"/>
              </w:rPr>
            </w:pPr>
          </w:p>
        </w:tc>
        <w:tc>
          <w:tcPr>
            <w:tcW w:w="8400" w:type="dxa"/>
            <w:vAlign w:val="bottom"/>
          </w:tcPr>
          <w:p>
            <w:pPr>
              <w:jc w:val="center"/>
              <w:ind w:right="2736"/>
              <w:spacing w:after="0"/>
              <w:rPr>
                <w:sz w:val="20"/>
                <w:szCs w:val="20"/>
                <w:color w:val="auto"/>
              </w:rPr>
            </w:pPr>
            <w:r>
              <w:rPr>
                <w:rFonts w:ascii="Times New Roman" w:cs="Times New Roman" w:eastAsia="Times New Roman" w:hAnsi="Times New Roman"/>
                <w:sz w:val="17"/>
                <w:szCs w:val="17"/>
                <w:b w:val="1"/>
                <w:bCs w:val="1"/>
                <w:color w:val="231F20"/>
                <w:w w:val="97"/>
              </w:rPr>
              <w:t>(NYSE Stock Ticker: TUYA)</w:t>
            </w:r>
          </w:p>
        </w:tc>
      </w:tr>
      <w:tr>
        <w:trPr>
          <w:trHeight w:val="381"/>
        </w:trPr>
        <w:tc>
          <w:tcPr>
            <w:tcW w:w="28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Executive Directors:</w:t>
            </w: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i w:val="1"/>
                <w:iCs w:val="1"/>
                <w:color w:val="auto"/>
              </w:rPr>
              <w:t>Registered Office:</w:t>
            </w:r>
          </w:p>
        </w:tc>
      </w:tr>
      <w:tr>
        <w:trPr>
          <w:trHeight w:val="200"/>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Mr. WANG Xueji </w:t>
            </w:r>
            <w:r>
              <w:rPr>
                <w:rFonts w:ascii="Times New Roman" w:cs="Times New Roman" w:eastAsia="Times New Roman" w:hAnsi="Times New Roman"/>
                <w:sz w:val="17"/>
                <w:szCs w:val="17"/>
                <w:i w:val="1"/>
                <w:iCs w:val="1"/>
                <w:color w:val="auto"/>
              </w:rPr>
              <w:t>(Co-chairman)</w:t>
            </w: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PO Box 309</w:t>
            </w:r>
          </w:p>
        </w:tc>
      </w:tr>
      <w:tr>
        <w:trPr>
          <w:trHeight w:val="202"/>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Mr. CHEN Liaohan </w:t>
            </w:r>
            <w:r>
              <w:rPr>
                <w:rFonts w:ascii="Times New Roman" w:cs="Times New Roman" w:eastAsia="Times New Roman" w:hAnsi="Times New Roman"/>
                <w:sz w:val="17"/>
                <w:szCs w:val="17"/>
                <w:i w:val="1"/>
                <w:iCs w:val="1"/>
                <w:color w:val="auto"/>
              </w:rPr>
              <w:t>(Co-chairman)</w:t>
            </w: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Ugland House</w:t>
            </w:r>
          </w:p>
        </w:tc>
      </w:tr>
      <w:tr>
        <w:trPr>
          <w:trHeight w:val="200"/>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Mr. YANG Yi</w:t>
            </w: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Grand Cayman, KY1-1104</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Ms. ZHANG Yan</w:t>
            </w: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Cayman Islands</w:t>
            </w:r>
          </w:p>
        </w:tc>
      </w:tr>
      <w:tr>
        <w:trPr>
          <w:trHeight w:val="383"/>
        </w:trPr>
        <w:tc>
          <w:tcPr>
            <w:tcW w:w="28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Independent Non-executive Directors:</w:t>
            </w: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i w:val="1"/>
                <w:iCs w:val="1"/>
                <w:color w:val="auto"/>
              </w:rPr>
              <w:t>Headquarters and Principal Place of Business in the PRC:</w:t>
            </w:r>
          </w:p>
        </w:tc>
      </w:tr>
      <w:tr>
        <w:trPr>
          <w:trHeight w:val="200"/>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Mr. HUANG Sidney Xuande</w:t>
            </w: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Huace Center, Building A, 10/F</w:t>
            </w:r>
          </w:p>
        </w:tc>
      </w:tr>
      <w:tr>
        <w:trPr>
          <w:trHeight w:val="200"/>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Mr. QIU Changheng</w:t>
            </w: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Xihu District, Hangzhou City</w:t>
            </w:r>
          </w:p>
        </w:tc>
      </w:tr>
      <w:tr>
        <w:trPr>
          <w:trHeight w:val="200"/>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Mr. KUOK Meng Xiong</w:t>
            </w: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Zhejiang Province, 310012</w:t>
            </w:r>
          </w:p>
        </w:tc>
      </w:tr>
      <w:tr>
        <w:trPr>
          <w:trHeight w:val="200"/>
        </w:trPr>
        <w:tc>
          <w:tcPr>
            <w:tcW w:w="2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(alias GUO Mengxiong)</w:t>
            </w: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China</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Mr. YIP Pak Tung Jason</w:t>
            </w:r>
          </w:p>
        </w:tc>
        <w:tc>
          <w:tcPr>
            <w:tcW w:w="8400" w:type="dxa"/>
            <w:vAlign w:val="bottom"/>
          </w:tcPr>
          <w:p>
            <w:pPr>
              <w:spacing w:after="0"/>
              <w:rPr>
                <w:sz w:val="18"/>
                <w:szCs w:val="18"/>
                <w:color w:val="auto"/>
              </w:rPr>
            </w:pPr>
          </w:p>
        </w:tc>
      </w:tr>
      <w:tr>
        <w:trPr>
          <w:trHeight w:val="383"/>
        </w:trPr>
        <w:tc>
          <w:tcPr>
            <w:tcW w:w="2840" w:type="dxa"/>
            <w:vAlign w:val="bottom"/>
          </w:tcPr>
          <w:p>
            <w:pPr>
              <w:spacing w:after="0"/>
              <w:rPr>
                <w:sz w:val="24"/>
                <w:szCs w:val="24"/>
                <w:color w:val="auto"/>
              </w:rPr>
            </w:pP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i w:val="1"/>
                <w:iCs w:val="1"/>
                <w:color w:val="auto"/>
              </w:rPr>
              <w:t>Principal Place of Business in Hong Kong:</w:t>
            </w:r>
          </w:p>
        </w:tc>
      </w:tr>
      <w:tr>
        <w:trPr>
          <w:trHeight w:val="200"/>
        </w:trPr>
        <w:tc>
          <w:tcPr>
            <w:tcW w:w="2840" w:type="dxa"/>
            <w:vAlign w:val="bottom"/>
          </w:tcPr>
          <w:p>
            <w:pPr>
              <w:spacing w:after="0"/>
              <w:rPr>
                <w:sz w:val="17"/>
                <w:szCs w:val="17"/>
                <w:color w:val="auto"/>
              </w:rPr>
            </w:pP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Room 1912, 19/F, Lee Garden One</w:t>
            </w:r>
          </w:p>
        </w:tc>
      </w:tr>
      <w:tr>
        <w:trPr>
          <w:trHeight w:val="200"/>
        </w:trPr>
        <w:tc>
          <w:tcPr>
            <w:tcW w:w="2840" w:type="dxa"/>
            <w:vAlign w:val="bottom"/>
          </w:tcPr>
          <w:p>
            <w:pPr>
              <w:spacing w:after="0"/>
              <w:rPr>
                <w:sz w:val="17"/>
                <w:szCs w:val="17"/>
                <w:color w:val="auto"/>
              </w:rPr>
            </w:pP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33 Hysan Avenue</w:t>
            </w:r>
          </w:p>
        </w:tc>
      </w:tr>
      <w:tr>
        <w:trPr>
          <w:trHeight w:val="200"/>
        </w:trPr>
        <w:tc>
          <w:tcPr>
            <w:tcW w:w="2840" w:type="dxa"/>
            <w:vAlign w:val="bottom"/>
          </w:tcPr>
          <w:p>
            <w:pPr>
              <w:spacing w:after="0"/>
              <w:rPr>
                <w:sz w:val="17"/>
                <w:szCs w:val="17"/>
                <w:color w:val="auto"/>
              </w:rPr>
            </w:pP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Causeway Bay</w:t>
            </w:r>
          </w:p>
        </w:tc>
      </w:tr>
      <w:tr>
        <w:trPr>
          <w:trHeight w:val="216"/>
        </w:trPr>
        <w:tc>
          <w:tcPr>
            <w:tcW w:w="2840" w:type="dxa"/>
            <w:vAlign w:val="bottom"/>
          </w:tcPr>
          <w:p>
            <w:pPr>
              <w:spacing w:after="0"/>
              <w:rPr>
                <w:sz w:val="18"/>
                <w:szCs w:val="18"/>
                <w:color w:val="auto"/>
              </w:rPr>
            </w:pPr>
          </w:p>
        </w:tc>
        <w:tc>
          <w:tcPr>
            <w:tcW w:w="8400" w:type="dxa"/>
            <w:vAlign w:val="bottom"/>
          </w:tcPr>
          <w:p>
            <w:pPr>
              <w:ind w:left="2340"/>
              <w:spacing w:after="0"/>
              <w:rPr>
                <w:sz w:val="20"/>
                <w:szCs w:val="20"/>
                <w:color w:val="auto"/>
              </w:rPr>
            </w:pPr>
            <w:r>
              <w:rPr>
                <w:rFonts w:ascii="Times New Roman" w:cs="Times New Roman" w:eastAsia="Times New Roman" w:hAnsi="Times New Roman"/>
                <w:sz w:val="17"/>
                <w:szCs w:val="17"/>
                <w:color w:val="auto"/>
              </w:rPr>
              <w:t>Hong Kong</w:t>
            </w:r>
          </w:p>
        </w:tc>
      </w:tr>
      <w:tr>
        <w:trPr>
          <w:trHeight w:val="399"/>
        </w:trPr>
        <w:tc>
          <w:tcPr>
            <w:tcW w:w="2840" w:type="dxa"/>
            <w:vAlign w:val="bottom"/>
          </w:tcPr>
          <w:p>
            <w:pPr>
              <w:spacing w:after="0"/>
              <w:rPr>
                <w:sz w:val="24"/>
                <w:szCs w:val="24"/>
                <w:color w:val="auto"/>
              </w:rPr>
            </w:pPr>
          </w:p>
        </w:tc>
        <w:tc>
          <w:tcPr>
            <w:tcW w:w="8400" w:type="dxa"/>
            <w:vAlign w:val="bottom"/>
          </w:tcPr>
          <w:p>
            <w:pPr>
              <w:ind w:left="7480"/>
              <w:spacing w:after="0"/>
              <w:rPr>
                <w:sz w:val="20"/>
                <w:szCs w:val="20"/>
                <w:color w:val="auto"/>
              </w:rPr>
            </w:pPr>
            <w:r>
              <w:rPr>
                <w:rFonts w:ascii="Times New Roman" w:cs="Times New Roman" w:eastAsia="Times New Roman" w:hAnsi="Times New Roman"/>
                <w:sz w:val="17"/>
                <w:szCs w:val="17"/>
                <w:color w:val="231F20"/>
                <w:w w:val="94"/>
              </w:rPr>
              <w:t>May 14, 2026</w:t>
            </w:r>
          </w:p>
        </w:tc>
      </w:tr>
      <w:tr>
        <w:trPr>
          <w:trHeight w:val="399"/>
        </w:trPr>
        <w:tc>
          <w:tcPr>
            <w:tcW w:w="2840" w:type="dxa"/>
            <w:vAlign w:val="bottom"/>
          </w:tcPr>
          <w:p>
            <w:pPr>
              <w:spacing w:after="0"/>
              <w:rPr>
                <w:sz w:val="20"/>
                <w:szCs w:val="20"/>
                <w:color w:val="auto"/>
              </w:rPr>
            </w:pPr>
            <w:r>
              <w:rPr>
                <w:rFonts w:ascii="Times New Roman" w:cs="Times New Roman" w:eastAsia="Times New Roman" w:hAnsi="Times New Roman"/>
                <w:sz w:val="17"/>
                <w:szCs w:val="17"/>
                <w:i w:val="1"/>
                <w:iCs w:val="1"/>
                <w:color w:val="231F20"/>
              </w:rPr>
              <w:t>To the Shareholders</w:t>
            </w:r>
          </w:p>
        </w:tc>
        <w:tc>
          <w:tcPr>
            <w:tcW w:w="8400" w:type="dxa"/>
            <w:vAlign w:val="bottom"/>
          </w:tcPr>
          <w:p>
            <w:pPr>
              <w:spacing w:after="0"/>
              <w:rPr>
                <w:sz w:val="24"/>
                <w:szCs w:val="24"/>
                <w:color w:val="auto"/>
              </w:rPr>
            </w:pPr>
          </w:p>
        </w:tc>
      </w:tr>
      <w:tr>
        <w:trPr>
          <w:trHeight w:val="399"/>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231F20"/>
              </w:rPr>
              <w:t>Dear Sir or Madam,</w:t>
            </w:r>
          </w:p>
        </w:tc>
        <w:tc>
          <w:tcPr>
            <w:tcW w:w="8400" w:type="dxa"/>
            <w:vAlign w:val="bottom"/>
          </w:tcPr>
          <w:p>
            <w:pPr>
              <w:spacing w:after="0"/>
              <w:rPr>
                <w:sz w:val="24"/>
                <w:szCs w:val="24"/>
                <w:color w:val="auto"/>
              </w:rPr>
            </w:pPr>
          </w:p>
        </w:tc>
      </w:tr>
      <w:tr>
        <w:trPr>
          <w:trHeight w:val="379"/>
        </w:trPr>
        <w:tc>
          <w:tcPr>
            <w:tcW w:w="2840" w:type="dxa"/>
            <w:vAlign w:val="bottom"/>
          </w:tcPr>
          <w:p>
            <w:pPr>
              <w:spacing w:after="0"/>
              <w:rPr>
                <w:sz w:val="24"/>
                <w:szCs w:val="24"/>
                <w:color w:val="auto"/>
              </w:rPr>
            </w:pPr>
          </w:p>
        </w:tc>
        <w:tc>
          <w:tcPr>
            <w:tcW w:w="8400" w:type="dxa"/>
            <w:vAlign w:val="bottom"/>
          </w:tcPr>
          <w:p>
            <w:pPr>
              <w:jc w:val="center"/>
              <w:ind w:right="2756"/>
              <w:spacing w:after="0"/>
              <w:rPr>
                <w:sz w:val="20"/>
                <w:szCs w:val="20"/>
                <w:color w:val="auto"/>
              </w:rPr>
            </w:pPr>
            <w:r>
              <w:rPr>
                <w:rFonts w:ascii="Times New Roman" w:cs="Times New Roman" w:eastAsia="Times New Roman" w:hAnsi="Times New Roman"/>
                <w:sz w:val="17"/>
                <w:szCs w:val="17"/>
                <w:b w:val="1"/>
                <w:bCs w:val="1"/>
                <w:color w:val="231F20"/>
                <w:w w:val="97"/>
              </w:rPr>
              <w:t>(1) PROPOSED GRANT OF GENERAL MANDATE TO</w:t>
            </w:r>
          </w:p>
        </w:tc>
      </w:tr>
      <w:tr>
        <w:trPr>
          <w:trHeight w:val="200"/>
        </w:trPr>
        <w:tc>
          <w:tcPr>
            <w:tcW w:w="2840" w:type="dxa"/>
            <w:vAlign w:val="bottom"/>
          </w:tcPr>
          <w:p>
            <w:pPr>
              <w:spacing w:after="0"/>
              <w:rPr>
                <w:sz w:val="17"/>
                <w:szCs w:val="17"/>
                <w:color w:val="auto"/>
              </w:rPr>
            </w:pPr>
          </w:p>
        </w:tc>
        <w:tc>
          <w:tcPr>
            <w:tcW w:w="8400" w:type="dxa"/>
            <w:vAlign w:val="bottom"/>
          </w:tcPr>
          <w:p>
            <w:pPr>
              <w:jc w:val="center"/>
              <w:ind w:right="2736"/>
              <w:spacing w:after="0"/>
              <w:rPr>
                <w:sz w:val="20"/>
                <w:szCs w:val="20"/>
                <w:color w:val="auto"/>
              </w:rPr>
            </w:pPr>
            <w:r>
              <w:rPr>
                <w:rFonts w:ascii="Times New Roman" w:cs="Times New Roman" w:eastAsia="Times New Roman" w:hAnsi="Times New Roman"/>
                <w:sz w:val="17"/>
                <w:szCs w:val="17"/>
                <w:b w:val="1"/>
                <w:bCs w:val="1"/>
                <w:color w:val="231F20"/>
                <w:w w:val="97"/>
              </w:rPr>
              <w:t>(I) ISSUE SHARES AND/OR ADSs AND</w:t>
            </w:r>
          </w:p>
        </w:tc>
      </w:tr>
      <w:tr>
        <w:trPr>
          <w:trHeight w:val="200"/>
        </w:trPr>
        <w:tc>
          <w:tcPr>
            <w:tcW w:w="2840" w:type="dxa"/>
            <w:vAlign w:val="bottom"/>
          </w:tcPr>
          <w:p>
            <w:pPr>
              <w:spacing w:after="0"/>
              <w:rPr>
                <w:sz w:val="17"/>
                <w:szCs w:val="17"/>
                <w:color w:val="auto"/>
              </w:rPr>
            </w:pPr>
          </w:p>
        </w:tc>
        <w:tc>
          <w:tcPr>
            <w:tcW w:w="8400" w:type="dxa"/>
            <w:vAlign w:val="bottom"/>
          </w:tcPr>
          <w:p>
            <w:pPr>
              <w:jc w:val="center"/>
              <w:ind w:right="2756"/>
              <w:spacing w:after="0"/>
              <w:rPr>
                <w:sz w:val="20"/>
                <w:szCs w:val="20"/>
                <w:color w:val="auto"/>
              </w:rPr>
            </w:pPr>
            <w:r>
              <w:rPr>
                <w:rFonts w:ascii="Times New Roman" w:cs="Times New Roman" w:eastAsia="Times New Roman" w:hAnsi="Times New Roman"/>
                <w:sz w:val="17"/>
                <w:szCs w:val="17"/>
                <w:b w:val="1"/>
                <w:bCs w:val="1"/>
                <w:color w:val="231F20"/>
                <w:w w:val="97"/>
              </w:rPr>
              <w:t>(II) SELL AND/OR TRANSFER OF TREASURY SHARES;</w:t>
            </w:r>
          </w:p>
        </w:tc>
      </w:tr>
      <w:tr>
        <w:trPr>
          <w:trHeight w:val="200"/>
        </w:trPr>
        <w:tc>
          <w:tcPr>
            <w:tcW w:w="2840" w:type="dxa"/>
            <w:vAlign w:val="bottom"/>
          </w:tcPr>
          <w:p>
            <w:pPr>
              <w:spacing w:after="0"/>
              <w:rPr>
                <w:sz w:val="17"/>
                <w:szCs w:val="17"/>
                <w:color w:val="auto"/>
              </w:rPr>
            </w:pPr>
          </w:p>
        </w:tc>
        <w:tc>
          <w:tcPr>
            <w:tcW w:w="8400" w:type="dxa"/>
            <w:vAlign w:val="bottom"/>
          </w:tcPr>
          <w:p>
            <w:pPr>
              <w:jc w:val="center"/>
              <w:ind w:right="2756"/>
              <w:spacing w:after="0"/>
              <w:rPr>
                <w:sz w:val="20"/>
                <w:szCs w:val="20"/>
                <w:color w:val="auto"/>
              </w:rPr>
            </w:pPr>
            <w:r>
              <w:rPr>
                <w:rFonts w:ascii="Times New Roman" w:cs="Times New Roman" w:eastAsia="Times New Roman" w:hAnsi="Times New Roman"/>
                <w:sz w:val="17"/>
                <w:szCs w:val="17"/>
                <w:b w:val="1"/>
                <w:bCs w:val="1"/>
                <w:color w:val="231F20"/>
                <w:w w:val="97"/>
              </w:rPr>
              <w:t>(2) PROPOSED GRANT OF GENERAL MANDATE</w:t>
            </w:r>
          </w:p>
        </w:tc>
      </w:tr>
      <w:tr>
        <w:trPr>
          <w:trHeight w:val="200"/>
        </w:trPr>
        <w:tc>
          <w:tcPr>
            <w:tcW w:w="2840" w:type="dxa"/>
            <w:vAlign w:val="bottom"/>
          </w:tcPr>
          <w:p>
            <w:pPr>
              <w:spacing w:after="0"/>
              <w:rPr>
                <w:sz w:val="17"/>
                <w:szCs w:val="17"/>
                <w:color w:val="auto"/>
              </w:rPr>
            </w:pPr>
          </w:p>
        </w:tc>
        <w:tc>
          <w:tcPr>
            <w:tcW w:w="8400" w:type="dxa"/>
            <w:vAlign w:val="bottom"/>
          </w:tcPr>
          <w:p>
            <w:pPr>
              <w:jc w:val="center"/>
              <w:ind w:right="2756"/>
              <w:spacing w:after="0"/>
              <w:rPr>
                <w:sz w:val="20"/>
                <w:szCs w:val="20"/>
                <w:color w:val="auto"/>
              </w:rPr>
            </w:pPr>
            <w:r>
              <w:rPr>
                <w:rFonts w:ascii="Times New Roman" w:cs="Times New Roman" w:eastAsia="Times New Roman" w:hAnsi="Times New Roman"/>
                <w:sz w:val="17"/>
                <w:szCs w:val="17"/>
                <w:b w:val="1"/>
                <w:bCs w:val="1"/>
                <w:color w:val="231F20"/>
                <w:w w:val="97"/>
              </w:rPr>
              <w:t>TO REPURCHASE SHARES AND/OR ADSs;</w:t>
            </w:r>
          </w:p>
        </w:tc>
      </w:tr>
      <w:tr>
        <w:trPr>
          <w:trHeight w:val="200"/>
        </w:trPr>
        <w:tc>
          <w:tcPr>
            <w:tcW w:w="2840" w:type="dxa"/>
            <w:vAlign w:val="bottom"/>
          </w:tcPr>
          <w:p>
            <w:pPr>
              <w:spacing w:after="0"/>
              <w:rPr>
                <w:sz w:val="17"/>
                <w:szCs w:val="17"/>
                <w:color w:val="auto"/>
              </w:rPr>
            </w:pPr>
          </w:p>
        </w:tc>
        <w:tc>
          <w:tcPr>
            <w:tcW w:w="8400" w:type="dxa"/>
            <w:vAlign w:val="bottom"/>
          </w:tcPr>
          <w:p>
            <w:pPr>
              <w:jc w:val="center"/>
              <w:ind w:right="2736"/>
              <w:spacing w:after="0"/>
              <w:rPr>
                <w:sz w:val="20"/>
                <w:szCs w:val="20"/>
                <w:color w:val="auto"/>
              </w:rPr>
            </w:pPr>
            <w:r>
              <w:rPr>
                <w:rFonts w:ascii="Times New Roman" w:cs="Times New Roman" w:eastAsia="Times New Roman" w:hAnsi="Times New Roman"/>
                <w:sz w:val="17"/>
                <w:szCs w:val="17"/>
                <w:b w:val="1"/>
                <w:bCs w:val="1"/>
                <w:color w:val="231F20"/>
                <w:w w:val="97"/>
              </w:rPr>
              <w:t>(3) PROPOSED RE-ELECTION OF DIRECTORS;</w:t>
            </w:r>
          </w:p>
        </w:tc>
      </w:tr>
      <w:tr>
        <w:trPr>
          <w:trHeight w:val="200"/>
        </w:trPr>
        <w:tc>
          <w:tcPr>
            <w:tcW w:w="2840" w:type="dxa"/>
            <w:vAlign w:val="bottom"/>
          </w:tcPr>
          <w:p>
            <w:pPr>
              <w:spacing w:after="0"/>
              <w:rPr>
                <w:sz w:val="17"/>
                <w:szCs w:val="17"/>
                <w:color w:val="auto"/>
              </w:rPr>
            </w:pPr>
          </w:p>
        </w:tc>
        <w:tc>
          <w:tcPr>
            <w:tcW w:w="8400" w:type="dxa"/>
            <w:vAlign w:val="bottom"/>
          </w:tcPr>
          <w:p>
            <w:pPr>
              <w:jc w:val="center"/>
              <w:ind w:right="2756"/>
              <w:spacing w:after="0"/>
              <w:rPr>
                <w:sz w:val="20"/>
                <w:szCs w:val="20"/>
                <w:color w:val="auto"/>
              </w:rPr>
            </w:pPr>
            <w:r>
              <w:rPr>
                <w:rFonts w:ascii="Times New Roman" w:cs="Times New Roman" w:eastAsia="Times New Roman" w:hAnsi="Times New Roman"/>
                <w:sz w:val="17"/>
                <w:szCs w:val="17"/>
                <w:b w:val="1"/>
                <w:bCs w:val="1"/>
                <w:color w:val="231F20"/>
                <w:w w:val="98"/>
              </w:rPr>
              <w:t>(4) PROPOSED RE-APPOINTMENT OF AUDITOR;</w:t>
            </w:r>
          </w:p>
        </w:tc>
      </w:tr>
      <w:tr>
        <w:trPr>
          <w:trHeight w:val="200"/>
        </w:trPr>
        <w:tc>
          <w:tcPr>
            <w:tcW w:w="2840" w:type="dxa"/>
            <w:vAlign w:val="bottom"/>
          </w:tcPr>
          <w:p>
            <w:pPr>
              <w:spacing w:after="0"/>
              <w:rPr>
                <w:sz w:val="17"/>
                <w:szCs w:val="17"/>
                <w:color w:val="auto"/>
              </w:rPr>
            </w:pPr>
          </w:p>
        </w:tc>
        <w:tc>
          <w:tcPr>
            <w:tcW w:w="8400" w:type="dxa"/>
            <w:vAlign w:val="bottom"/>
          </w:tcPr>
          <w:p>
            <w:pPr>
              <w:jc w:val="center"/>
              <w:ind w:right="2756"/>
              <w:spacing w:after="0"/>
              <w:rPr>
                <w:sz w:val="20"/>
                <w:szCs w:val="20"/>
                <w:color w:val="auto"/>
              </w:rPr>
            </w:pPr>
            <w:r>
              <w:rPr>
                <w:rFonts w:ascii="Times New Roman" w:cs="Times New Roman" w:eastAsia="Times New Roman" w:hAnsi="Times New Roman"/>
                <w:sz w:val="17"/>
                <w:szCs w:val="17"/>
                <w:b w:val="1"/>
                <w:bCs w:val="1"/>
                <w:color w:val="231F20"/>
                <w:w w:val="97"/>
              </w:rPr>
              <w:t>AND</w:t>
            </w:r>
          </w:p>
        </w:tc>
      </w:tr>
      <w:tr>
        <w:trPr>
          <w:trHeight w:val="220"/>
        </w:trPr>
        <w:tc>
          <w:tcPr>
            <w:tcW w:w="2840" w:type="dxa"/>
            <w:vAlign w:val="bottom"/>
          </w:tcPr>
          <w:p>
            <w:pPr>
              <w:spacing w:after="0"/>
              <w:rPr>
                <w:sz w:val="19"/>
                <w:szCs w:val="19"/>
                <w:color w:val="auto"/>
              </w:rPr>
            </w:pPr>
          </w:p>
        </w:tc>
        <w:tc>
          <w:tcPr>
            <w:tcW w:w="8400" w:type="dxa"/>
            <w:vAlign w:val="bottom"/>
          </w:tcPr>
          <w:p>
            <w:pPr>
              <w:jc w:val="center"/>
              <w:ind w:right="2756"/>
              <w:spacing w:after="0"/>
              <w:rPr>
                <w:sz w:val="20"/>
                <w:szCs w:val="20"/>
                <w:color w:val="auto"/>
              </w:rPr>
            </w:pPr>
            <w:r>
              <w:rPr>
                <w:rFonts w:ascii="Times New Roman" w:cs="Times New Roman" w:eastAsia="Times New Roman" w:hAnsi="Times New Roman"/>
                <w:sz w:val="17"/>
                <w:szCs w:val="17"/>
                <w:b w:val="1"/>
                <w:bCs w:val="1"/>
                <w:color w:val="231F20"/>
                <w:w w:val="98"/>
              </w:rPr>
              <w:t>(5) NOTICE OF ANNUAL GENERAL MEETING</w:t>
            </w:r>
          </w:p>
        </w:tc>
      </w:tr>
      <w:tr>
        <w:trPr>
          <w:trHeight w:val="399"/>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For identification purpose only</w:t>
            </w:r>
          </w:p>
        </w:tc>
        <w:tc>
          <w:tcPr>
            <w:tcW w:w="8400" w:type="dxa"/>
            <w:vAlign w:val="bottom"/>
          </w:tcPr>
          <w:p>
            <w:pPr>
              <w:spacing w:after="0"/>
              <w:rPr>
                <w:sz w:val="24"/>
                <w:szCs w:val="24"/>
                <w:color w:val="auto"/>
              </w:rPr>
            </w:pPr>
          </w:p>
        </w:tc>
      </w:tr>
      <w:tr>
        <w:trPr>
          <w:trHeight w:val="599"/>
        </w:trPr>
        <w:tc>
          <w:tcPr>
            <w:tcW w:w="28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jc w:val="center"/>
              <w:ind w:right="2736"/>
              <w:spacing w:after="0"/>
              <w:rPr>
                <w:sz w:val="20"/>
                <w:szCs w:val="20"/>
                <w:color w:val="auto"/>
              </w:rPr>
            </w:pPr>
            <w:r>
              <w:rPr>
                <w:rFonts w:ascii="Times New Roman" w:cs="Times New Roman" w:eastAsia="Times New Roman" w:hAnsi="Times New Roman"/>
                <w:sz w:val="17"/>
                <w:szCs w:val="17"/>
                <w:color w:val="auto"/>
                <w:w w:val="99"/>
              </w:rPr>
              <w:t>– 6 –</w:t>
            </w:r>
          </w:p>
        </w:tc>
      </w:tr>
    </w:tbl>
    <w:p>
      <w:pPr>
        <w:sectPr>
          <w:pgSz w:w="11900" w:h="16838" w:orient="portrait"/>
          <w:cols w:equalWidth="0" w:num="1">
            <w:col w:w="11240"/>
          </w:cols>
          <w:pgMar w:left="320" w:top="88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2480" cy="762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34" w:lineRule="exact"/>
        <w:rPr>
          <w:sz w:val="20"/>
          <w:szCs w:val="20"/>
          <w:color w:val="auto"/>
        </w:rPr>
      </w:pPr>
    </w:p>
    <w:p>
      <w:pPr>
        <w:ind w:left="300" w:hanging="300"/>
        <w:spacing w:after="0"/>
        <w:tabs>
          <w:tab w:leader="none" w:pos="300" w:val="left"/>
        </w:tabs>
        <w:numPr>
          <w:ilvl w:val="0"/>
          <w:numId w:val="5"/>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INTRODUCTION</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The purpose of this circular is to give you notice of the AGM, and to provide you with information regarding the following proposals to be put forward at the said meeting:</w:t>
      </w:r>
    </w:p>
    <w:p>
      <w:pPr>
        <w:spacing w:after="0" w:line="159" w:lineRule="exact"/>
        <w:rPr>
          <w:sz w:val="20"/>
          <w:szCs w:val="20"/>
          <w:color w:val="auto"/>
        </w:rPr>
      </w:pPr>
    </w:p>
    <w:p>
      <w:pPr>
        <w:ind w:left="640" w:hanging="341"/>
        <w:spacing w:after="0"/>
        <w:tabs>
          <w:tab w:leader="none" w:pos="640" w:val="left"/>
        </w:tabs>
        <w:numPr>
          <w:ilvl w:val="1"/>
          <w:numId w:val="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proposed grant of a general mandate to (i) issue Shares and/or ADSs; and (ii) sell and/or transfer treasury shares;</w:t>
      </w:r>
    </w:p>
    <w:p>
      <w:pPr>
        <w:spacing w:after="0" w:line="166" w:lineRule="exact"/>
        <w:rPr>
          <w:rFonts w:ascii="Times New Roman" w:cs="Times New Roman" w:eastAsia="Times New Roman" w:hAnsi="Times New Roman"/>
          <w:sz w:val="17"/>
          <w:szCs w:val="17"/>
          <w:color w:val="231F20"/>
        </w:rPr>
      </w:pPr>
    </w:p>
    <w:p>
      <w:pPr>
        <w:ind w:left="640" w:hanging="341"/>
        <w:spacing w:after="0"/>
        <w:tabs>
          <w:tab w:leader="none" w:pos="640" w:val="left"/>
        </w:tabs>
        <w:numPr>
          <w:ilvl w:val="1"/>
          <w:numId w:val="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proposed grant of a general mandate to repurchase Shares and/or ADSs;</w:t>
      </w:r>
    </w:p>
    <w:p>
      <w:pPr>
        <w:spacing w:after="0" w:line="166" w:lineRule="exact"/>
        <w:rPr>
          <w:rFonts w:ascii="Times New Roman" w:cs="Times New Roman" w:eastAsia="Times New Roman" w:hAnsi="Times New Roman"/>
          <w:sz w:val="17"/>
          <w:szCs w:val="17"/>
          <w:color w:val="231F20"/>
        </w:rPr>
      </w:pPr>
    </w:p>
    <w:p>
      <w:pPr>
        <w:ind w:left="640" w:hanging="341"/>
        <w:spacing w:after="0"/>
        <w:tabs>
          <w:tab w:leader="none" w:pos="640" w:val="left"/>
        </w:tabs>
        <w:numPr>
          <w:ilvl w:val="1"/>
          <w:numId w:val="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proposed re-election of Directors; and</w:t>
      </w:r>
    </w:p>
    <w:p>
      <w:pPr>
        <w:spacing w:after="0" w:line="166" w:lineRule="exact"/>
        <w:rPr>
          <w:rFonts w:ascii="Times New Roman" w:cs="Times New Roman" w:eastAsia="Times New Roman" w:hAnsi="Times New Roman"/>
          <w:sz w:val="17"/>
          <w:szCs w:val="17"/>
          <w:color w:val="231F20"/>
        </w:rPr>
      </w:pPr>
    </w:p>
    <w:p>
      <w:pPr>
        <w:ind w:left="640" w:hanging="341"/>
        <w:spacing w:after="0"/>
        <w:tabs>
          <w:tab w:leader="none" w:pos="640" w:val="left"/>
        </w:tabs>
        <w:numPr>
          <w:ilvl w:val="1"/>
          <w:numId w:val="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proposed re-appointment of auditor of the Company.</w:t>
      </w:r>
    </w:p>
    <w:p>
      <w:pPr>
        <w:spacing w:after="0" w:line="200" w:lineRule="exact"/>
        <w:rPr>
          <w:rFonts w:ascii="Times New Roman" w:cs="Times New Roman" w:eastAsia="Times New Roman" w:hAnsi="Times New Roman"/>
          <w:sz w:val="17"/>
          <w:szCs w:val="17"/>
          <w:color w:val="231F20"/>
        </w:rPr>
      </w:pPr>
    </w:p>
    <w:p>
      <w:pPr>
        <w:ind w:left="300" w:right="500" w:hanging="300"/>
        <w:spacing w:after="0" w:line="275" w:lineRule="auto"/>
        <w:tabs>
          <w:tab w:leader="none" w:pos="300" w:val="left"/>
        </w:tabs>
        <w:numPr>
          <w:ilvl w:val="0"/>
          <w:numId w:val="7"/>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GRANT OF GENERAL MANDATE TO (I) ISSUE SHARES AND/OR ADSs AND (II) SELL AND/OR TRANSFER OF TREASURY SHARES</w:t>
      </w:r>
    </w:p>
    <w:p>
      <w:pPr>
        <w:spacing w:after="0" w:line="155" w:lineRule="exact"/>
        <w:rPr>
          <w:rFonts w:ascii="Times New Roman" w:cs="Times New Roman" w:eastAsia="Times New Roman" w:hAnsi="Times New Roman"/>
          <w:sz w:val="17"/>
          <w:szCs w:val="17"/>
          <w:b w:val="1"/>
          <w:bCs w:val="1"/>
          <w:color w:val="231F20"/>
        </w:rPr>
      </w:pPr>
    </w:p>
    <w:p>
      <w:pPr>
        <w:ind w:left="300"/>
        <w:spacing w:after="0"/>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color w:val="231F20"/>
        </w:rPr>
        <w:t>In order to give the Company the flexibility to (i) issue Class A Ordinary Shares and/or Class A Ordinary Shares underlying ADSs; and (ii) sell and/or transfer</w:t>
      </w:r>
    </w:p>
    <w:p>
      <w:pPr>
        <w:spacing w:after="0" w:line="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231F20"/>
        </w:rPr>
        <w:t>treasury shares if and when appropriate, without needing to convene a general meeting for each and every share issuance, sale and/or transfer of treasury shares, an ordinary resolution will be proposed at the AGM to approve the granting of a general mandate to the Directors to (i) allot, issue or deal with additional Class A Ordinary Shares and/or Class A Ordinary Shares underlying ADSs; and (ii) sell and/or transfer Class A Ordinary Shares out of treasury that are held as treasury shares not exceeding 20% of the total number of issued and outstanding Shares (excluding any treasury shares) as at the date of passing of such resolution (the “</w:t>
      </w:r>
      <w:r>
        <w:rPr>
          <w:rFonts w:ascii="Times New Roman" w:cs="Times New Roman" w:eastAsia="Times New Roman" w:hAnsi="Times New Roman"/>
          <w:sz w:val="17"/>
          <w:szCs w:val="17"/>
          <w:b w:val="1"/>
          <w:bCs w:val="1"/>
          <w:color w:val="231F20"/>
        </w:rPr>
        <w:t>Issuance and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b w:val="1"/>
          <w:bCs w:val="1"/>
          <w:color w:val="231F20"/>
        </w:rPr>
        <w:t>Resale Mandate</w:t>
      </w:r>
      <w:r>
        <w:rPr>
          <w:rFonts w:ascii="Times New Roman" w:cs="Times New Roman" w:eastAsia="Times New Roman" w:hAnsi="Times New Roman"/>
          <w:sz w:val="17"/>
          <w:szCs w:val="17"/>
          <w:color w:val="231F20"/>
        </w:rPr>
        <w:t>”).</w:t>
      </w:r>
    </w:p>
    <w:p>
      <w:pPr>
        <w:spacing w:after="0" w:line="180"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As at the Latest Practicable Date, the issued and outstanding shares of the Company comprised 543,153,371 Class A Ordinary Shares and 70,162,633 Class B Ordinary Shares. The Company did not hold any treasury shares as at the Latest Practicable Date.</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Subject to the passing of the ordinary resolution 3 and on the basis that no further Shares are issued or repurchased after the Latest Practicable Date and up to the date of the AGM, the Company will be allowed to issue (or transfer out of treasury) a maximum of 122,663,200 Class A Ordinary Shares. The Directors wish to state that they have no immediate plans to issue any new Shares, sell and/or transfer any treasury shares pursuant to the Issuance and Resale Mandate.</w:t>
      </w:r>
    </w:p>
    <w:p>
      <w:pPr>
        <w:spacing w:after="0" w:line="17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In addition, subject to a separate approval of the ordinary resolution 5, the number of Shares and/or Shares underlying the ADSs purchased by the Company under ordinary resolution 4 will also be added to extend the Issuance and Resale Mandate as mentioned in ordinary resolution 3 provided that such additional amount shall represent up to 10% of the number of issued Shares (excluding any treasury shares) as at the date of passing the resolutions in relation to the Issuance and Resale Mandate and Repurchase Mandate (as defined below).</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2480" cy="762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34" w:lineRule="exact"/>
        <w:rPr>
          <w:sz w:val="20"/>
          <w:szCs w:val="20"/>
          <w:color w:val="auto"/>
        </w:rPr>
      </w:pPr>
    </w:p>
    <w:p>
      <w:pPr>
        <w:ind w:left="300" w:hanging="300"/>
        <w:spacing w:after="0"/>
        <w:tabs>
          <w:tab w:leader="none" w:pos="300" w:val="left"/>
        </w:tabs>
        <w:numPr>
          <w:ilvl w:val="0"/>
          <w:numId w:val="8"/>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GRANT OF GENERAL MANDATE TO REPURCHASE SHARES AND/ OR ADSs</w:t>
      </w:r>
    </w:p>
    <w:p>
      <w:pPr>
        <w:spacing w:after="0" w:line="208" w:lineRule="exact"/>
        <w:rPr>
          <w:sz w:val="20"/>
          <w:szCs w:val="20"/>
          <w:color w:val="auto"/>
        </w:rPr>
      </w:pPr>
    </w:p>
    <w:p>
      <w:pPr>
        <w:jc w:val="both"/>
        <w:ind w:firstLine="300"/>
        <w:spacing w:after="0" w:line="274" w:lineRule="auto"/>
        <w:rPr>
          <w:sz w:val="20"/>
          <w:szCs w:val="20"/>
          <w:color w:val="auto"/>
        </w:rPr>
      </w:pPr>
      <w:r>
        <w:rPr>
          <w:rFonts w:ascii="Times New Roman" w:cs="Times New Roman" w:eastAsia="Times New Roman" w:hAnsi="Times New Roman"/>
          <w:sz w:val="16"/>
          <w:szCs w:val="16"/>
          <w:color w:val="231F20"/>
        </w:rPr>
        <w:t>In order to give the Company the flexibility to repurchase Shares (including Class A Ordinary Share underlying ADSs) and/or ADSs if and when appropriate, without needing to convene a general meeting for each and every repurchase, an ordinary resolution will be proposed at the AGM to approve the granting of a new general mandate to the Directors to exercise the powers of the Company to repurchase Shares (including Class A Ordinary Share underlying ADSs) and/or ADSs representing up to 10% of the total number of issued Shares (excluding any treasury shares) as at the date of passing of such resolution (the “</w:t>
      </w:r>
      <w:r>
        <w:rPr>
          <w:rFonts w:ascii="Times New Roman" w:cs="Times New Roman" w:eastAsia="Times New Roman" w:hAnsi="Times New Roman"/>
          <w:sz w:val="16"/>
          <w:szCs w:val="16"/>
          <w:b w:val="1"/>
          <w:bCs w:val="1"/>
          <w:color w:val="231F20"/>
        </w:rPr>
        <w:t>Repurchase Mandate</w:t>
      </w:r>
      <w:r>
        <w:rPr>
          <w:rFonts w:ascii="Times New Roman" w:cs="Times New Roman" w:eastAsia="Times New Roman" w:hAnsi="Times New Roman"/>
          <w:sz w:val="16"/>
          <w:szCs w:val="16"/>
          <w:color w:val="231F20"/>
        </w:rPr>
        <w:t>”).</w:t>
      </w:r>
    </w:p>
    <w:p>
      <w:pPr>
        <w:spacing w:after="0" w:line="159"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As at the Latest Practicable Date, the issued share capital of the Company comprised 543,153,371 Class A Ordinary Shares and 70,162,633 Class B Ordinary Shares. Subject to the passing of the ordinary resolution 4 and on the basis that no further Shares are issued or repurchased after the Latest Practicable Date and up to the date of the AGM, the Company will be allowed to repurchase a maximum of 61,331,600 Class A Ordinary Shares.</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An explanatory statement required by the Listing Rules to be sent to the Shareholders in connection with the proposed Repurchase Mandate is set out in Appendix I to this circular. This explanatory statement contains the information reasonably necessary to enable the Shareholders to make an informed decision on whether to vote for or against the relevant resolution at the AGM.</w:t>
      </w:r>
    </w:p>
    <w:p>
      <w:pPr>
        <w:spacing w:after="0" w:line="171"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The Issuance and Resale Mandate (including the extended Issuance and Resale Mandate) and the Repurchase Mandate, if granted, shall continue to be in force during the period from the date of passing of the resolutions for the approval of the Issuance and Resale Mandate (including the extended Issuance and Resale Mandate) and the Repurchase Mandate up to (i) the conclusion of the next annual general meeting of the Company; (ii) the expiration of the period within which the next annual general meeting of the Company is required to be held by the Memorandum and Articles of Association or any applicable laws; or (iii) the date on which the authority set out in the Issuance and Resale Mandate (including the extended Issuance and Resale Mandate) or the Repurchase Mandate (as the case may be) is revoked or varied by an ordinary resolution of the Shareholders in general meeting, whichever occurs first.</w:t>
      </w:r>
    </w:p>
    <w:p>
      <w:pPr>
        <w:spacing w:after="0" w:line="172" w:lineRule="exact"/>
        <w:rPr>
          <w:sz w:val="20"/>
          <w:szCs w:val="20"/>
          <w:color w:val="auto"/>
        </w:rPr>
      </w:pPr>
    </w:p>
    <w:p>
      <w:pPr>
        <w:ind w:left="300" w:hanging="300"/>
        <w:spacing w:after="0"/>
        <w:tabs>
          <w:tab w:leader="none" w:pos="300" w:val="left"/>
        </w:tabs>
        <w:numPr>
          <w:ilvl w:val="0"/>
          <w:numId w:val="9"/>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RE-ELECTION OF DIRECTORS</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Pursuant to the Corporate Governance Code set out in Appendix C1 of the Listing Rules and the Articles of Association, Mr. CHEN Liaohan, Mr. QIU Changheng and Mr. YIP Pak Tung Jason will retire at the AGM and, being eligible, will offer themselves for re-election as Directors at the AGM.</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2480" cy="762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38"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The Nomination Committee has reviewed the structure and composition of the Board, the confirmations and disclosures given by the Directors, the qualifications, skills and experience, time commitment and contribution of the retiring Directors with reference to the nomination principles and criteria set out in the Company’s board diversity policy and director nomination policy and the independence of the independent non-executive Directors. Each of Mr. QIU Changheng and Mr. YIP Pak Tung Jason, the retiring independent non-executive Directors, has confirmed his independence with reference to the factors set out in Rule 3.13 of the Listing Rules. The Nomination Committee and the Board have conducted assessment on independence of Mr. QIU Changheng and Mr. YIP Pak Tung Jason and considered that each of Mr. QIU Changheng and Mr. YIP Pak Tung Jason is independent in accordance with the independence guidelines set out in the Listing Rules and the requirements of Section 303A of the Corporate Governance Rules of the NYSE, and are satisfied with the contributions of Mr. CHEN Liaohan, Mr. QIU Changheng and Mr. YIP Pak Tung Jason to the Company, which will continue to bring valuable business experience, knowledge and professionalism to the Board for its efficient and effective functioning and diversity. The Nomination Committee and the Board therefore recommended the re-election of Mr. CHEN Liaohan, Mr. QIU Changheng and Mr. YIP Pak Tung Jason at the AGM.</w:t>
      </w:r>
    </w:p>
    <w:p>
      <w:pPr>
        <w:spacing w:after="0" w:line="177"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Pursuant to Rule 13.74 of the Listing Rules, a listed issuer shall disclose the details required under Rule 13.51(2) of the Listing Rules of any director(s) proposed to be re-elected or proposed new director in the notice or accompanying circular to its shareholders of the relevant general meeting, if such re-election or appointment is subject to shareholders’ approval at that relevant general meeting. Details of Mr. CHEN Liaohan, Mr. QIU Changheng and Mr. YIP Pak Tung Jason (being Directors to offer themselves for re-election) are set out in Appendix II to this circular. Subject to the requirements under the Listing Rules and the Articles of Association, a Shareholder may nominate a person to stand for election as a Director.</w:t>
      </w:r>
    </w:p>
    <w:p>
      <w:pPr>
        <w:spacing w:after="0" w:line="172" w:lineRule="exact"/>
        <w:rPr>
          <w:sz w:val="20"/>
          <w:szCs w:val="20"/>
          <w:color w:val="auto"/>
        </w:rPr>
      </w:pPr>
    </w:p>
    <w:p>
      <w:pPr>
        <w:ind w:left="300" w:hanging="300"/>
        <w:spacing w:after="0"/>
        <w:tabs>
          <w:tab w:leader="none" w:pos="300" w:val="left"/>
        </w:tabs>
        <w:numPr>
          <w:ilvl w:val="0"/>
          <w:numId w:val="10"/>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PROPOSED RE-APPOINTMENT OF AUDITOR</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Following the recommendation of the audit committee of the Board, the Board proposed to re-appoint PricewaterhouseCoopers and PricewaterhouseCoopers Zhong Tian LLP as the auditors of the Company with a term expiring upon the next annual general meeting of the Company; and the Board proposed it be authorized to fix their remuneration for the year ending December 31, 2026.</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estimated audit fee payable to PricewaterhouseCoopers and PricewaterhouseCoopers Zhong Tian LLP for the audit of the consolidated financial statements of the Company and its subsidiaries for the financial year ending December 31, 2026 is expected to be in the range of approximately USD1.2 million to USD1.3 million (exclusive of out-of-pocket expenses).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2480" cy="762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3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The estimated audit fee has been determined after due consideration and arm’s length negotiations between the Company and PricewaterhouseCoopers/PricewaterhouseCoopers Zhong Tian LLP, taking into account, among other things, the size, nature and complexity of the Group’s business operations, the expected scope of the audit, the audit timetable, and the level and mix of professional staff to be deployed. The estimated audit fee also assumes that there will be no material change in the Group’s operations, accounting policies or regulatory environment during the financial year, and that the Company will provide timely and adequate assistance and information as reasonably required for the purposes of the audit.</w:t>
      </w:r>
    </w:p>
    <w:p>
      <w:pPr>
        <w:spacing w:after="0" w:line="17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Unless there is a material change in the basis or assumptions set out above, the final audit fee should not deviate materially from the estimated amount initially disclosed. In the event of any material change, the Company will make further disclosure as appropriate.</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An ordinary resolution in respect of the re-appointment of the auditor of the Company will be proposed at the AGM for consideration and approval by the Shareholders.</w:t>
      </w:r>
    </w:p>
    <w:p>
      <w:pPr>
        <w:spacing w:after="0" w:line="155" w:lineRule="exact"/>
        <w:rPr>
          <w:sz w:val="20"/>
          <w:szCs w:val="20"/>
          <w:color w:val="auto"/>
        </w:rPr>
      </w:pPr>
    </w:p>
    <w:p>
      <w:pPr>
        <w:ind w:left="300" w:hanging="300"/>
        <w:spacing w:after="0"/>
        <w:tabs>
          <w:tab w:leader="none" w:pos="300" w:val="left"/>
        </w:tabs>
        <w:numPr>
          <w:ilvl w:val="0"/>
          <w:numId w:val="11"/>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THE AGM AND PROXY ARRANGEMENT</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The AGM will be held at Huace Center, Building A, 3/F VVIP room, Xihu District, Hangzhou City, Zhejiang Province, 310012, China on Thursday, June 18, 2026.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The AGM will commence at 2:00 p.m. (Hong Kong time).</w:t>
      </w:r>
    </w:p>
    <w:p>
      <w:pPr>
        <w:spacing w:after="0" w:line="183"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color w:val="231F20"/>
        </w:rPr>
        <w:t>The Notice of the AGM is enclosed and published on the websites of the Stock Exchange (</w:t>
      </w:r>
      <w:r>
        <w:rPr>
          <w:rFonts w:ascii="Times New Roman" w:cs="Times New Roman" w:eastAsia="Times New Roman" w:hAnsi="Times New Roman"/>
          <w:sz w:val="17"/>
          <w:szCs w:val="17"/>
          <w:b w:val="1"/>
          <w:bCs w:val="1"/>
          <w:color w:val="231F20"/>
        </w:rPr>
        <w:t>www.hkexnews.hk</w:t>
      </w:r>
      <w:r>
        <w:rPr>
          <w:rFonts w:ascii="Times New Roman" w:cs="Times New Roman" w:eastAsia="Times New Roman" w:hAnsi="Times New Roman"/>
          <w:sz w:val="17"/>
          <w:szCs w:val="17"/>
          <w:color w:val="231F20"/>
        </w:rPr>
        <w:t>) and the Company (</w:t>
      </w:r>
      <w:r>
        <w:rPr>
          <w:rFonts w:ascii="Times New Roman" w:cs="Times New Roman" w:eastAsia="Times New Roman" w:hAnsi="Times New Roman"/>
          <w:sz w:val="17"/>
          <w:szCs w:val="17"/>
          <w:b w:val="1"/>
          <w:bCs w:val="1"/>
          <w:color w:val="231F20"/>
        </w:rPr>
        <w:t>ir.tuya.com</w:t>
      </w:r>
      <w:r>
        <w:rPr>
          <w:rFonts w:ascii="Times New Roman" w:cs="Times New Roman" w:eastAsia="Times New Roman" w:hAnsi="Times New Roman"/>
          <w:sz w:val="17"/>
          <w:szCs w:val="17"/>
          <w:color w:val="231F20"/>
        </w:rPr>
        <w:t>). The notice serves as the notice of general meeting required under Rule 13.71 of the Listing Rules.</w:t>
      </w:r>
    </w:p>
    <w:p>
      <w:pPr>
        <w:spacing w:after="0" w:line="155"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Holders of record of the Company’s Shares on the Company’s registers of members as of the close of business on the Share Record Date (Hong Kong time) are entitled to attend the AGM in person. Holders of the ADSs as of the close of business on the ADS Record Date (New York time) are entitled to submit your voting instructions directly to The Bank of New York Mellon if ADSs are held directly by holders on the books and records of The Bank of New York Mellon or indirectly through a bank, brokerage or other securities intermediary if the ADSs are held by any of them on behalf of holders. Whether or not you propose to attend and vote at the said meetings, please complete, sign, date, and return the accompanying proxy forms to the Company’s share registrar in Hong Kong, Computershare Hong Kong Investor Services Limited (for holders of Shares) or your voting instructions to The Bank of New York Mellon or to your bank, brokerage or other securities intermediary, as the case may be (for holders of the ADSs) as promptly as possible and before the prescribed deadline if you wish to exercise your voting rights. Computershare Hong Kong Investor Services Limited must receive the proxy forms not less than 72 hours before the time appointed for the AGM at 17M Floor, Hopewell Centre, 183 Queen’s Road East, Wanchai, Hong Kong; and The Bank of New York Mellon must receive your voting instructions by the time and date specified in the ADS voting instruction card to enable the votes attaching to the Class A Ordinary Shares represented by your ADSs to be cast at the AGM.</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2480" cy="7620"/>
                    </a:xfrm>
                    <a:prstGeom prst="rect">
                      <a:avLst/>
                    </a:prstGeom>
                    <a:noFill/>
                  </pic:spPr>
                </pic:pic>
              </a:graphicData>
            </a:graphic>
          </wp:anchor>
        </w:drawing>
        <w:t>LETTER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The resolutions to be proposed at the AGM will be voted by way of poll in accordance with the Listing Rules.</w:t>
      </w:r>
    </w:p>
    <w:p>
      <w:pPr>
        <w:spacing w:after="0" w:line="200" w:lineRule="exact"/>
        <w:rPr>
          <w:sz w:val="20"/>
          <w:szCs w:val="20"/>
          <w:color w:val="auto"/>
        </w:rPr>
      </w:pPr>
    </w:p>
    <w:p>
      <w:pPr>
        <w:ind w:left="300" w:hanging="300"/>
        <w:spacing w:after="0"/>
        <w:tabs>
          <w:tab w:leader="none" w:pos="300" w:val="left"/>
        </w:tabs>
        <w:numPr>
          <w:ilvl w:val="0"/>
          <w:numId w:val="1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RECOMMENDATIONS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Board considers that the above-mentioned resolutions regarding the proposed Issuance and Resale Mandate, the proposed Repurchase Mandate, the proposed re-election of the Directors and the proposed re-appointment of the auditor of the Company are in the best interests of the Company and the Shareholders as a whole and accordingly the Directors recommend you to vote in favor of the said resolutions to be proposed at the AGM.</w:t>
      </w:r>
    </w:p>
    <w:p>
      <w:pPr>
        <w:spacing w:after="0" w:line="171"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Treasury shares, if any and registered under the name of the Company, shall have no voting rights at the general meeting(s) of the Company. For the avoidance of doubt, for the purpose of the Listing Rules, the Company shall, upon depositing any treasury shares in the CCASS, abstain from voting at any of its general meeting(s) in relation to those shares.</w:t>
      </w:r>
    </w:p>
    <w:p>
      <w:pPr>
        <w:spacing w:after="0" w:line="167" w:lineRule="exact"/>
        <w:rPr>
          <w:sz w:val="20"/>
          <w:szCs w:val="20"/>
          <w:color w:val="auto"/>
        </w:rPr>
      </w:pPr>
    </w:p>
    <w:p>
      <w:pPr>
        <w:ind w:left="300" w:hanging="300"/>
        <w:spacing w:after="0"/>
        <w:tabs>
          <w:tab w:leader="none" w:pos="300" w:val="left"/>
        </w:tabs>
        <w:numPr>
          <w:ilvl w:val="0"/>
          <w:numId w:val="13"/>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FURTHER INFORMATION</w:t>
      </w:r>
    </w:p>
    <w:p>
      <w:pPr>
        <w:spacing w:after="0" w:line="208" w:lineRule="exact"/>
        <w:rPr>
          <w:rFonts w:ascii="Times New Roman" w:cs="Times New Roman" w:eastAsia="Times New Roman" w:hAnsi="Times New Roman"/>
          <w:sz w:val="17"/>
          <w:szCs w:val="17"/>
          <w:b w:val="1"/>
          <w:bCs w:val="1"/>
          <w:color w:val="231F20"/>
        </w:rPr>
      </w:pPr>
    </w:p>
    <w:p>
      <w:pPr>
        <w:ind w:left="300"/>
        <w:spacing w:after="0"/>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color w:val="231F20"/>
        </w:rPr>
        <w:t>Your attention is drawn to the information set out in the appendices to this circular.</w:t>
      </w:r>
    </w:p>
    <w:p>
      <w:pPr>
        <w:spacing w:after="0" w:line="204" w:lineRule="exact"/>
        <w:rPr>
          <w:sz w:val="20"/>
          <w:szCs w:val="20"/>
          <w:color w:val="auto"/>
        </w:rPr>
      </w:pPr>
    </w:p>
    <w:p>
      <w:pPr>
        <w:jc w:val="center"/>
        <w:ind w:left="9100"/>
        <w:spacing w:after="0"/>
        <w:rPr>
          <w:sz w:val="20"/>
          <w:szCs w:val="20"/>
          <w:color w:val="auto"/>
        </w:rPr>
      </w:pPr>
      <w:r>
        <w:rPr>
          <w:rFonts w:ascii="Times New Roman" w:cs="Times New Roman" w:eastAsia="Times New Roman" w:hAnsi="Times New Roman"/>
          <w:sz w:val="17"/>
          <w:szCs w:val="17"/>
          <w:color w:val="231F20"/>
        </w:rPr>
        <w:t>By order of the Board</w:t>
      </w:r>
    </w:p>
    <w:p>
      <w:pPr>
        <w:spacing w:after="0" w:line="21" w:lineRule="exact"/>
        <w:rPr>
          <w:sz w:val="20"/>
          <w:szCs w:val="20"/>
          <w:color w:val="auto"/>
        </w:rPr>
      </w:pPr>
    </w:p>
    <w:p>
      <w:pPr>
        <w:jc w:val="center"/>
        <w:ind w:left="9100"/>
        <w:spacing w:after="0"/>
        <w:rPr>
          <w:sz w:val="20"/>
          <w:szCs w:val="20"/>
          <w:color w:val="auto"/>
        </w:rPr>
      </w:pPr>
      <w:r>
        <w:rPr>
          <w:rFonts w:ascii="Times New Roman" w:cs="Times New Roman" w:eastAsia="Times New Roman" w:hAnsi="Times New Roman"/>
          <w:sz w:val="17"/>
          <w:szCs w:val="17"/>
          <w:b w:val="1"/>
          <w:bCs w:val="1"/>
          <w:color w:val="231F20"/>
        </w:rPr>
        <w:t>Tuya Inc.</w:t>
      </w:r>
    </w:p>
    <w:p>
      <w:pPr>
        <w:spacing w:after="0" w:line="4" w:lineRule="exact"/>
        <w:rPr>
          <w:sz w:val="20"/>
          <w:szCs w:val="20"/>
          <w:color w:val="auto"/>
        </w:rPr>
      </w:pPr>
    </w:p>
    <w:p>
      <w:pPr>
        <w:jc w:val="center"/>
        <w:ind w:left="9100"/>
        <w:spacing w:after="0"/>
        <w:rPr>
          <w:sz w:val="20"/>
          <w:szCs w:val="20"/>
          <w:color w:val="auto"/>
        </w:rPr>
      </w:pPr>
      <w:r>
        <w:rPr>
          <w:rFonts w:ascii="Times New Roman" w:cs="Times New Roman" w:eastAsia="Times New Roman" w:hAnsi="Times New Roman"/>
          <w:sz w:val="17"/>
          <w:szCs w:val="17"/>
          <w:b w:val="1"/>
          <w:bCs w:val="1"/>
          <w:color w:val="231F20"/>
        </w:rPr>
        <w:t>WANG Xueji</w:t>
      </w:r>
    </w:p>
    <w:p>
      <w:pPr>
        <w:spacing w:after="0" w:line="4" w:lineRule="exact"/>
        <w:rPr>
          <w:sz w:val="20"/>
          <w:szCs w:val="20"/>
          <w:color w:val="auto"/>
        </w:rPr>
      </w:pPr>
    </w:p>
    <w:p>
      <w:pPr>
        <w:jc w:val="center"/>
        <w:ind w:left="9100"/>
        <w:spacing w:after="0"/>
        <w:rPr>
          <w:sz w:val="20"/>
          <w:szCs w:val="20"/>
          <w:color w:val="auto"/>
        </w:rPr>
      </w:pPr>
      <w:r>
        <w:rPr>
          <w:rFonts w:ascii="Times New Roman" w:cs="Times New Roman" w:eastAsia="Times New Roman" w:hAnsi="Times New Roman"/>
          <w:sz w:val="17"/>
          <w:szCs w:val="17"/>
          <w:i w:val="1"/>
          <w:iCs w:val="1"/>
          <w:color w:val="231F20"/>
        </w:rPr>
        <w:t>Chairman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p>
      <w:pPr>
        <w:spacing w:after="0"/>
        <w:tabs>
          <w:tab w:leader="none" w:pos="614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2480" cy="7620"/>
                    </a:xfrm>
                    <a:prstGeom prst="rect">
                      <a:avLst/>
                    </a:prstGeom>
                    <a:noFill/>
                  </pic:spPr>
                </pic:pic>
              </a:graphicData>
            </a:graphic>
          </wp:anchor>
        </w:drawing>
        <w:t>APPENDIX I</w:t>
      </w:r>
      <w:r>
        <w:rPr>
          <w:sz w:val="20"/>
          <w:szCs w:val="20"/>
          <w:color w:val="auto"/>
        </w:rPr>
        <w:tab/>
      </w:r>
      <w:r>
        <w:rPr>
          <w:rFonts w:ascii="Times New Roman" w:cs="Times New Roman" w:eastAsia="Times New Roman" w:hAnsi="Times New Roman"/>
          <w:sz w:val="16"/>
          <w:szCs w:val="16"/>
          <w:b w:val="1"/>
          <w:bCs w:val="1"/>
          <w:color w:val="auto"/>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248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23" w:lineRule="exact"/>
        <w:rPr>
          <w:sz w:val="20"/>
          <w:szCs w:val="20"/>
          <w:color w:val="auto"/>
        </w:rPr>
      </w:pPr>
    </w:p>
    <w:p>
      <w:pPr>
        <w:ind w:firstLine="300"/>
        <w:spacing w:after="0" w:line="273" w:lineRule="auto"/>
        <w:rPr>
          <w:sz w:val="20"/>
          <w:szCs w:val="20"/>
          <w:color w:val="auto"/>
        </w:rPr>
      </w:pPr>
      <w:r>
        <w:rPr>
          <w:rFonts w:ascii="Times New Roman" w:cs="Times New Roman" w:eastAsia="Times New Roman" w:hAnsi="Times New Roman"/>
          <w:sz w:val="17"/>
          <w:szCs w:val="17"/>
          <w:i w:val="1"/>
          <w:iCs w:val="1"/>
          <w:color w:val="231F20"/>
        </w:rPr>
        <w:t>The following is an explanatory statement required by the Listing Rules to be sent to the Shareholders to enable them to make an informed decision on whether to vote for or against the ordinary resolution to be proposed at the AGM in relation to the granting of the Repurchase Mandate.</w:t>
      </w:r>
    </w:p>
    <w:p>
      <w:pPr>
        <w:spacing w:after="0" w:line="153" w:lineRule="exact"/>
        <w:rPr>
          <w:sz w:val="20"/>
          <w:szCs w:val="20"/>
          <w:color w:val="auto"/>
        </w:rPr>
      </w:pPr>
    </w:p>
    <w:p>
      <w:pPr>
        <w:ind w:left="300" w:hanging="300"/>
        <w:spacing w:after="0"/>
        <w:tabs>
          <w:tab w:leader="none" w:pos="300" w:val="left"/>
        </w:tabs>
        <w:numPr>
          <w:ilvl w:val="0"/>
          <w:numId w:val="14"/>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REASONS FOR REPURCHASE OF SHARES AND/OR ADSs</w:t>
      </w:r>
    </w:p>
    <w:p>
      <w:pPr>
        <w:spacing w:after="0" w:line="208" w:lineRule="exact"/>
        <w:rPr>
          <w:rFonts w:ascii="Times New Roman" w:cs="Times New Roman" w:eastAsia="Times New Roman" w:hAnsi="Times New Roman"/>
          <w:sz w:val="17"/>
          <w:szCs w:val="17"/>
          <w:b w:val="1"/>
          <w:bCs w:val="1"/>
          <w:color w:val="231F20"/>
        </w:rPr>
      </w:pPr>
    </w:p>
    <w:p>
      <w:pPr>
        <w:ind w:left="300"/>
        <w:spacing w:after="0"/>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color w:val="231F20"/>
        </w:rPr>
        <w:t>The Directors believe that the granting of the Repurchase Mandate is in the interests of the Company and the Shareholders as a whole.</w:t>
      </w:r>
    </w:p>
    <w:p>
      <w:pPr>
        <w:spacing w:after="0" w:line="20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Repurchases of Shares and/or ADSs may, depending on the market conditions and funding arrangements at the time, lead to an enhancement of the net asset value per Share and/or earnings per Share. The Directors are seeking the grant of the Repurchase Mandate to give the Company the flexibility to do so if and when appropriate. The number of Shares and/or ADSs to be repurchased on any occasion and the price and other terms upon which the same are repurchased will be decided by the Directors at the relevant time, having regard to the circumstances then pertaining.</w:t>
      </w:r>
    </w:p>
    <w:p>
      <w:pPr>
        <w:spacing w:after="0" w:line="17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The Directors would only exercise the power to repurchase in circumstances where they consider that the repurchase would be in the best interests of the Company and the Shareholders.</w:t>
      </w:r>
    </w:p>
    <w:p>
      <w:pPr>
        <w:spacing w:after="0" w:line="155" w:lineRule="exact"/>
        <w:rPr>
          <w:sz w:val="20"/>
          <w:szCs w:val="20"/>
          <w:color w:val="auto"/>
        </w:rPr>
      </w:pPr>
    </w:p>
    <w:p>
      <w:pPr>
        <w:ind w:left="300" w:hanging="300"/>
        <w:spacing w:after="0"/>
        <w:tabs>
          <w:tab w:leader="none" w:pos="300" w:val="left"/>
        </w:tabs>
        <w:numPr>
          <w:ilvl w:val="0"/>
          <w:numId w:val="15"/>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SHARE CAPITAL</w:t>
      </w:r>
    </w:p>
    <w:p>
      <w:pPr>
        <w:spacing w:after="0" w:line="208" w:lineRule="exact"/>
        <w:rPr>
          <w:sz w:val="20"/>
          <w:szCs w:val="20"/>
          <w:color w:val="auto"/>
        </w:rPr>
      </w:pPr>
    </w:p>
    <w:p>
      <w:pPr>
        <w:jc w:val="both"/>
        <w:ind w:firstLine="300"/>
        <w:spacing w:after="0" w:line="271" w:lineRule="auto"/>
        <w:rPr>
          <w:sz w:val="20"/>
          <w:szCs w:val="20"/>
          <w:color w:val="auto"/>
        </w:rPr>
      </w:pPr>
      <w:r>
        <w:rPr>
          <w:rFonts w:ascii="Times New Roman" w:cs="Times New Roman" w:eastAsia="Times New Roman" w:hAnsi="Times New Roman"/>
          <w:sz w:val="16"/>
          <w:szCs w:val="16"/>
          <w:color w:val="231F20"/>
        </w:rPr>
        <w:t>As at the Latest Practicable Date, the issued and outstanding share capital of the Company comprised 613,316,004 Shares, out of which 543,153,371 were Class A Ordinary Shares and 70,162,633 were Class B Ordinary Shares. Subject to the passing of the ordinary resolution set out in item 4 of the notice of the AGM in respect of the granting of the Repurchase Mandate and on the basis that the issued share capital of the Company remains unchanged as at the date of the AGM, i.e. being 613,316,004 Shares, the Directors would be authorized under the Repurchase Mandate to repurchase, during the period in which the Repurchase Mandate remains in force, up to a maximum 61,331,600 Shares, representing 10% of the total number of Shares in issue as at the date of the AGM (excluding any treasury shares).</w:t>
      </w:r>
    </w:p>
    <w:p>
      <w:pPr>
        <w:spacing w:after="0" w:line="156" w:lineRule="exact"/>
        <w:rPr>
          <w:sz w:val="20"/>
          <w:szCs w:val="20"/>
          <w:color w:val="auto"/>
        </w:rPr>
      </w:pPr>
    </w:p>
    <w:p>
      <w:pPr>
        <w:ind w:left="300" w:hanging="300"/>
        <w:spacing w:after="0"/>
        <w:tabs>
          <w:tab w:leader="none" w:pos="300" w:val="left"/>
        </w:tabs>
        <w:numPr>
          <w:ilvl w:val="0"/>
          <w:numId w:val="16"/>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FUNDING OF REPURCHASES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Repurchases of Shares and/or ADSs will be funded from the Company’s internal resources, which shall be funds legally available for such purpose in accordance with the articles of association of the Company in effect from time to time, the Listing Rules, the applicable laws of the Cayman Islands and/or any other applicable laws, as the case may be.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spacing w:after="0"/>
        <w:tabs>
          <w:tab w:leader="none" w:pos="614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2480" cy="7620"/>
                    </a:xfrm>
                    <a:prstGeom prst="rect">
                      <a:avLst/>
                    </a:prstGeom>
                    <a:noFill/>
                  </pic:spPr>
                </pic:pic>
              </a:graphicData>
            </a:graphic>
          </wp:anchor>
        </w:drawing>
        <w:t>APPENDIX I</w:t>
      </w:r>
      <w:r>
        <w:rPr>
          <w:sz w:val="20"/>
          <w:szCs w:val="20"/>
          <w:color w:val="auto"/>
        </w:rPr>
        <w:tab/>
      </w:r>
      <w:r>
        <w:rPr>
          <w:rFonts w:ascii="Times New Roman" w:cs="Times New Roman" w:eastAsia="Times New Roman" w:hAnsi="Times New Roman"/>
          <w:sz w:val="16"/>
          <w:szCs w:val="16"/>
          <w:b w:val="1"/>
          <w:bCs w:val="1"/>
          <w:color w:val="auto"/>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248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21" w:lineRule="exact"/>
        <w:rPr>
          <w:sz w:val="20"/>
          <w:szCs w:val="20"/>
          <w:color w:val="auto"/>
        </w:rPr>
      </w:pPr>
    </w:p>
    <w:p>
      <w:pPr>
        <w:ind w:left="300" w:hanging="300"/>
        <w:spacing w:after="0"/>
        <w:tabs>
          <w:tab w:leader="none" w:pos="300" w:val="left"/>
        </w:tabs>
        <w:numPr>
          <w:ilvl w:val="0"/>
          <w:numId w:val="17"/>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IMPACT OF REPURCHASES AND INTERIM MEASURES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Based on the current level of trading price of the Company’s Shares and ADSs, the Directors believe that there may not be a material adverse impact on the working capital or gearing position of the Company (as compared with the position disclosed in the audited accounts in the annual report of the Company for the year ended December 31, 2025) in the event that the Repurchase Mandate was to be carried out in full at any time during the proposed repurchase period.</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The Directors do not intend to exercise the Repurchase Mandate to such an extent as would, in the circumstances, have a material adverse effect on the working capital requirements of the Company or its gearing levels which, in the opinion of the Directors, are from time to time appropriate for the Company.</w:t>
      </w:r>
    </w:p>
    <w:p>
      <w:pPr>
        <w:spacing w:after="0" w:line="159"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Following a repurchase of Class A Ordinary Shares or Class A Ordinary Shares underlying ADSs, the Company may cancel any repurchased Shares and/or hold them as treasury shares subject to, among others, market conditions and its capital management needs at the relevant time of the repurchases, which may change due to evolving circumstances. Shareholders and potential investors of the Company are advised to pay attention to any announcement to be published by the Company in the future, including but without limitation, any relevant next day disclosure return (which shall identify, amongst others, the number of repurchased shares that are to be held in treasury or cancelled upon settlement of such repurchase, and where applicable, the reasons for any deviation from the intention statement previous disclosed) and any relevant monthly return.</w:t>
      </w:r>
    </w:p>
    <w:p>
      <w:pPr>
        <w:spacing w:after="0" w:line="176"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For any treasury shares of the Company deposited with CCASS pending resale on the Stock Exchange, the Company shall, upon approval by the Board implement the below interim measures (collectively, the “</w:t>
      </w:r>
      <w:r>
        <w:rPr>
          <w:rFonts w:ascii="Times New Roman" w:cs="Times New Roman" w:eastAsia="Times New Roman" w:hAnsi="Times New Roman"/>
          <w:sz w:val="17"/>
          <w:szCs w:val="17"/>
          <w:b w:val="1"/>
          <w:bCs w:val="1"/>
          <w:color w:val="231F20"/>
        </w:rPr>
        <w:t>Interim Measures</w:t>
      </w:r>
      <w:r>
        <w:rPr>
          <w:rFonts w:ascii="Times New Roman" w:cs="Times New Roman" w:eastAsia="Times New Roman" w:hAnsi="Times New Roman"/>
          <w:sz w:val="17"/>
          <w:szCs w:val="17"/>
          <w:color w:val="231F20"/>
        </w:rPr>
        <w:t>”) which include (without limitation):</w:t>
      </w:r>
    </w:p>
    <w:p>
      <w:pPr>
        <w:spacing w:after="0" w:line="159" w:lineRule="exact"/>
        <w:rPr>
          <w:sz w:val="20"/>
          <w:szCs w:val="20"/>
          <w:color w:val="auto"/>
        </w:rPr>
      </w:pPr>
    </w:p>
    <w:p>
      <w:pPr>
        <w:ind w:left="640" w:hanging="341"/>
        <w:spacing w:after="0"/>
        <w:tabs>
          <w:tab w:leader="none" w:pos="640" w:val="left"/>
        </w:tabs>
        <w:numPr>
          <w:ilvl w:val="0"/>
          <w:numId w:val="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procuring its broker not to give any instructions to HKSCC to vote at general meetings for the treasury shares deposited with CCASS;</w:t>
      </w:r>
    </w:p>
    <w:p>
      <w:pPr>
        <w:spacing w:after="0" w:line="204" w:lineRule="exact"/>
        <w:rPr>
          <w:rFonts w:ascii="Times New Roman" w:cs="Times New Roman" w:eastAsia="Times New Roman" w:hAnsi="Times New Roman"/>
          <w:sz w:val="17"/>
          <w:szCs w:val="17"/>
          <w:color w:val="231F20"/>
        </w:rPr>
      </w:pPr>
    </w:p>
    <w:p>
      <w:pPr>
        <w:ind w:left="640" w:hanging="341"/>
        <w:spacing w:after="0" w:line="270" w:lineRule="auto"/>
        <w:tabs>
          <w:tab w:leader="none" w:pos="640" w:val="left"/>
        </w:tabs>
        <w:numPr>
          <w:ilvl w:val="0"/>
          <w:numId w:val="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the case of dividends or distributions (if any and where applicable), withdrawing the treasury shares from CCASS, and either re-register them in its own name as treasury shares or cancel them, in each case before the relevant record date for the dividend or distributions; or</w:t>
      </w:r>
    </w:p>
    <w:p>
      <w:pPr>
        <w:spacing w:after="0" w:line="159" w:lineRule="exact"/>
        <w:rPr>
          <w:rFonts w:ascii="Times New Roman" w:cs="Times New Roman" w:eastAsia="Times New Roman" w:hAnsi="Times New Roman"/>
          <w:sz w:val="17"/>
          <w:szCs w:val="17"/>
          <w:color w:val="231F20"/>
        </w:rPr>
      </w:pPr>
    </w:p>
    <w:p>
      <w:pPr>
        <w:ind w:left="640" w:hanging="341"/>
        <w:spacing w:after="0" w:line="270" w:lineRule="auto"/>
        <w:tabs>
          <w:tab w:leader="none" w:pos="640" w:val="left"/>
        </w:tabs>
        <w:numPr>
          <w:ilvl w:val="0"/>
          <w:numId w:val="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taking any other measures to ensure that it will not exercise any shareholders’ rights or receive any entitlements which would otherwise be suspended under the applicable laws if those Shares were registered in its own name as treasury shares.</w:t>
      </w:r>
    </w:p>
    <w:p>
      <w:pPr>
        <w:spacing w:after="0" w:line="359" w:lineRule="exact"/>
        <w:rPr>
          <w:rFonts w:ascii="Times New Roman" w:cs="Times New Roman" w:eastAsia="Times New Roman" w:hAnsi="Times New Roman"/>
          <w:sz w:val="17"/>
          <w:szCs w:val="17"/>
          <w:color w:val="231F20"/>
        </w:rPr>
      </w:pPr>
    </w:p>
    <w:p>
      <w:pPr>
        <w:ind w:left="542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spacing w:after="0"/>
        <w:tabs>
          <w:tab w:leader="none" w:pos="614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2480" cy="7620"/>
                    </a:xfrm>
                    <a:prstGeom prst="rect">
                      <a:avLst/>
                    </a:prstGeom>
                    <a:noFill/>
                  </pic:spPr>
                </pic:pic>
              </a:graphicData>
            </a:graphic>
          </wp:anchor>
        </w:drawing>
        <w:t>APPENDIX I</w:t>
      </w:r>
      <w:r>
        <w:rPr>
          <w:sz w:val="20"/>
          <w:szCs w:val="20"/>
          <w:color w:val="auto"/>
        </w:rPr>
        <w:tab/>
      </w:r>
      <w:r>
        <w:rPr>
          <w:rFonts w:ascii="Times New Roman" w:cs="Times New Roman" w:eastAsia="Times New Roman" w:hAnsi="Times New Roman"/>
          <w:sz w:val="16"/>
          <w:szCs w:val="16"/>
          <w:b w:val="1"/>
          <w:bCs w:val="1"/>
          <w:color w:val="auto"/>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248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21" w:lineRule="exact"/>
        <w:rPr>
          <w:sz w:val="20"/>
          <w:szCs w:val="20"/>
          <w:color w:val="auto"/>
        </w:rPr>
      </w:pPr>
    </w:p>
    <w:p>
      <w:pPr>
        <w:ind w:left="300" w:hanging="300"/>
        <w:spacing w:after="0"/>
        <w:tabs>
          <w:tab w:leader="none" w:pos="300" w:val="left"/>
        </w:tabs>
        <w:numPr>
          <w:ilvl w:val="0"/>
          <w:numId w:val="19"/>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TAKEOVERS CODE</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If, on the exercise of the power to repurchase Shares and/or ADSs pursuant to the Repurchase Mandate, a Shareholder’s proportionate interest in the voting rights of the Company increases, such increase will be treated as an acquisition of voting rights for the purposes of the Takeovers Code. Accordingly, a Shareholder or a group of Shareholders acting in concert (as defined under the Takeovers Code) could obtain or consolidate control of the Company and thereby become obliged to make a mandatory offer in accordance with Rule 26 of the Takeovers Code.</w:t>
      </w:r>
    </w:p>
    <w:p>
      <w:pPr>
        <w:spacing w:after="0" w:line="174" w:lineRule="exact"/>
        <w:rPr>
          <w:sz w:val="20"/>
          <w:szCs w:val="20"/>
          <w:color w:val="auto"/>
        </w:rPr>
      </w:pPr>
    </w:p>
    <w:p>
      <w:pPr>
        <w:jc w:val="both"/>
        <w:ind w:firstLine="300"/>
        <w:spacing w:after="0" w:line="250" w:lineRule="auto"/>
        <w:rPr>
          <w:sz w:val="20"/>
          <w:szCs w:val="20"/>
          <w:color w:val="auto"/>
        </w:rPr>
      </w:pPr>
      <w:r>
        <w:rPr>
          <w:rFonts w:ascii="Times New Roman" w:cs="Times New Roman" w:eastAsia="Times New Roman" w:hAnsi="Times New Roman"/>
          <w:sz w:val="17"/>
          <w:szCs w:val="17"/>
          <w:color w:val="231F20"/>
        </w:rPr>
        <w:t>As at the Latest Practicable Date, without taking into account the voting rights attached to the 253,461 Class A Ordinary Shares held by the Depositary which may be used to satisfy any future exercise or vesting of awards granted under the 2015 Equity Incentive Plan and the 2024 Share Scheme, to the best knowledge and belief of the Directors, the WVR Beneficiaries are Mr. Wang and Mr. Chen. Mr. Wang and Mr. Chen beneficially own and control, through their intermediaries, an aggregate of 77,337,367 Class A Ordinary Shares and 70,162,633 Class B Ordinary Shares, representing (a) approximately 24.05% of the Company’s issued Shares;</w:t>
      </w:r>
    </w:p>
    <w:p>
      <w:pPr>
        <w:spacing w:after="0" w:line="1" w:lineRule="exact"/>
        <w:rPr>
          <w:sz w:val="20"/>
          <w:szCs w:val="20"/>
          <w:color w:val="auto"/>
        </w:rPr>
      </w:pPr>
    </w:p>
    <w:p>
      <w:pPr>
        <w:jc w:val="both"/>
        <w:spacing w:after="0" w:line="245" w:lineRule="auto"/>
        <w:tabs>
          <w:tab w:leader="none" w:pos="249" w:val="left"/>
        </w:tabs>
        <w:numPr>
          <w:ilvl w:val="0"/>
          <w:numId w:val="2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approximately 24.06% of the effective voting rights with respect to shareholder resolutions relating to Reserved Matters, on the basis that each Share entitles the Shareholder to one vote per share; and (c) approximately 62.59% of the effective voting rights, on the basis that Class A Ordinary Shares entitle the Shareholder to one vote per share and Class B Ordinary Shares entitle the Shareholder to ten votes per share. Pursuant to Rule 8A.15 of the Listing Rules, in the event that the Directors exercise the Repurchase Mandate, the WVR Beneficiaries must reduce their weighted voting rights in the Company proportionately through conversion of a proportion of their Class B Ordinary Shares into Class A Ordinary Shares, if the reduction in the number of Shares in issue (after deducting any treasury shares) would otherwise result in an increase in the proportion of Class B Ordinary Shares. As such, to the best knowledge and belief of the Directors, the exercise of the Repurchase Mandate is not expected to give rise to an obligation of the WVR Beneficiaries to make a mandatory offer under the Takeovers Code. The Directors have no present intention to repurchase the Shares and/or ADSs to the extent that will trigger the obligations under the Takeovers Code to make a mandatory offer. The Directors are not aware of any other consequences which may arise under the Takeovers Code as a result of any purchase by the Company of its Shares.</w:t>
      </w:r>
    </w:p>
    <w:p>
      <w:pPr>
        <w:spacing w:after="0" w:line="185"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In addition, the Directors do not propose to repurchase Shares and/or ADSs which would result in less than the relevant prescribed minimum percentage of Shares in public hands as required by the Stock Exchange.</w:t>
      </w:r>
    </w:p>
    <w:p>
      <w:pPr>
        <w:spacing w:after="0" w:line="155" w:lineRule="exact"/>
        <w:rPr>
          <w:sz w:val="20"/>
          <w:szCs w:val="20"/>
          <w:color w:val="auto"/>
        </w:rPr>
      </w:pPr>
    </w:p>
    <w:p>
      <w:pPr>
        <w:ind w:left="300" w:hanging="300"/>
        <w:spacing w:after="0"/>
        <w:tabs>
          <w:tab w:leader="none" w:pos="300" w:val="left"/>
        </w:tabs>
        <w:numPr>
          <w:ilvl w:val="0"/>
          <w:numId w:val="21"/>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GENERAL</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None of the Directors or, to the best of their knowledge having made all reasonable enquiries, any of their respective close associates (as defined in the Listing Rules) have any present intention to sell any Shares to the Company in the event that the granting of the Repurchase Mandate is approved by the Shareholders.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spacing w:after="0"/>
        <w:tabs>
          <w:tab w:leader="none" w:pos="614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2480" cy="7620"/>
                    </a:xfrm>
                    <a:prstGeom prst="rect">
                      <a:avLst/>
                    </a:prstGeom>
                    <a:noFill/>
                  </pic:spPr>
                </pic:pic>
              </a:graphicData>
            </a:graphic>
          </wp:anchor>
        </w:drawing>
        <w:t>APPENDIX I</w:t>
      </w:r>
      <w:r>
        <w:rPr>
          <w:sz w:val="20"/>
          <w:szCs w:val="20"/>
          <w:color w:val="auto"/>
        </w:rPr>
        <w:tab/>
      </w:r>
      <w:r>
        <w:rPr>
          <w:rFonts w:ascii="Times New Roman" w:cs="Times New Roman" w:eastAsia="Times New Roman" w:hAnsi="Times New Roman"/>
          <w:sz w:val="16"/>
          <w:szCs w:val="16"/>
          <w:b w:val="1"/>
          <w:bCs w:val="1"/>
          <w:color w:val="auto"/>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248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25"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The Company has not been notified by any core connected persons (as defined in the Listing Rules) of the Company that they have a present intention to sell any Shares to the Company, or that they have undertaken not to sell any Shares held by them to the Company in the event that the granting of the Repurchase Mandate is approved by the Shareholders.</w:t>
      </w:r>
    </w:p>
    <w:p>
      <w:pPr>
        <w:spacing w:after="0" w:line="171"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The Directors have undertaken to the Stock Exchange to exercise the power of the Company to make repurchases of Shares and/or ADSs pursuant to the Repurchase Mandate in accordance with the Listing Rules and the applicable laws of the Cayman Islands.</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The Company confirms that the explanatory statement set out in this Appendix contains the information required under Rule 10.06(1)(b) of the Listing Rules and that neither the explanatory statement nor the proposed share repurchase has unusual features.</w:t>
      </w:r>
    </w:p>
    <w:p>
      <w:pPr>
        <w:spacing w:after="0" w:line="155" w:lineRule="exact"/>
        <w:rPr>
          <w:sz w:val="20"/>
          <w:szCs w:val="20"/>
          <w:color w:val="auto"/>
        </w:rPr>
      </w:pPr>
    </w:p>
    <w:p>
      <w:pPr>
        <w:ind w:left="300" w:hanging="300"/>
        <w:spacing w:after="0"/>
        <w:tabs>
          <w:tab w:leader="none" w:pos="300" w:val="left"/>
        </w:tabs>
        <w:numPr>
          <w:ilvl w:val="0"/>
          <w:numId w:val="2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MARKET PRICES OF SHARES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231F20"/>
        </w:rPr>
        <w:t>The highest and lowest prices at which the Shares were traded on the Stock Exchange during each of the previous 12 months preceding up to and including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Latest Practicable Date (being May 8, 2026)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ind w:left="760"/>
              <w:spacing w:after="0"/>
              <w:rPr>
                <w:sz w:val="20"/>
                <w:szCs w:val="20"/>
                <w:color w:val="auto"/>
              </w:rPr>
            </w:pPr>
            <w:r>
              <w:rPr>
                <w:rFonts w:ascii="Times New Roman" w:cs="Times New Roman" w:eastAsia="Times New Roman" w:hAnsi="Times New Roman"/>
                <w:sz w:val="17"/>
                <w:szCs w:val="17"/>
                <w:b w:val="1"/>
                <w:bCs w:val="1"/>
                <w:color w:val="231F20"/>
              </w:rPr>
              <w:t>Price per Share</w:t>
            </w:r>
          </w:p>
        </w:tc>
        <w:tc>
          <w:tcPr>
            <w:tcW w:w="40" w:type="dxa"/>
            <w:vAlign w:val="bottom"/>
          </w:tcPr>
          <w:p>
            <w:pPr>
              <w:spacing w:after="0"/>
              <w:rPr>
                <w:sz w:val="19"/>
                <w:szCs w:val="19"/>
                <w:color w:val="auto"/>
              </w:rPr>
            </w:pPr>
          </w:p>
        </w:tc>
      </w:tr>
      <w:tr>
        <w:trPr>
          <w:trHeight w:val="205"/>
        </w:trPr>
        <w:tc>
          <w:tcPr>
            <w:tcW w:w="43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231F20"/>
              </w:rPr>
              <w:t>Month and Year</w:t>
            </w:r>
          </w:p>
        </w:tc>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231F20"/>
                <w:w w:val="96"/>
              </w:rPr>
              <w:t>Highest</w:t>
            </w:r>
          </w:p>
        </w:tc>
        <w:tc>
          <w:tcPr>
            <w:tcW w:w="118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7"/>
                <w:szCs w:val="17"/>
                <w:b w:val="1"/>
                <w:bCs w:val="1"/>
                <w:color w:val="231F20"/>
              </w:rPr>
              <w:t>Lowest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2"/>
        </w:trPr>
        <w:tc>
          <w:tcPr>
            <w:tcW w:w="300" w:type="dxa"/>
            <w:vAlign w:val="bottom"/>
          </w:tcPr>
          <w:p>
            <w:pPr>
              <w:spacing w:after="0"/>
              <w:rPr>
                <w:sz w:val="16"/>
                <w:szCs w:val="16"/>
                <w:color w:val="auto"/>
              </w:rPr>
            </w:pPr>
          </w:p>
        </w:tc>
        <w:tc>
          <w:tcPr>
            <w:tcW w:w="4060" w:type="dxa"/>
            <w:vAlign w:val="bottom"/>
            <w:tcBorders>
              <w:top w:val="single" w:sz="8" w:color="auto"/>
            </w:tcBorders>
          </w:tcPr>
          <w:p>
            <w:pPr>
              <w:spacing w:after="0"/>
              <w:rPr>
                <w:sz w:val="16"/>
                <w:szCs w:val="16"/>
                <w:color w:val="auto"/>
              </w:rPr>
            </w:pPr>
          </w:p>
        </w:tc>
        <w:tc>
          <w:tcPr>
            <w:tcW w:w="4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3" w:lineRule="exact"/>
              <w:rPr>
                <w:sz w:val="20"/>
                <w:szCs w:val="20"/>
                <w:color w:val="auto"/>
              </w:rPr>
            </w:pPr>
            <w:r>
              <w:rPr>
                <w:rFonts w:ascii="Times New Roman" w:cs="Times New Roman" w:eastAsia="Times New Roman" w:hAnsi="Times New Roman"/>
                <w:sz w:val="17"/>
                <w:szCs w:val="17"/>
                <w:i w:val="1"/>
                <w:iCs w:val="1"/>
                <w:color w:val="231F20"/>
                <w:w w:val="99"/>
              </w:rPr>
              <w:t>HK$</w:t>
            </w:r>
          </w:p>
        </w:tc>
        <w:tc>
          <w:tcPr>
            <w:tcW w:w="220" w:type="dxa"/>
            <w:vAlign w:val="bottom"/>
          </w:tcPr>
          <w:p>
            <w:pPr>
              <w:spacing w:after="0"/>
              <w:rPr>
                <w:sz w:val="16"/>
                <w:szCs w:val="16"/>
                <w:color w:val="auto"/>
              </w:rPr>
            </w:pPr>
          </w:p>
        </w:tc>
        <w:tc>
          <w:tcPr>
            <w:tcW w:w="1180" w:type="dxa"/>
            <w:vAlign w:val="bottom"/>
            <w:tcBorders>
              <w:top w:val="single" w:sz="8" w:color="auto"/>
            </w:tcBorders>
          </w:tcPr>
          <w:p>
            <w:pPr>
              <w:jc w:val="right"/>
              <w:ind w:right="357"/>
              <w:spacing w:after="0" w:line="193" w:lineRule="exact"/>
              <w:rPr>
                <w:sz w:val="20"/>
                <w:szCs w:val="20"/>
                <w:color w:val="auto"/>
              </w:rPr>
            </w:pPr>
            <w:r>
              <w:rPr>
                <w:rFonts w:ascii="Times New Roman" w:cs="Times New Roman" w:eastAsia="Times New Roman" w:hAnsi="Times New Roman"/>
                <w:sz w:val="17"/>
                <w:szCs w:val="17"/>
                <w:i w:val="1"/>
                <w:iCs w:val="1"/>
                <w:color w:val="231F20"/>
              </w:rPr>
              <w:t>HK$</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0"/>
        </w:trPr>
        <w:tc>
          <w:tcPr>
            <w:tcW w:w="30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231F20"/>
              </w:rPr>
              <w:t>May 2025</w:t>
            </w:r>
          </w:p>
        </w:tc>
        <w:tc>
          <w:tcPr>
            <w:tcW w:w="55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231F20"/>
              </w:rPr>
              <w:t>23.75</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231F20"/>
              </w:rPr>
              <w:t>17.52</w:t>
            </w:r>
          </w:p>
        </w:tc>
        <w:tc>
          <w:tcPr>
            <w:tcW w:w="40" w:type="dxa"/>
            <w:vAlign w:val="bottom"/>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231F20"/>
              </w:rPr>
              <w:t>June 2025</w:t>
            </w:r>
          </w:p>
        </w:tc>
        <w:tc>
          <w:tcPr>
            <w:tcW w:w="556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231F20"/>
              </w:rPr>
              <w:t>22.40</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231F20"/>
              </w:rPr>
              <w:t>18.00</w:t>
            </w:r>
          </w:p>
        </w:tc>
        <w:tc>
          <w:tcPr>
            <w:tcW w:w="40" w:type="dxa"/>
            <w:vAlign w:val="bottom"/>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231F20"/>
              </w:rPr>
              <w:t>July 2025</w:t>
            </w:r>
          </w:p>
        </w:tc>
        <w:tc>
          <w:tcPr>
            <w:tcW w:w="55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231F20"/>
              </w:rPr>
              <w:t>21.45</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231F20"/>
              </w:rPr>
              <w:t>18.58</w:t>
            </w:r>
          </w:p>
        </w:tc>
        <w:tc>
          <w:tcPr>
            <w:tcW w:w="40" w:type="dxa"/>
            <w:vAlign w:val="bottom"/>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231F20"/>
              </w:rPr>
              <w:t>August 2025</w:t>
            </w:r>
          </w:p>
        </w:tc>
        <w:tc>
          <w:tcPr>
            <w:tcW w:w="556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231F20"/>
              </w:rPr>
              <w:t>24.24</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231F20"/>
              </w:rPr>
              <w:t>18.47</w:t>
            </w:r>
          </w:p>
        </w:tc>
        <w:tc>
          <w:tcPr>
            <w:tcW w:w="40" w:type="dxa"/>
            <w:vAlign w:val="bottom"/>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231F20"/>
              </w:rPr>
              <w:t>September 2025</w:t>
            </w:r>
          </w:p>
        </w:tc>
        <w:tc>
          <w:tcPr>
            <w:tcW w:w="55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231F20"/>
              </w:rPr>
              <w:t>22.56</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231F20"/>
              </w:rPr>
              <w:t>19.00</w:t>
            </w:r>
          </w:p>
        </w:tc>
        <w:tc>
          <w:tcPr>
            <w:tcW w:w="40" w:type="dxa"/>
            <w:vAlign w:val="bottom"/>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231F20"/>
              </w:rPr>
              <w:t>October 2025</w:t>
            </w:r>
          </w:p>
        </w:tc>
        <w:tc>
          <w:tcPr>
            <w:tcW w:w="556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231F20"/>
              </w:rPr>
              <w:t>20.82</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231F20"/>
              </w:rPr>
              <w:t>17.24</w:t>
            </w:r>
          </w:p>
        </w:tc>
        <w:tc>
          <w:tcPr>
            <w:tcW w:w="40" w:type="dxa"/>
            <w:vAlign w:val="bottom"/>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231F20"/>
              </w:rPr>
              <w:t>November 2025</w:t>
            </w:r>
          </w:p>
        </w:tc>
        <w:tc>
          <w:tcPr>
            <w:tcW w:w="55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231F20"/>
              </w:rPr>
              <w:t>18.58</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231F20"/>
              </w:rPr>
              <w:t>15.49</w:t>
            </w:r>
          </w:p>
        </w:tc>
        <w:tc>
          <w:tcPr>
            <w:tcW w:w="40" w:type="dxa"/>
            <w:vAlign w:val="bottom"/>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231F20"/>
              </w:rPr>
              <w:t>December 2025</w:t>
            </w:r>
          </w:p>
        </w:tc>
        <w:tc>
          <w:tcPr>
            <w:tcW w:w="556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231F20"/>
              </w:rPr>
              <w:t>18.34</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231F20"/>
              </w:rPr>
              <w:t>16.48</w:t>
            </w:r>
          </w:p>
        </w:tc>
        <w:tc>
          <w:tcPr>
            <w:tcW w:w="40" w:type="dxa"/>
            <w:vAlign w:val="bottom"/>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231F20"/>
              </w:rPr>
              <w:t>January 2026</w:t>
            </w:r>
          </w:p>
        </w:tc>
        <w:tc>
          <w:tcPr>
            <w:tcW w:w="55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231F20"/>
              </w:rPr>
              <w:t>18.82</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231F20"/>
              </w:rPr>
              <w:t>16.50</w:t>
            </w:r>
          </w:p>
        </w:tc>
        <w:tc>
          <w:tcPr>
            <w:tcW w:w="40" w:type="dxa"/>
            <w:vAlign w:val="bottom"/>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231F20"/>
              </w:rPr>
              <w:t>February 2026</w:t>
            </w:r>
          </w:p>
        </w:tc>
        <w:tc>
          <w:tcPr>
            <w:tcW w:w="556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231F20"/>
              </w:rPr>
              <w:t>19.72</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231F20"/>
              </w:rPr>
              <w:t>15.90</w:t>
            </w:r>
          </w:p>
        </w:tc>
        <w:tc>
          <w:tcPr>
            <w:tcW w:w="40" w:type="dxa"/>
            <w:vAlign w:val="bottom"/>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231F20"/>
              </w:rPr>
              <w:t>March 2026</w:t>
            </w:r>
          </w:p>
        </w:tc>
        <w:tc>
          <w:tcPr>
            <w:tcW w:w="55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231F20"/>
              </w:rPr>
              <w:t>19.96</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231F20"/>
              </w:rPr>
              <w:t>16.30</w:t>
            </w:r>
          </w:p>
        </w:tc>
        <w:tc>
          <w:tcPr>
            <w:tcW w:w="40" w:type="dxa"/>
            <w:vAlign w:val="bottom"/>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7"/>
                <w:szCs w:val="17"/>
                <w:color w:val="231F20"/>
              </w:rPr>
              <w:t>April 2026</w:t>
            </w:r>
          </w:p>
        </w:tc>
        <w:tc>
          <w:tcPr>
            <w:tcW w:w="5560" w:type="dxa"/>
            <w:vAlign w:val="bottom"/>
            <w:gridSpan w:val="4"/>
          </w:tcPr>
          <w:p>
            <w:pPr>
              <w:jc w:val="right"/>
              <w:ind w:right="220"/>
              <w:spacing w:after="0"/>
              <w:rPr>
                <w:sz w:val="20"/>
                <w:szCs w:val="20"/>
                <w:color w:val="auto"/>
              </w:rPr>
            </w:pPr>
            <w:r>
              <w:rPr>
                <w:rFonts w:ascii="Times New Roman" w:cs="Times New Roman" w:eastAsia="Times New Roman" w:hAnsi="Times New Roman"/>
                <w:sz w:val="17"/>
                <w:szCs w:val="17"/>
                <w:color w:val="231F20"/>
              </w:rPr>
              <w:t>19.15</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231F20"/>
              </w:rPr>
              <w:t>17.36</w:t>
            </w:r>
          </w:p>
        </w:tc>
        <w:tc>
          <w:tcPr>
            <w:tcW w:w="40" w:type="dxa"/>
            <w:vAlign w:val="bottom"/>
          </w:tcPr>
          <w:p>
            <w:pPr>
              <w:spacing w:after="0"/>
              <w:rPr>
                <w:sz w:val="17"/>
                <w:szCs w:val="17"/>
                <w:color w:val="auto"/>
              </w:rPr>
            </w:pPr>
          </w:p>
        </w:tc>
      </w:tr>
      <w:tr>
        <w:trPr>
          <w:trHeight w:val="200"/>
        </w:trPr>
        <w:tc>
          <w:tcPr>
            <w:tcW w:w="30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231F20"/>
              </w:rPr>
              <w:t>May 2026 (up to the Latest Practicable Date)</w:t>
            </w:r>
          </w:p>
        </w:tc>
        <w:tc>
          <w:tcPr>
            <w:tcW w:w="55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231F20"/>
              </w:rPr>
              <w:t>18.49</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231F20"/>
              </w:rPr>
              <w:t>17.50</w:t>
            </w:r>
          </w:p>
        </w:tc>
        <w:tc>
          <w:tcPr>
            <w:tcW w:w="40" w:type="dxa"/>
            <w:vAlign w:val="bottom"/>
          </w:tcPr>
          <w:p>
            <w:pPr>
              <w:spacing w:after="0"/>
              <w:rPr>
                <w:sz w:val="17"/>
                <w:szCs w:val="17"/>
                <w:color w:val="auto"/>
              </w:rPr>
            </w:pPr>
          </w:p>
        </w:tc>
      </w:tr>
      <w:tr>
        <w:trPr>
          <w:trHeight w:val="599"/>
        </w:trPr>
        <w:tc>
          <w:tcPr>
            <w:tcW w:w="3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4"/>
          </w:tcPr>
          <w:p>
            <w:pPr>
              <w:jc w:val="right"/>
              <w:ind w:right="4080"/>
              <w:spacing w:after="0"/>
              <w:rPr>
                <w:sz w:val="20"/>
                <w:szCs w:val="20"/>
                <w:color w:val="auto"/>
              </w:rPr>
            </w:pPr>
            <w:r>
              <w:rPr>
                <w:rFonts w:ascii="Times New Roman" w:cs="Times New Roman" w:eastAsia="Times New Roman" w:hAnsi="Times New Roman"/>
                <w:sz w:val="17"/>
                <w:szCs w:val="17"/>
                <w:color w:val="auto"/>
              </w:rPr>
              <w:t>– 15 –</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21" w:name="page22"/>
    <w:bookmarkEnd w:id="21"/>
    <w:p>
      <w:pPr>
        <w:spacing w:after="0"/>
        <w:tabs>
          <w:tab w:leader="none" w:pos="614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2480" cy="7620"/>
                    </a:xfrm>
                    <a:prstGeom prst="rect">
                      <a:avLst/>
                    </a:prstGeom>
                    <a:noFill/>
                  </pic:spPr>
                </pic:pic>
              </a:graphicData>
            </a:graphic>
          </wp:anchor>
        </w:drawing>
        <w:t>APPENDIX I</w:t>
      </w:r>
      <w:r>
        <w:rPr>
          <w:sz w:val="20"/>
          <w:szCs w:val="20"/>
          <w:color w:val="auto"/>
        </w:rPr>
        <w:tab/>
      </w:r>
      <w:r>
        <w:rPr>
          <w:rFonts w:ascii="Times New Roman" w:cs="Times New Roman" w:eastAsia="Times New Roman" w:hAnsi="Times New Roman"/>
          <w:sz w:val="16"/>
          <w:szCs w:val="16"/>
          <w:b w:val="1"/>
          <w:bCs w:val="1"/>
          <w:color w:val="auto"/>
        </w:rPr>
        <w:t>EXPLANATORY STATEMENT ON THE REPURCHASE MANDATE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248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21" w:lineRule="exact"/>
        <w:rPr>
          <w:sz w:val="20"/>
          <w:szCs w:val="20"/>
          <w:color w:val="auto"/>
        </w:rPr>
      </w:pPr>
    </w:p>
    <w:p>
      <w:pPr>
        <w:ind w:left="300" w:hanging="300"/>
        <w:spacing w:after="0"/>
        <w:tabs>
          <w:tab w:leader="none" w:pos="300" w:val="left"/>
        </w:tabs>
        <w:numPr>
          <w:ilvl w:val="0"/>
          <w:numId w:val="23"/>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REPURCHASE OF SHARES MADE BY THE COMPANY</w:t>
      </w:r>
    </w:p>
    <w:p>
      <w:pPr>
        <w:spacing w:after="0" w:line="208" w:lineRule="exact"/>
        <w:rPr>
          <w:sz w:val="20"/>
          <w:szCs w:val="20"/>
          <w:color w:val="auto"/>
        </w:rPr>
      </w:pPr>
    </w:p>
    <w:p>
      <w:pPr>
        <w:ind w:right="400" w:firstLine="300"/>
        <w:spacing w:after="0" w:line="270" w:lineRule="auto"/>
        <w:rPr>
          <w:sz w:val="20"/>
          <w:szCs w:val="20"/>
          <w:color w:val="auto"/>
        </w:rPr>
      </w:pPr>
      <w:r>
        <w:rPr>
          <w:rFonts w:ascii="Times New Roman" w:cs="Times New Roman" w:eastAsia="Times New Roman" w:hAnsi="Times New Roman"/>
          <w:sz w:val="17"/>
          <w:szCs w:val="17"/>
          <w:color w:val="231F20"/>
        </w:rPr>
        <w:t>For the six months preceding the Latest Practicable Date, the Class A Ordinary Shares repurchased by the Company on the Hong Kong Stock Exchange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7"/>
              </w:rPr>
              <w:t>Approximate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Number and method of</w:t>
            </w:r>
          </w:p>
        </w:tc>
        <w:tc>
          <w:tcPr>
            <w:tcW w:w="3320" w:type="dxa"/>
            <w:vAlign w:val="bottom"/>
            <w:gridSpan w:val="5"/>
          </w:tcPr>
          <w:p>
            <w:pPr>
              <w:jc w:val="center"/>
              <w:ind w:left="317"/>
              <w:spacing w:after="0"/>
              <w:rPr>
                <w:sz w:val="20"/>
                <w:szCs w:val="20"/>
                <w:color w:val="auto"/>
              </w:rPr>
            </w:pPr>
            <w:r>
              <w:rPr>
                <w:rFonts w:ascii="Times New Roman" w:cs="Times New Roman" w:eastAsia="Times New Roman" w:hAnsi="Times New Roman"/>
                <w:sz w:val="17"/>
                <w:szCs w:val="17"/>
                <w:b w:val="1"/>
                <w:bCs w:val="1"/>
                <w:color w:val="auto"/>
                <w:w w:val="96"/>
              </w:rPr>
              <w:t>Purchase price paid per</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5"/>
              </w:rPr>
              <w:t>aggregate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repurchased Class A</w:t>
            </w:r>
          </w:p>
        </w:tc>
        <w:tc>
          <w:tcPr>
            <w:tcW w:w="3320" w:type="dxa"/>
            <w:vAlign w:val="bottom"/>
            <w:gridSpan w:val="5"/>
          </w:tcPr>
          <w:p>
            <w:pPr>
              <w:jc w:val="center"/>
              <w:ind w:left="317"/>
              <w:spacing w:after="0"/>
              <w:rPr>
                <w:sz w:val="20"/>
                <w:szCs w:val="20"/>
                <w:color w:val="auto"/>
              </w:rPr>
            </w:pPr>
            <w:r>
              <w:rPr>
                <w:rFonts w:ascii="Times New Roman" w:cs="Times New Roman" w:eastAsia="Times New Roman" w:hAnsi="Times New Roman"/>
                <w:sz w:val="17"/>
                <w:szCs w:val="17"/>
                <w:b w:val="1"/>
                <w:bCs w:val="1"/>
                <w:color w:val="auto"/>
                <w:w w:val="96"/>
              </w:rPr>
              <w:t>Class A Ordinary Shares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7"/>
              </w:rPr>
              <w:t>consideration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Date of repurchase</w:t>
            </w:r>
          </w:p>
        </w:tc>
        <w:tc>
          <w:tcPr>
            <w:tcW w:w="120" w:type="dxa"/>
            <w:vAlign w:val="bottom"/>
          </w:tcPr>
          <w:p>
            <w:pPr>
              <w:spacing w:after="0"/>
              <w:rPr>
                <w:sz w:val="19"/>
                <w:szCs w:val="19"/>
                <w:color w:val="auto"/>
              </w:rPr>
            </w:pPr>
          </w:p>
        </w:tc>
        <w:tc>
          <w:tcPr>
            <w:tcW w:w="25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Ordinary Shares</w:t>
            </w:r>
          </w:p>
        </w:tc>
        <w:tc>
          <w:tcPr>
            <w:tcW w:w="136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w w:val="97"/>
              </w:rPr>
              <w:t>Highest price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w w:val="96"/>
              </w:rPr>
              <w:t>Lowest price</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9"/>
              </w:rPr>
              <w:t>paid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240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December 30, 2025</w:t>
            </w:r>
          </w:p>
        </w:tc>
        <w:tc>
          <w:tcPr>
            <w:tcW w:w="12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2,000 on the Stock Exchange</w:t>
            </w:r>
          </w:p>
        </w:tc>
        <w:tc>
          <w:tcPr>
            <w:tcW w:w="2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HK$</w:t>
            </w:r>
          </w:p>
        </w:tc>
        <w:tc>
          <w:tcPr>
            <w:tcW w:w="4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99"/>
              </w:rPr>
              <w:t>17.20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HK$</w:t>
            </w:r>
          </w:p>
        </w:tc>
        <w:tc>
          <w:tcPr>
            <w:tcW w:w="40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99"/>
              </w:rPr>
              <w:t>16.85</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HK$</w:t>
            </w:r>
          </w:p>
        </w:tc>
        <w:tc>
          <w:tcPr>
            <w:tcW w:w="136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34,310.14</w:t>
            </w: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7"/>
                <w:szCs w:val="17"/>
                <w:color w:val="auto"/>
              </w:rPr>
              <w:t>December 31, 2025</w:t>
            </w:r>
          </w:p>
        </w:tc>
        <w:tc>
          <w:tcPr>
            <w:tcW w:w="26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3,400 on the Stock Exchange</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HK$</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9"/>
              </w:rPr>
              <w:t>17.13</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HK$</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9"/>
              </w:rPr>
              <w:t>16.53</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HK$</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57,546.02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00" w:type="dxa"/>
            <w:vAlign w:val="bottom"/>
            <w:vMerge w:val="restart"/>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0" w:type="dxa"/>
            <w:vAlign w:val="bottom"/>
            <w:vMerge w:val="continue"/>
          </w:tcPr>
          <w:p>
            <w:pPr>
              <w:spacing w:after="0"/>
              <w:rPr>
                <w:sz w:val="19"/>
                <w:szCs w:val="19"/>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64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5,400 on the Stock Exchange</w:t>
            </w:r>
          </w:p>
        </w:tc>
        <w:tc>
          <w:tcPr>
            <w:tcW w:w="1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HK$</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9"/>
              </w:rPr>
              <w:t>17.20</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HK$</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9"/>
              </w:rPr>
              <w:t>16.53</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w w:val="97"/>
              </w:rPr>
              <w:t>HK$</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91,856.16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9"/>
        </w:trPr>
        <w:tc>
          <w:tcPr>
            <w:tcW w:w="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 16 –</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22" w:name="page23"/>
    <w:bookmarkEnd w:id="22"/>
    <w:p>
      <w:pPr>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2480" cy="7620"/>
                    </a:xfrm>
                    <a:prstGeom prst="rect">
                      <a:avLst/>
                    </a:prstGeom>
                    <a:noFill/>
                  </pic:spPr>
                </pic:pic>
              </a:graphicData>
            </a:graphic>
          </wp:anchor>
        </w:drawing>
        <w:t>APPENDIX II</w:t>
      </w:r>
      <w:r>
        <w:rPr>
          <w:sz w:val="20"/>
          <w:szCs w:val="20"/>
          <w:color w:val="auto"/>
        </w:rPr>
        <w:tab/>
      </w:r>
      <w:r>
        <w:rPr>
          <w:rFonts w:ascii="Times New Roman" w:cs="Times New Roman" w:eastAsia="Times New Roman" w:hAnsi="Times New Roman"/>
          <w:sz w:val="16"/>
          <w:szCs w:val="16"/>
          <w:b w:val="1"/>
          <w:bCs w:val="1"/>
          <w:color w:val="auto"/>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248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231F20"/>
        </w:rPr>
        <w:t>The following are the particulars (as required by the Listing Rules) of the retiring Directors proposed to be re-elected at the AGM.</w:t>
      </w:r>
    </w:p>
    <w:p>
      <w:pPr>
        <w:spacing w:after="0" w:line="202" w:lineRule="exact"/>
        <w:rPr>
          <w:sz w:val="20"/>
          <w:szCs w:val="20"/>
          <w:color w:val="auto"/>
        </w:rPr>
      </w:pPr>
    </w:p>
    <w:p>
      <w:pPr>
        <w:ind w:right="9260"/>
        <w:spacing w:after="0" w:line="531" w:lineRule="auto"/>
        <w:tabs>
          <w:tab w:leader="none" w:pos="300" w:val="left"/>
        </w:tabs>
        <w:numPr>
          <w:ilvl w:val="0"/>
          <w:numId w:val="24"/>
        </w:numPr>
        <w:rPr>
          <w:rFonts w:ascii="Times New Roman" w:cs="Times New Roman" w:eastAsia="Times New Roman" w:hAnsi="Times New Roman"/>
          <w:sz w:val="16"/>
          <w:szCs w:val="16"/>
          <w:b w:val="1"/>
          <w:bCs w:val="1"/>
          <w:color w:val="231F20"/>
        </w:rPr>
      </w:pPr>
      <w:r>
        <w:rPr>
          <w:rFonts w:ascii="Times New Roman" w:cs="Times New Roman" w:eastAsia="Times New Roman" w:hAnsi="Times New Roman"/>
          <w:sz w:val="16"/>
          <w:szCs w:val="16"/>
          <w:b w:val="1"/>
          <w:bCs w:val="1"/>
          <w:color w:val="231F20"/>
        </w:rPr>
        <w:t>MR. CHEN LIAOHAN Position and experience</w:t>
      </w:r>
    </w:p>
    <w:p>
      <w:pPr>
        <w:spacing w:after="0" w:line="1" w:lineRule="exact"/>
        <w:rPr>
          <w:sz w:val="20"/>
          <w:szCs w:val="20"/>
          <w:color w:val="auto"/>
        </w:rPr>
      </w:pPr>
    </w:p>
    <w:p>
      <w:pPr>
        <w:jc w:val="both"/>
        <w:ind w:firstLine="300"/>
        <w:spacing w:after="0" w:line="210" w:lineRule="exact"/>
        <w:rPr>
          <w:sz w:val="20"/>
          <w:szCs w:val="20"/>
          <w:color w:val="auto"/>
        </w:rPr>
      </w:pPr>
      <w:r>
        <w:rPr>
          <w:rFonts w:ascii="Times New Roman" w:cs="Times New Roman" w:eastAsia="Times New Roman" w:hAnsi="Times New Roman"/>
          <w:sz w:val="17"/>
          <w:szCs w:val="17"/>
          <w:color w:val="231F20"/>
        </w:rPr>
        <w:t>Mr. CHEN Liaohan (</w:t>
      </w:r>
      <w:r>
        <w:rPr>
          <w:rFonts w:ascii="PMingLiU" w:cs="PMingLiU" w:eastAsia="PMingLiU" w:hAnsi="PMingLiU"/>
          <w:sz w:val="17"/>
          <w:szCs w:val="17"/>
          <w:color w:val="231F20"/>
        </w:rPr>
        <w:t>陳燎罕</w:t>
      </w:r>
      <w:r>
        <w:rPr>
          <w:rFonts w:ascii="Times New Roman" w:cs="Times New Roman" w:eastAsia="Times New Roman" w:hAnsi="Times New Roman"/>
          <w:sz w:val="17"/>
          <w:szCs w:val="17"/>
          <w:color w:val="231F20"/>
        </w:rPr>
        <w:t>), aged 43, is a founder, an executive Director and the co-chairman of the Board, and has been serving as the president of our Group since June 2014. Mr. Chen is responsible for the overall strategies, management, business development and overall customer relationship of the Group. Mr. Chen is also a director of certain major subsidiaries of our Group.</w:t>
      </w:r>
    </w:p>
    <w:p>
      <w:pPr>
        <w:spacing w:after="0" w:line="184" w:lineRule="exact"/>
        <w:rPr>
          <w:sz w:val="20"/>
          <w:szCs w:val="20"/>
          <w:color w:val="auto"/>
        </w:rPr>
      </w:pPr>
    </w:p>
    <w:p>
      <w:pPr>
        <w:jc w:val="both"/>
        <w:ind w:firstLine="300"/>
        <w:spacing w:after="0" w:line="214" w:lineRule="exact"/>
        <w:rPr>
          <w:sz w:val="20"/>
          <w:szCs w:val="20"/>
          <w:color w:val="auto"/>
        </w:rPr>
      </w:pPr>
      <w:r>
        <w:rPr>
          <w:rFonts w:ascii="Times New Roman" w:cs="Times New Roman" w:eastAsia="Times New Roman" w:hAnsi="Times New Roman"/>
          <w:sz w:val="17"/>
          <w:szCs w:val="17"/>
          <w:color w:val="231F20"/>
        </w:rPr>
        <w:t>Prior to co-founding the Company, Mr. Chen is the co-founder of PHPWind. Mr. Chen served as management at Hangzhou Detian Information Technology Co., Ltd. (</w:t>
      </w:r>
      <w:r>
        <w:rPr>
          <w:rFonts w:ascii="PMingLiU" w:cs="PMingLiU" w:eastAsia="PMingLiU" w:hAnsi="PMingLiU"/>
          <w:sz w:val="17"/>
          <w:szCs w:val="17"/>
          <w:color w:val="231F20"/>
        </w:rPr>
        <w:t>杭州德天信息技術有限公司</w:t>
      </w:r>
      <w:r>
        <w:rPr>
          <w:rFonts w:ascii="Times New Roman" w:cs="Times New Roman" w:eastAsia="Times New Roman" w:hAnsi="Times New Roman"/>
          <w:sz w:val="17"/>
          <w:szCs w:val="17"/>
          <w:color w:val="231F20"/>
        </w:rPr>
        <w:t>) from 2006 to May 2008. Mr. Chen served as an operations director at Alibaba Group, where he worked on Alibaba Cloud and Alibaba’s O2O business, leading the application of technology and business operation, from May 2008 to May 2014.</w:t>
      </w:r>
    </w:p>
    <w:p>
      <w:pPr>
        <w:spacing w:after="0" w:line="196" w:lineRule="exact"/>
        <w:rPr>
          <w:sz w:val="20"/>
          <w:szCs w:val="20"/>
          <w:color w:val="auto"/>
        </w:rPr>
      </w:pPr>
    </w:p>
    <w:p>
      <w:pPr>
        <w:jc w:val="both"/>
        <w:ind w:firstLine="300"/>
        <w:spacing w:after="0" w:line="220" w:lineRule="exact"/>
        <w:rPr>
          <w:sz w:val="20"/>
          <w:szCs w:val="20"/>
          <w:color w:val="auto"/>
        </w:rPr>
      </w:pPr>
      <w:r>
        <w:rPr>
          <w:rFonts w:ascii="Times New Roman" w:cs="Times New Roman" w:eastAsia="Times New Roman" w:hAnsi="Times New Roman"/>
          <w:sz w:val="17"/>
          <w:szCs w:val="17"/>
          <w:color w:val="231F20"/>
        </w:rPr>
        <w:t>Mr. Chen received a bachelor’s degree in information and computing science from Zhejiang Sci-Tech University (</w:t>
      </w:r>
      <w:r>
        <w:rPr>
          <w:rFonts w:ascii="PMingLiU" w:cs="PMingLiU" w:eastAsia="PMingLiU" w:hAnsi="PMingLiU"/>
          <w:sz w:val="17"/>
          <w:szCs w:val="17"/>
          <w:color w:val="231F20"/>
        </w:rPr>
        <w:t>浙江理工大學</w:t>
      </w:r>
      <w:r>
        <w:rPr>
          <w:rFonts w:ascii="Times New Roman" w:cs="Times New Roman" w:eastAsia="Times New Roman" w:hAnsi="Times New Roman"/>
          <w:sz w:val="17"/>
          <w:szCs w:val="17"/>
          <w:color w:val="231F20"/>
        </w:rPr>
        <w:t>) in the PRC in June 2005, and received a master’s degree in computer applied technology from Zhejiang Sci-Tech University (</w:t>
      </w:r>
      <w:r>
        <w:rPr>
          <w:rFonts w:ascii="PMingLiU" w:cs="PMingLiU" w:eastAsia="PMingLiU" w:hAnsi="PMingLiU"/>
          <w:sz w:val="17"/>
          <w:szCs w:val="17"/>
          <w:color w:val="231F20"/>
        </w:rPr>
        <w:t>浙江理工大學</w:t>
      </w:r>
      <w:r>
        <w:rPr>
          <w:rFonts w:ascii="Times New Roman" w:cs="Times New Roman" w:eastAsia="Times New Roman" w:hAnsi="Times New Roman"/>
          <w:sz w:val="17"/>
          <w:szCs w:val="17"/>
          <w:color w:val="231F20"/>
        </w:rPr>
        <w:t>) in the PRC in July 2010.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Length of service</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Pursuant to the director agreement between Mr. Chen and the Company, his initial term of office shall be three years from the Listing Date or until the third annual general meeting of the Company after the Listing Date (whichever is earlier), and may be extended for an additional term of three years after the end of the initial term if the parties thereto mutually agree in writing to such extension, or if he is re-elected at a meeting of the shareholders of the Company or re-appointed by the Board pursuant to the Articles. Mr. Chen’s term of office was renewed and extended to July 5, 2028. He is also subject to retirement and re-election at annual general meeting of the Company in accordance with the Articles of Association of the Company and the Listing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Relationships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As far as the Directors are aware, as at the Latest Practicable Date, Mr. Chen did not have any relationships with other Directors, senior management, substantial shareholders (as defined in the Listing Rules) or controlling shareholders (as defined in the Listing Rules) of the Company.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2480" cy="7620"/>
                    </a:xfrm>
                    <a:prstGeom prst="rect">
                      <a:avLst/>
                    </a:prstGeom>
                    <a:noFill/>
                  </pic:spPr>
                </pic:pic>
              </a:graphicData>
            </a:graphic>
          </wp:anchor>
        </w:drawing>
        <w:t>APPENDIX II</w:t>
      </w:r>
      <w:r>
        <w:rPr>
          <w:sz w:val="20"/>
          <w:szCs w:val="20"/>
          <w:color w:val="auto"/>
        </w:rPr>
        <w:tab/>
      </w:r>
      <w:r>
        <w:rPr>
          <w:rFonts w:ascii="Times New Roman" w:cs="Times New Roman" w:eastAsia="Times New Roman" w:hAnsi="Times New Roman"/>
          <w:sz w:val="16"/>
          <w:szCs w:val="16"/>
          <w:b w:val="1"/>
          <w:bCs w:val="1"/>
          <w:color w:val="auto"/>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248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Interest in Shares</w:t>
      </w:r>
    </w:p>
    <w:p>
      <w:pPr>
        <w:spacing w:after="0" w:line="208"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As at the Latest Practicable Date, Mr. Chen was deemed to be interested in 1,989,337 Class A Ordinary Shares and 26,810,663 Class B Ordinary Shares held by Unileo Limited, which is wholly owned by him, pursuant to Part XV of the SFO. Save as disclosed above, as far as the Directors are aware, as at the Latest Practicable Date, Mr. Chen was not interested or deemed to be interested in any Shares or underlying Shares of the Company or its associated corporations pursuant to Part XV of the SFO.</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Director’s emoluments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Mr. Chen is not entitled to receive any director’s fees from the Company under the current arrangement, which was determined by the Board with reference to the Group’s remuneration policy.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Other information and matters that need to be disclosed or brought to the attention of the Shareholders</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As far as the Directors are aware, there is no information of Mr. Chen to be disclosed pursuant to any of the requirements under paragraphs 13.51(2)(h) to 13.51(2) (v) of the Listing Rules; and there are no other matters concerning Mr. Chen that need to be brought to the attention of the Shareholders.</w:t>
      </w:r>
    </w:p>
    <w:p>
      <w:pPr>
        <w:spacing w:after="0" w:line="155" w:lineRule="exact"/>
        <w:rPr>
          <w:sz w:val="20"/>
          <w:szCs w:val="20"/>
          <w:color w:val="auto"/>
        </w:rPr>
      </w:pPr>
    </w:p>
    <w:p>
      <w:pPr>
        <w:ind w:right="9120"/>
        <w:spacing w:after="0" w:line="531" w:lineRule="auto"/>
        <w:tabs>
          <w:tab w:leader="none" w:pos="300" w:val="left"/>
        </w:tabs>
        <w:numPr>
          <w:ilvl w:val="0"/>
          <w:numId w:val="25"/>
        </w:numPr>
        <w:rPr>
          <w:rFonts w:ascii="Times New Roman" w:cs="Times New Roman" w:eastAsia="Times New Roman" w:hAnsi="Times New Roman"/>
          <w:sz w:val="16"/>
          <w:szCs w:val="16"/>
          <w:b w:val="1"/>
          <w:bCs w:val="1"/>
          <w:color w:val="231F20"/>
        </w:rPr>
      </w:pPr>
      <w:r>
        <w:rPr>
          <w:rFonts w:ascii="Times New Roman" w:cs="Times New Roman" w:eastAsia="Times New Roman" w:hAnsi="Times New Roman"/>
          <w:sz w:val="16"/>
          <w:szCs w:val="16"/>
          <w:b w:val="1"/>
          <w:bCs w:val="1"/>
          <w:color w:val="231F20"/>
        </w:rPr>
        <w:t>MR. QIU CHANGHENG Position and experience</w:t>
      </w:r>
    </w:p>
    <w:p>
      <w:pPr>
        <w:spacing w:after="0" w:line="1" w:lineRule="exact"/>
        <w:rPr>
          <w:sz w:val="20"/>
          <w:szCs w:val="20"/>
          <w:color w:val="auto"/>
        </w:rPr>
      </w:pPr>
    </w:p>
    <w:p>
      <w:pPr>
        <w:ind w:firstLine="300"/>
        <w:spacing w:after="0" w:line="214" w:lineRule="exact"/>
        <w:rPr>
          <w:sz w:val="20"/>
          <w:szCs w:val="20"/>
          <w:color w:val="auto"/>
        </w:rPr>
      </w:pPr>
      <w:r>
        <w:rPr>
          <w:rFonts w:ascii="Times New Roman" w:cs="Times New Roman" w:eastAsia="Times New Roman" w:hAnsi="Times New Roman"/>
          <w:sz w:val="17"/>
          <w:szCs w:val="17"/>
          <w:color w:val="231F20"/>
        </w:rPr>
        <w:t xml:space="preserve">Mr. QIU Changheng ( </w:t>
      </w:r>
      <w:r>
        <w:rPr>
          <w:rFonts w:ascii="PMingLiU" w:cs="PMingLiU" w:eastAsia="PMingLiU" w:hAnsi="PMingLiU"/>
          <w:sz w:val="17"/>
          <w:szCs w:val="17"/>
          <w:color w:val="231F20"/>
        </w:rPr>
        <w:t>邱昌恒</w:t>
      </w:r>
      <w:r>
        <w:rPr>
          <w:rFonts w:ascii="Times New Roman" w:cs="Times New Roman" w:eastAsia="Times New Roman" w:hAnsi="Times New Roman"/>
          <w:sz w:val="17"/>
          <w:szCs w:val="17"/>
          <w:color w:val="231F20"/>
        </w:rPr>
        <w:t>), aged 50, is appointed as an independent non-executive Director. Mr. Qiu is responsible for providing independent professional opinion and judgement to the Board.</w:t>
      </w:r>
    </w:p>
    <w:p>
      <w:pPr>
        <w:spacing w:after="0" w:line="197" w:lineRule="exact"/>
        <w:rPr>
          <w:sz w:val="20"/>
          <w:szCs w:val="20"/>
          <w:color w:val="auto"/>
        </w:rPr>
      </w:pPr>
    </w:p>
    <w:p>
      <w:pPr>
        <w:ind w:firstLine="300"/>
        <w:spacing w:after="0" w:line="220" w:lineRule="exact"/>
        <w:rPr>
          <w:sz w:val="20"/>
          <w:szCs w:val="20"/>
          <w:color w:val="auto"/>
        </w:rPr>
      </w:pPr>
      <w:r>
        <w:rPr>
          <w:rFonts w:ascii="Times New Roman" w:cs="Times New Roman" w:eastAsia="Times New Roman" w:hAnsi="Times New Roman"/>
          <w:sz w:val="17"/>
          <w:szCs w:val="17"/>
          <w:color w:val="231F20"/>
        </w:rPr>
        <w:t>Mr. Qiu is a founder of Kunteng (Hainan) Equity Investment Fund Management Co., Ltd. (</w:t>
      </w:r>
      <w:r>
        <w:rPr>
          <w:rFonts w:ascii="PMingLiU" w:cs="PMingLiU" w:eastAsia="PMingLiU" w:hAnsi="PMingLiU"/>
          <w:sz w:val="17"/>
          <w:szCs w:val="17"/>
          <w:color w:val="231F20"/>
        </w:rPr>
        <w:t>鯤騰</w:t>
      </w:r>
      <w:r>
        <w:rPr>
          <w:rFonts w:ascii="Times New Roman" w:cs="Times New Roman" w:eastAsia="Times New Roman" w:hAnsi="Times New Roman"/>
          <w:sz w:val="17"/>
          <w:szCs w:val="17"/>
          <w:color w:val="231F20"/>
        </w:rPr>
        <w:t>(</w:t>
      </w:r>
      <w:r>
        <w:rPr>
          <w:rFonts w:ascii="PMingLiU" w:cs="PMingLiU" w:eastAsia="PMingLiU" w:hAnsi="PMingLiU"/>
          <w:sz w:val="17"/>
          <w:szCs w:val="17"/>
          <w:color w:val="231F20"/>
        </w:rPr>
        <w:t>海南</w:t>
      </w:r>
      <w:r>
        <w:rPr>
          <w:rFonts w:ascii="Times New Roman" w:cs="Times New Roman" w:eastAsia="Times New Roman" w:hAnsi="Times New Roman"/>
          <w:sz w:val="17"/>
          <w:szCs w:val="17"/>
          <w:color w:val="231F20"/>
        </w:rPr>
        <w:t>)</w:t>
      </w:r>
      <w:r>
        <w:rPr>
          <w:rFonts w:ascii="PMingLiU" w:cs="PMingLiU" w:eastAsia="PMingLiU" w:hAnsi="PMingLiU"/>
          <w:sz w:val="17"/>
          <w:szCs w:val="17"/>
          <w:color w:val="231F20"/>
        </w:rPr>
        <w:t>股權投資基金管理有限公司</w:t>
      </w:r>
      <w:r>
        <w:rPr>
          <w:rFonts w:ascii="Times New Roman" w:cs="Times New Roman" w:eastAsia="Times New Roman" w:hAnsi="Times New Roman"/>
          <w:sz w:val="17"/>
          <w:szCs w:val="17"/>
          <w:color w:val="231F20"/>
        </w:rPr>
        <w:t>) since July 2017. Prior to that, he served at Taobao (China) Software Co., Ltd. (</w:t>
      </w:r>
      <w:r>
        <w:rPr>
          <w:rFonts w:ascii="PMingLiU" w:cs="PMingLiU" w:eastAsia="PMingLiU" w:hAnsi="PMingLiU"/>
          <w:sz w:val="17"/>
          <w:szCs w:val="17"/>
          <w:color w:val="231F20"/>
        </w:rPr>
        <w:t>淘寶</w:t>
      </w:r>
      <w:r>
        <w:rPr>
          <w:rFonts w:ascii="Times New Roman" w:cs="Times New Roman" w:eastAsia="Times New Roman" w:hAnsi="Times New Roman"/>
          <w:sz w:val="17"/>
          <w:szCs w:val="17"/>
          <w:color w:val="231F20"/>
        </w:rPr>
        <w:t>(</w:t>
      </w:r>
      <w:r>
        <w:rPr>
          <w:rFonts w:ascii="PMingLiU" w:cs="PMingLiU" w:eastAsia="PMingLiU" w:hAnsi="PMingLiU"/>
          <w:sz w:val="17"/>
          <w:szCs w:val="17"/>
          <w:color w:val="231F20"/>
        </w:rPr>
        <w:t>中國</w:t>
      </w:r>
      <w:r>
        <w:rPr>
          <w:rFonts w:ascii="Times New Roman" w:cs="Times New Roman" w:eastAsia="Times New Roman" w:hAnsi="Times New Roman"/>
          <w:sz w:val="17"/>
          <w:szCs w:val="17"/>
          <w:color w:val="231F20"/>
        </w:rPr>
        <w:t>)</w:t>
      </w:r>
      <w:r>
        <w:rPr>
          <w:rFonts w:ascii="PMingLiU" w:cs="PMingLiU" w:eastAsia="PMingLiU" w:hAnsi="PMingLiU"/>
          <w:sz w:val="17"/>
          <w:szCs w:val="17"/>
          <w:color w:val="231F20"/>
        </w:rPr>
        <w:t>軟件有限公司</w:t>
      </w:r>
      <w:r>
        <w:rPr>
          <w:rFonts w:ascii="Times New Roman" w:cs="Times New Roman" w:eastAsia="Times New Roman" w:hAnsi="Times New Roman"/>
          <w:sz w:val="17"/>
          <w:szCs w:val="17"/>
          <w:color w:val="231F20"/>
        </w:rPr>
        <w:t>) from December 2004 to May 2016, where his last position was vice president.</w:t>
      </w:r>
    </w:p>
    <w:p>
      <w:pPr>
        <w:spacing w:after="0" w:line="210" w:lineRule="exact"/>
        <w:rPr>
          <w:sz w:val="20"/>
          <w:szCs w:val="20"/>
          <w:color w:val="auto"/>
        </w:rPr>
      </w:pPr>
    </w:p>
    <w:p>
      <w:pPr>
        <w:ind w:firstLine="300"/>
        <w:spacing w:after="0" w:line="220" w:lineRule="exact"/>
        <w:rPr>
          <w:sz w:val="20"/>
          <w:szCs w:val="20"/>
          <w:color w:val="auto"/>
        </w:rPr>
      </w:pPr>
      <w:r>
        <w:rPr>
          <w:rFonts w:ascii="Times New Roman" w:cs="Times New Roman" w:eastAsia="Times New Roman" w:hAnsi="Times New Roman"/>
          <w:sz w:val="17"/>
          <w:szCs w:val="17"/>
          <w:color w:val="231F20"/>
        </w:rPr>
        <w:t>Mr. Qiu received a bachelor’s degree in physics from Zhejiang University (</w:t>
      </w:r>
      <w:r>
        <w:rPr>
          <w:rFonts w:ascii="PMingLiU" w:cs="PMingLiU" w:eastAsia="PMingLiU" w:hAnsi="PMingLiU"/>
          <w:sz w:val="17"/>
          <w:szCs w:val="17"/>
          <w:color w:val="231F20"/>
        </w:rPr>
        <w:t>浙江大學</w:t>
      </w:r>
      <w:r>
        <w:rPr>
          <w:rFonts w:ascii="Times New Roman" w:cs="Times New Roman" w:eastAsia="Times New Roman" w:hAnsi="Times New Roman"/>
          <w:sz w:val="17"/>
          <w:szCs w:val="17"/>
          <w:color w:val="231F20"/>
        </w:rPr>
        <w:t>) in the PRC in June 1997 and a MBA degree from Peking University (</w:t>
      </w:r>
      <w:r>
        <w:rPr>
          <w:rFonts w:ascii="PMingLiU" w:cs="PMingLiU" w:eastAsia="PMingLiU" w:hAnsi="PMingLiU"/>
          <w:sz w:val="17"/>
          <w:szCs w:val="17"/>
          <w:color w:val="231F20"/>
        </w:rPr>
        <w:t>北京大學</w:t>
      </w:r>
      <w:r>
        <w:rPr>
          <w:rFonts w:ascii="Times New Roman" w:cs="Times New Roman" w:eastAsia="Times New Roman" w:hAnsi="Times New Roman"/>
          <w:sz w:val="17"/>
          <w:szCs w:val="17"/>
          <w:color w:val="231F20"/>
        </w:rPr>
        <w:t>) in the PRC in June 2004.</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4" w:name="page25"/>
    <w:bookmarkEnd w:id="24"/>
    <w:p>
      <w:pPr>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2480" cy="7620"/>
                    </a:xfrm>
                    <a:prstGeom prst="rect">
                      <a:avLst/>
                    </a:prstGeom>
                    <a:noFill/>
                  </pic:spPr>
                </pic:pic>
              </a:graphicData>
            </a:graphic>
          </wp:anchor>
        </w:drawing>
        <w:t>APPENDIX II</w:t>
      </w:r>
      <w:r>
        <w:rPr>
          <w:sz w:val="20"/>
          <w:szCs w:val="20"/>
          <w:color w:val="auto"/>
        </w:rPr>
        <w:tab/>
      </w:r>
      <w:r>
        <w:rPr>
          <w:rFonts w:ascii="Times New Roman" w:cs="Times New Roman" w:eastAsia="Times New Roman" w:hAnsi="Times New Roman"/>
          <w:sz w:val="16"/>
          <w:szCs w:val="16"/>
          <w:b w:val="1"/>
          <w:bCs w:val="1"/>
          <w:color w:val="auto"/>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248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Length of service</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Pursuant to the director agreement between Mr. Qiu and the Company, his initial term of office shall be three years or until the third annual general meeting of the Company after his appointment (whichever is earlier), and may be extended for an additional term of three years after the end of the initial term if the parties thereto mutually agree in writing to such extension, or if he is re-elected at a meeting of the shareholders of the Company or re-appointed by the Board pursuant to the Articles. Mr. Qiu’s term of office was renewed and extended to July 5, 2028. He is also subject to retirement and re-election at annual general meeting of the Company in accordance with the Articles of Association of the Company and the Listing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Relationships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As far as the Directors are aware, as at the Latest Practicable Date, Mr. Qiu does not have any relationships with other Directors, senior management, substantial shareholders (as defined in the Listing Rules) or controlling shareholders (as defined in the Listing Rules)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Interest in Shares</w:t>
      </w:r>
    </w:p>
    <w:p>
      <w:pPr>
        <w:spacing w:after="0" w:line="208" w:lineRule="exact"/>
        <w:rPr>
          <w:sz w:val="20"/>
          <w:szCs w:val="20"/>
          <w:color w:val="auto"/>
        </w:rPr>
      </w:pPr>
    </w:p>
    <w:p>
      <w:pPr>
        <w:jc w:val="both"/>
        <w:ind w:firstLine="300"/>
        <w:spacing w:after="0" w:line="257" w:lineRule="auto"/>
        <w:rPr>
          <w:sz w:val="20"/>
          <w:szCs w:val="20"/>
          <w:color w:val="auto"/>
        </w:rPr>
      </w:pPr>
      <w:r>
        <w:rPr>
          <w:rFonts w:ascii="Times New Roman" w:cs="Times New Roman" w:eastAsia="Times New Roman" w:hAnsi="Times New Roman"/>
          <w:sz w:val="17"/>
          <w:szCs w:val="17"/>
          <w:color w:val="231F20"/>
        </w:rPr>
        <w:t>As at the Latest Practicable Date, Mr. Qiu was interested in 9,438 Class A Ordinary Shares represented by ADSs owned by him pursuant to Part XV of the SFO. Save as disclosed above, as far as the Directors are aware, as at the Latest Practicable Date, Mr. Qiu was not interested or deemed to be interested in any Shares or underlying Shares of the Company or its associated corporations pursuant to Part XV of the SFO.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Director’s emoluments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Mr. Qiu is entitled to receive an annual director’s fee of US$50,000 per annum from the Company under the current arrangement, which was determined by the Board with reference to the Group’s remuneration policy.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Other information and matters that need to be disclosed or brought to the attention of the Shareholders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As far as the Directors are aware, there is no information of Mr. Qiu to be disclosed pursuant to any of the requirements under paragraphs 13.51(2)(h) to 13.51(2)</w:t>
      </w:r>
    </w:p>
    <w:p>
      <w:pPr>
        <w:spacing w:after="0" w:line="32" w:lineRule="exact"/>
        <w:rPr>
          <w:sz w:val="20"/>
          <w:szCs w:val="20"/>
          <w:color w:val="auto"/>
        </w:rPr>
      </w:pPr>
    </w:p>
    <w:p>
      <w:pPr>
        <w:ind w:left="240" w:hanging="240"/>
        <w:spacing w:after="0"/>
        <w:tabs>
          <w:tab w:leader="none" w:pos="240" w:val="left"/>
        </w:tabs>
        <w:numPr>
          <w:ilvl w:val="0"/>
          <w:numId w:val="2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of the Listing Rules; and there are no other matters concerning Mr. Qiu that need to be brought to the attention of the Shareholders.</w:t>
      </w:r>
    </w:p>
    <w:p>
      <w:pPr>
        <w:spacing w:after="0" w:line="387" w:lineRule="exact"/>
        <w:rPr>
          <w:rFonts w:ascii="Times New Roman" w:cs="Times New Roman" w:eastAsia="Times New Roman" w:hAnsi="Times New Roman"/>
          <w:sz w:val="17"/>
          <w:szCs w:val="17"/>
          <w:color w:val="231F20"/>
        </w:rPr>
      </w:pPr>
    </w:p>
    <w:p>
      <w:pPr>
        <w:ind w:left="542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2480" cy="7620"/>
                    </a:xfrm>
                    <a:prstGeom prst="rect">
                      <a:avLst/>
                    </a:prstGeom>
                    <a:noFill/>
                  </pic:spPr>
                </pic:pic>
              </a:graphicData>
            </a:graphic>
          </wp:anchor>
        </w:drawing>
        <w:t>APPENDIX II</w:t>
      </w:r>
      <w:r>
        <w:rPr>
          <w:sz w:val="20"/>
          <w:szCs w:val="20"/>
          <w:color w:val="auto"/>
        </w:rPr>
        <w:tab/>
      </w:r>
      <w:r>
        <w:rPr>
          <w:rFonts w:ascii="Times New Roman" w:cs="Times New Roman" w:eastAsia="Times New Roman" w:hAnsi="Times New Roman"/>
          <w:sz w:val="16"/>
          <w:szCs w:val="16"/>
          <w:b w:val="1"/>
          <w:bCs w:val="1"/>
          <w:color w:val="auto"/>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248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21" w:lineRule="exact"/>
        <w:rPr>
          <w:sz w:val="20"/>
          <w:szCs w:val="20"/>
          <w:color w:val="auto"/>
        </w:rPr>
      </w:pPr>
    </w:p>
    <w:p>
      <w:pPr>
        <w:ind w:right="8800"/>
        <w:spacing w:after="0" w:line="500" w:lineRule="auto"/>
        <w:tabs>
          <w:tab w:leader="none" w:pos="300" w:val="left"/>
        </w:tabs>
        <w:numPr>
          <w:ilvl w:val="0"/>
          <w:numId w:val="27"/>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MR. YIP PAK TUNG JASON Position and experience</w:t>
      </w:r>
    </w:p>
    <w:p>
      <w:pPr>
        <w:spacing w:after="0" w:line="1" w:lineRule="exact"/>
        <w:rPr>
          <w:sz w:val="20"/>
          <w:szCs w:val="20"/>
          <w:color w:val="auto"/>
        </w:rPr>
      </w:pPr>
    </w:p>
    <w:p>
      <w:pPr>
        <w:jc w:val="both"/>
        <w:ind w:firstLine="300"/>
        <w:spacing w:after="0" w:line="214" w:lineRule="exact"/>
        <w:rPr>
          <w:sz w:val="20"/>
          <w:szCs w:val="20"/>
          <w:color w:val="auto"/>
        </w:rPr>
      </w:pPr>
      <w:r>
        <w:rPr>
          <w:rFonts w:ascii="Times New Roman" w:cs="Times New Roman" w:eastAsia="Times New Roman" w:hAnsi="Times New Roman"/>
          <w:sz w:val="17"/>
          <w:szCs w:val="17"/>
          <w:color w:val="231F20"/>
        </w:rPr>
        <w:t>Mr. YIP Pak Tung Jason (</w:t>
      </w:r>
      <w:r>
        <w:rPr>
          <w:rFonts w:ascii="PMingLiU" w:cs="PMingLiU" w:eastAsia="PMingLiU" w:hAnsi="PMingLiU"/>
          <w:sz w:val="17"/>
          <w:szCs w:val="17"/>
          <w:color w:val="231F20"/>
        </w:rPr>
        <w:t>葉栢東</w:t>
      </w:r>
      <w:r>
        <w:rPr>
          <w:rFonts w:ascii="Times New Roman" w:cs="Times New Roman" w:eastAsia="Times New Roman" w:hAnsi="Times New Roman"/>
          <w:sz w:val="17"/>
          <w:szCs w:val="17"/>
          <w:color w:val="231F20"/>
        </w:rPr>
        <w:t>), aged 43, is appointed as an independent non-executive Director. Mr. Yip is responsible for providing independent professional opinion and judgement to the Board.</w:t>
      </w:r>
    </w:p>
    <w:p>
      <w:pPr>
        <w:spacing w:after="0" w:line="184"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7"/>
          <w:szCs w:val="17"/>
          <w:color w:val="231F20"/>
        </w:rPr>
        <w:t>Mr. Yip worked in the audit division of PricewaterhouseCoopers in Canada from May 2003 to May 2007. He was a manager at PricewaterhouseCoopers in Hong Kong from June 2007 to June 2010. Mr. Yip worked in Alibaba Group Holding Limited (a company listed on the NYSE, symbol: BABA, and secondary listed on the Hong Kong Stock Exchange, stock code: 9988) from June 2010 to May 2022, where he served as a senior director of finance, primarily responsible for the group’s financial reporting and technical accounting and share-based compensation administration and management.</w:t>
      </w:r>
    </w:p>
    <w:p>
      <w:pPr>
        <w:spacing w:after="0" w:line="174"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Mr. Yip received a bachelor’s degree of commerce from the University of British Columbia in Canada in May 2005. Mr. Yip qualified as a Chartered Accountant in Canada in January 2007 and has been a member of the Hong Kong Institute of Certified Public Accountants since September 2016.</w:t>
      </w:r>
    </w:p>
    <w:p>
      <w:pPr>
        <w:spacing w:after="0" w:line="159"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Save as disclosed above, Mr. Yip has not held other directorships in the last three years in public companies the securities of which are listed on any securities market in Hong Kong or overseas, or other major appointments and professional qualifications.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Length of service</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Pursuant to the director agreement between Mr. Yip and the Company, his initial term of office shall be three years or until the third annual general meeting of the Company after his appointment (whichever is earlier), and may be extended for an additional term of three years after the end of the initial term if the parties thereto mutually agree in writing to such extension, or if he is re-elected at a meeting of the shareholders of the Company or re-appointed by the Board pursuant to the Articles. Mr. Yip’s term of office was renewed and extended to July 5, 2028. He is also subject to retirement and re-election at annual general meeting of the Company in accordance with the Articles of Association of the Company and the Listing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Relationships</w:t>
      </w:r>
    </w:p>
    <w:p>
      <w:pPr>
        <w:spacing w:after="0" w:line="208" w:lineRule="exact"/>
        <w:rPr>
          <w:sz w:val="20"/>
          <w:szCs w:val="20"/>
          <w:color w:val="auto"/>
        </w:rPr>
      </w:pPr>
    </w:p>
    <w:p>
      <w:pPr>
        <w:jc w:val="both"/>
        <w:ind w:firstLine="300"/>
        <w:spacing w:after="0" w:line="270" w:lineRule="auto"/>
        <w:rPr>
          <w:sz w:val="20"/>
          <w:szCs w:val="20"/>
          <w:color w:val="auto"/>
        </w:rPr>
      </w:pPr>
      <w:r>
        <w:rPr>
          <w:rFonts w:ascii="Times New Roman" w:cs="Times New Roman" w:eastAsia="Times New Roman" w:hAnsi="Times New Roman"/>
          <w:sz w:val="17"/>
          <w:szCs w:val="17"/>
          <w:color w:val="231F20"/>
        </w:rPr>
        <w:t>As far as the Directors are aware, as at the Latest Practicable Date, Mr. Yip does not have any relationships with other Directors, senior management, substantial shareholders (as defined in the Listing Rules) or controlling shareholders (as defined in the Listing Rules) of the Company.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2480" cy="7620"/>
                    </a:xfrm>
                    <a:prstGeom prst="rect">
                      <a:avLst/>
                    </a:prstGeom>
                    <a:noFill/>
                  </pic:spPr>
                </pic:pic>
              </a:graphicData>
            </a:graphic>
          </wp:anchor>
        </w:drawing>
        <w:t>APPENDIX II</w:t>
      </w:r>
      <w:r>
        <w:rPr>
          <w:sz w:val="20"/>
          <w:szCs w:val="20"/>
          <w:color w:val="auto"/>
        </w:rPr>
        <w:tab/>
      </w:r>
      <w:r>
        <w:rPr>
          <w:rFonts w:ascii="Times New Roman" w:cs="Times New Roman" w:eastAsia="Times New Roman" w:hAnsi="Times New Roman"/>
          <w:sz w:val="16"/>
          <w:szCs w:val="16"/>
          <w:b w:val="1"/>
          <w:bCs w:val="1"/>
          <w:color w:val="auto"/>
        </w:rPr>
        <w:t>DETAILS OF DIRECTORS PROPOSED FOR RE-ELECTION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714248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Interest in Shares</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As far as the Directors are aware, as at the Latest Practicable Date, Mr. Yip was not interested or deemed to be interested in any Shares or underlying Shares of the Company or its associated corporations pursuant to Part XV of the SFO.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Director’s emoluments</w:t>
      </w:r>
    </w:p>
    <w:p>
      <w:pPr>
        <w:spacing w:after="0" w:line="208" w:lineRule="exact"/>
        <w:rPr>
          <w:sz w:val="20"/>
          <w:szCs w:val="20"/>
          <w:color w:val="auto"/>
        </w:rPr>
      </w:pPr>
    </w:p>
    <w:p>
      <w:pPr>
        <w:ind w:firstLine="300"/>
        <w:spacing w:after="0" w:line="270" w:lineRule="auto"/>
        <w:rPr>
          <w:sz w:val="20"/>
          <w:szCs w:val="20"/>
          <w:color w:val="auto"/>
        </w:rPr>
      </w:pPr>
      <w:r>
        <w:rPr>
          <w:rFonts w:ascii="Times New Roman" w:cs="Times New Roman" w:eastAsia="Times New Roman" w:hAnsi="Times New Roman"/>
          <w:sz w:val="17"/>
          <w:szCs w:val="17"/>
          <w:color w:val="231F20"/>
        </w:rPr>
        <w:t>Mr. Yip is entitled to receive an annual director’s fee of US$50,000 per annum from the Company under the current arrangement, which was determined by the Board with reference to the Group’s remuneration policy.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Other information and matters that need to be disclosed or brought to the attention of the Shareholders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231F20"/>
        </w:rPr>
        <w:t>As far as the Directors are aware, there is no information of Mr. Yip to be disclosed pursuant to any of the requirements under paragraphs 13.51(2)(h) to 13.51(2)</w:t>
      </w:r>
    </w:p>
    <w:p>
      <w:pPr>
        <w:spacing w:after="0" w:line="32" w:lineRule="exact"/>
        <w:rPr>
          <w:sz w:val="20"/>
          <w:szCs w:val="20"/>
          <w:color w:val="auto"/>
        </w:rPr>
      </w:pPr>
    </w:p>
    <w:p>
      <w:pPr>
        <w:ind w:left="240" w:hanging="240"/>
        <w:spacing w:after="0"/>
        <w:tabs>
          <w:tab w:leader="none" w:pos="240" w:val="left"/>
        </w:tabs>
        <w:numPr>
          <w:ilvl w:val="0"/>
          <w:numId w:val="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of the Listing Rules; and there are no other matters concerning Mr. Yip that need to be brought to the attention of the Shareholders.</w:t>
      </w:r>
    </w:p>
    <w:p>
      <w:pPr>
        <w:spacing w:after="0" w:line="387" w:lineRule="exact"/>
        <w:rPr>
          <w:rFonts w:ascii="Times New Roman" w:cs="Times New Roman" w:eastAsia="Times New Roman" w:hAnsi="Times New Roman"/>
          <w:sz w:val="17"/>
          <w:szCs w:val="17"/>
          <w:color w:val="231F20"/>
        </w:rPr>
      </w:pPr>
    </w:p>
    <w:p>
      <w:pPr>
        <w:ind w:left="542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2480" cy="7620"/>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173990</wp:posOffset>
            </wp:positionV>
            <wp:extent cx="951230" cy="4914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51230" cy="49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231F20"/>
        </w:rPr>
        <w:t>Tuya Inc.</w:t>
      </w:r>
    </w:p>
    <w:p>
      <w:pPr>
        <w:spacing w:after="0" w:line="48" w:lineRule="exact"/>
        <w:rPr>
          <w:sz w:val="20"/>
          <w:szCs w:val="20"/>
          <w:color w:val="auto"/>
        </w:rPr>
      </w:pPr>
    </w:p>
    <w:p>
      <w:pPr>
        <w:jc w:val="center"/>
        <w:spacing w:after="0" w:line="280" w:lineRule="exact"/>
        <w:rPr>
          <w:sz w:val="20"/>
          <w:szCs w:val="20"/>
          <w:color w:val="auto"/>
        </w:rPr>
      </w:pPr>
      <w:r>
        <w:rPr>
          <w:rFonts w:ascii="PMingLiU" w:cs="PMingLiU" w:eastAsia="PMingLiU" w:hAnsi="PMingLiU"/>
          <w:sz w:val="23"/>
          <w:szCs w:val="23"/>
          <w:color w:val="000000"/>
          <w:shd w:val="clear" w:color="auto" w:fill="231F20"/>
        </w:rPr>
        <w:t>塗鴉智能</w:t>
      </w:r>
      <w:r>
        <w:rPr>
          <w:rFonts w:ascii="Times New Roman" w:cs="Times New Roman" w:eastAsia="Times New Roman" w:hAnsi="Times New Roman"/>
          <w:sz w:val="17"/>
          <w:szCs w:val="17"/>
          <w:b w:val="1"/>
          <w:bCs w:val="1"/>
          <w:color w:val="231F20"/>
        </w:rPr>
        <w: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(A company controlled through weighted voting rights and incorporated in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the Cayman Islands with limited liability)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(HKEX Stock Code: 2391)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(NYSE Stock Ticker: TUYA)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NOTICE OF ANNUAL GENERAL MEETING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to be held on Thursday, June 18, 2026</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(or any adjourned or postponed meeting thereof)</w:t>
      </w:r>
    </w:p>
    <w:p>
      <w:pPr>
        <w:spacing w:after="0" w:line="183" w:lineRule="exact"/>
        <w:rPr>
          <w:sz w:val="20"/>
          <w:szCs w:val="20"/>
          <w:color w:val="auto"/>
        </w:rPr>
      </w:pPr>
    </w:p>
    <w:p>
      <w:pPr>
        <w:jc w:val="both"/>
        <w:ind w:firstLine="300"/>
        <w:spacing w:after="0" w:line="275" w:lineRule="auto"/>
        <w:rPr>
          <w:sz w:val="20"/>
          <w:szCs w:val="20"/>
          <w:color w:val="auto"/>
        </w:rPr>
      </w:pPr>
      <w:r>
        <w:rPr>
          <w:rFonts w:ascii="Times New Roman" w:cs="Times New Roman" w:eastAsia="Times New Roman" w:hAnsi="Times New Roman"/>
          <w:sz w:val="17"/>
          <w:szCs w:val="17"/>
          <w:color w:val="231F20"/>
        </w:rPr>
        <w:t>We refer to the circular (the “</w:t>
      </w:r>
      <w:r>
        <w:rPr>
          <w:rFonts w:ascii="Times New Roman" w:cs="Times New Roman" w:eastAsia="Times New Roman" w:hAnsi="Times New Roman"/>
          <w:sz w:val="17"/>
          <w:szCs w:val="17"/>
          <w:b w:val="1"/>
          <w:bCs w:val="1"/>
          <w:color w:val="231F20"/>
        </w:rPr>
        <w:t>Circular</w:t>
      </w:r>
      <w:r>
        <w:rPr>
          <w:rFonts w:ascii="Times New Roman" w:cs="Times New Roman" w:eastAsia="Times New Roman" w:hAnsi="Times New Roman"/>
          <w:sz w:val="17"/>
          <w:szCs w:val="17"/>
          <w:color w:val="231F20"/>
        </w:rPr>
        <w:t>”) of Tuya Inc. (the “</w:t>
      </w:r>
      <w:r>
        <w:rPr>
          <w:rFonts w:ascii="Times New Roman" w:cs="Times New Roman" w:eastAsia="Times New Roman" w:hAnsi="Times New Roman"/>
          <w:sz w:val="17"/>
          <w:szCs w:val="17"/>
          <w:b w:val="1"/>
          <w:bCs w:val="1"/>
          <w:color w:val="231F20"/>
        </w:rPr>
        <w:t>Company</w:t>
      </w:r>
      <w:r>
        <w:rPr>
          <w:rFonts w:ascii="Times New Roman" w:cs="Times New Roman" w:eastAsia="Times New Roman" w:hAnsi="Times New Roman"/>
          <w:sz w:val="17"/>
          <w:szCs w:val="17"/>
          <w:color w:val="231F20"/>
        </w:rPr>
        <w:t>”) dated May 14, 2026. Unless otherwise indicated, the capitalized terms used in this notice shall have the same meaning as those defined in the Circular.</w:t>
      </w:r>
    </w:p>
    <w:p>
      <w:pPr>
        <w:spacing w:after="0" w:line="151"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b w:val="1"/>
          <w:bCs w:val="1"/>
          <w:color w:val="231F20"/>
        </w:rPr>
        <w:t xml:space="preserve">NOTICE IS HEREBY GIVEN </w:t>
      </w:r>
      <w:r>
        <w:rPr>
          <w:rFonts w:ascii="Times New Roman" w:cs="Times New Roman" w:eastAsia="Times New Roman" w:hAnsi="Times New Roman"/>
          <w:sz w:val="17"/>
          <w:szCs w:val="17"/>
          <w:color w:val="231F20"/>
        </w:rPr>
        <w:t>that an annual general meeting (the “</w:t>
      </w:r>
      <w:r>
        <w:rPr>
          <w:rFonts w:ascii="Times New Roman" w:cs="Times New Roman" w:eastAsia="Times New Roman" w:hAnsi="Times New Roman"/>
          <w:sz w:val="17"/>
          <w:szCs w:val="17"/>
          <w:b w:val="1"/>
          <w:bCs w:val="1"/>
          <w:color w:val="231F20"/>
        </w:rPr>
        <w:t>AGM</w:t>
      </w:r>
      <w:r>
        <w:rPr>
          <w:rFonts w:ascii="Times New Roman" w:cs="Times New Roman" w:eastAsia="Times New Roman" w:hAnsi="Times New Roman"/>
          <w:sz w:val="17"/>
          <w:szCs w:val="17"/>
          <w:color w:val="231F20"/>
        </w:rPr>
        <w:t>”) of the Company will be held at 2:00 p.m., Hong Kong time on Thursday, June 18,</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2026 at Huace Center, Building A, 3/F VVIP room, Xihu District, Hangzhou City, Zhejiang Province, 310012, China for the purposes of considering and, if thought fit, passing each of the following resolutions (the “</w:t>
      </w:r>
      <w:r>
        <w:rPr>
          <w:rFonts w:ascii="Times New Roman" w:cs="Times New Roman" w:eastAsia="Times New Roman" w:hAnsi="Times New Roman"/>
          <w:sz w:val="17"/>
          <w:szCs w:val="17"/>
          <w:b w:val="1"/>
          <w:bCs w:val="1"/>
          <w:color w:val="231F20"/>
        </w:rPr>
        <w:t>Proposed Resolutions</w:t>
      </w:r>
      <w:r>
        <w:rPr>
          <w:rFonts w:ascii="Times New Roman" w:cs="Times New Roman" w:eastAsia="Times New Roman" w:hAnsi="Times New Roman"/>
          <w:sz w:val="17"/>
          <w:szCs w:val="17"/>
          <w:color w:val="231F20"/>
        </w:rPr>
        <w:t>”):</w:t>
      </w:r>
    </w:p>
    <w:p>
      <w:pPr>
        <w:spacing w:after="0" w:line="168" w:lineRule="exact"/>
        <w:rPr>
          <w:sz w:val="20"/>
          <w:szCs w:val="20"/>
          <w:color w:val="auto"/>
        </w:rPr>
      </w:pPr>
    </w:p>
    <w:p>
      <w:pPr>
        <w:ind w:left="640" w:hanging="341"/>
        <w:spacing w:after="0" w:line="270" w:lineRule="auto"/>
        <w:tabs>
          <w:tab w:leader="none" w:pos="640" w:val="left"/>
        </w:tabs>
        <w:numPr>
          <w:ilvl w:val="1"/>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an ordinary resolution, to receive, consider, and adopt the audited consolidated financial statements of the Company as of and for the year ended December 31, 2025 and the report of the auditor thereon;</w:t>
      </w:r>
    </w:p>
    <w:p>
      <w:pPr>
        <w:spacing w:after="0" w:line="159" w:lineRule="exact"/>
        <w:rPr>
          <w:rFonts w:ascii="Times New Roman" w:cs="Times New Roman" w:eastAsia="Times New Roman" w:hAnsi="Times New Roman"/>
          <w:sz w:val="17"/>
          <w:szCs w:val="17"/>
          <w:color w:val="231F20"/>
        </w:rPr>
      </w:pPr>
    </w:p>
    <w:p>
      <w:pPr>
        <w:ind w:left="640" w:hanging="341"/>
        <w:spacing w:after="0"/>
        <w:tabs>
          <w:tab w:leader="none" w:pos="640" w:val="left"/>
        </w:tabs>
        <w:numPr>
          <w:ilvl w:val="1"/>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an ordinary resolution, to re-elect the following Directors:</w:t>
      </w:r>
    </w:p>
    <w:p>
      <w:pPr>
        <w:spacing w:after="0" w:line="204" w:lineRule="exact"/>
        <w:rPr>
          <w:rFonts w:ascii="Times New Roman" w:cs="Times New Roman" w:eastAsia="Times New Roman" w:hAnsi="Times New Roman"/>
          <w:sz w:val="17"/>
          <w:szCs w:val="17"/>
          <w:color w:val="231F20"/>
        </w:rPr>
      </w:pPr>
    </w:p>
    <w:p>
      <w:pPr>
        <w:ind w:left="920" w:hanging="296"/>
        <w:spacing w:after="0"/>
        <w:tabs>
          <w:tab w:leader="none" w:pos="920" w:val="left"/>
        </w:tabs>
        <w:numPr>
          <w:ilvl w:val="2"/>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  to re-elect Mr. CHEN Liaohan as an executive Director;</w:t>
      </w:r>
    </w:p>
    <w:p>
      <w:pPr>
        <w:spacing w:after="0" w:line="204" w:lineRule="exact"/>
        <w:rPr>
          <w:rFonts w:ascii="Times New Roman" w:cs="Times New Roman" w:eastAsia="Times New Roman" w:hAnsi="Times New Roman"/>
          <w:sz w:val="17"/>
          <w:szCs w:val="17"/>
          <w:color w:val="231F20"/>
        </w:rPr>
      </w:pPr>
    </w:p>
    <w:p>
      <w:pPr>
        <w:ind w:left="1220" w:hanging="296"/>
        <w:spacing w:after="0"/>
        <w:tabs>
          <w:tab w:leader="none" w:pos="1220" w:val="left"/>
        </w:tabs>
        <w:numPr>
          <w:ilvl w:val="3"/>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re-elect Mr. QIU Changheng as an independent non-executive Director;</w:t>
      </w:r>
    </w:p>
    <w:p>
      <w:pPr>
        <w:spacing w:after="0" w:line="204" w:lineRule="exact"/>
        <w:rPr>
          <w:rFonts w:ascii="Times New Roman" w:cs="Times New Roman" w:eastAsia="Times New Roman" w:hAnsi="Times New Roman"/>
          <w:sz w:val="17"/>
          <w:szCs w:val="17"/>
          <w:color w:val="231F20"/>
        </w:rPr>
      </w:pPr>
    </w:p>
    <w:p>
      <w:pPr>
        <w:ind w:left="1220" w:hanging="296"/>
        <w:spacing w:after="0"/>
        <w:tabs>
          <w:tab w:leader="none" w:pos="1220" w:val="left"/>
        </w:tabs>
        <w:numPr>
          <w:ilvl w:val="3"/>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re-elect Mr. YIP Pak Tung Jason as an independent non-executive Director;</w:t>
      </w:r>
    </w:p>
    <w:p>
      <w:pPr>
        <w:spacing w:after="0" w:line="204" w:lineRule="exact"/>
        <w:rPr>
          <w:rFonts w:ascii="Times New Roman" w:cs="Times New Roman" w:eastAsia="Times New Roman" w:hAnsi="Times New Roman"/>
          <w:sz w:val="17"/>
          <w:szCs w:val="17"/>
          <w:color w:val="231F20"/>
        </w:rPr>
      </w:pPr>
    </w:p>
    <w:p>
      <w:pPr>
        <w:ind w:right="3920" w:firstLine="624"/>
        <w:spacing w:after="0" w:line="515" w:lineRule="auto"/>
        <w:tabs>
          <w:tab w:leader="none" w:pos="924" w:val="left"/>
        </w:tabs>
        <w:numPr>
          <w:ilvl w:val="2"/>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to authorize the Board or the Compensation Committee to fix the remuneration of the Directors; * </w:t>
      </w:r>
      <w:r>
        <w:rPr>
          <w:rFonts w:ascii="Times New Roman" w:cs="Times New Roman" w:eastAsia="Times New Roman" w:hAnsi="Times New Roman"/>
          <w:sz w:val="17"/>
          <w:szCs w:val="17"/>
          <w:i w:val="1"/>
          <w:iCs w:val="1"/>
          <w:color w:val="231F20"/>
        </w:rPr>
        <w:t>For identification purpose only</w:t>
      </w:r>
    </w:p>
    <w:p>
      <w:pPr>
        <w:spacing w:after="0" w:line="159" w:lineRule="exact"/>
        <w:rPr>
          <w:rFonts w:ascii="Times New Roman" w:cs="Times New Roman" w:eastAsia="Times New Roman" w:hAnsi="Times New Roman"/>
          <w:sz w:val="17"/>
          <w:szCs w:val="17"/>
          <w:color w:val="231F20"/>
        </w:rPr>
      </w:pPr>
    </w:p>
    <w:p>
      <w:pPr>
        <w:ind w:left="542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ind w:left="3321"/>
        <w:spacing w:after="0"/>
        <w:rPr>
          <w:sz w:val="20"/>
          <w:szCs w:val="20"/>
          <w:color w:val="auto"/>
        </w:rPr>
      </w:pPr>
      <w:r>
        <w:rPr>
          <w:rFonts w:ascii="Times New Roman" w:cs="Times New Roman" w:eastAsia="Times New Roman" w:hAnsi="Times New Roman"/>
          <w:sz w:val="16"/>
          <w:szCs w:val="16"/>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2480" cy="7620"/>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46990</wp:posOffset>
            </wp:positionV>
            <wp:extent cx="714248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641"/>
          </w:cols>
          <w:pgMar w:left="919" w:top="881" w:right="339" w:bottom="1440" w:gutter="0" w:footer="0" w:header="0"/>
        </w:sectPr>
      </w:pPr>
    </w:p>
    <w:p>
      <w:pPr>
        <w:spacing w:after="0" w:line="269" w:lineRule="exact"/>
        <w:rPr>
          <w:sz w:val="20"/>
          <w:szCs w:val="20"/>
          <w:color w:val="auto"/>
        </w:rPr>
      </w:pPr>
    </w:p>
    <w:p>
      <w:pPr>
        <w:ind w:left="261" w:hanging="261"/>
        <w:spacing w:after="0"/>
        <w:tabs>
          <w:tab w:leader="none" w:pos="261" w:val="left"/>
        </w:tabs>
        <w:numPr>
          <w:ilvl w:val="0"/>
          <w:numId w:val="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an ordinary resolution, THAT:–</w:t>
      </w:r>
    </w:p>
    <w:p>
      <w:pPr>
        <w:spacing w:after="0" w:line="204" w:lineRule="exact"/>
        <w:rPr>
          <w:rFonts w:ascii="Times New Roman" w:cs="Times New Roman" w:eastAsia="Times New Roman" w:hAnsi="Times New Roman"/>
          <w:sz w:val="17"/>
          <w:szCs w:val="17"/>
          <w:color w:val="231F20"/>
        </w:rPr>
      </w:pPr>
    </w:p>
    <w:p>
      <w:pPr>
        <w:jc w:val="both"/>
        <w:ind w:left="601" w:hanging="301"/>
        <w:spacing w:after="0" w:line="249" w:lineRule="auto"/>
        <w:tabs>
          <w:tab w:leader="none" w:pos="601" w:val="left"/>
        </w:tabs>
        <w:numPr>
          <w:ilvl w:val="1"/>
          <w:numId w:val="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subject to paragraph (c) below, a general unconditional mandate be and is hereby given to the Directors during the Relevant Period (as defined in paragraph (d) below) to exercise all the powers of the Company to allot, issue, and deal with additional Class A Ordinary Shares or securities convertible into Class A Ordinary Shares, or options, warrants, or similar rights to subscribe for Class A Ordinary Shares or such convertible securities of the Company (other than issuance of options, warrants, or similar rights to subscribe for additional Class A Ordinary Shares or securities convertible into Class A Ordinary Shares for cash consideration) and to make or grant offers, agreements, or options (including any warrants, bonds, notes, and debentures conferring any rights to subscribe for or otherwise receive Class A Ordinary Shares) and to sell and/or transfer Class A Ordinary Shares out of treasury that are held as treasury shares that would or might require the exercise of such powers;</w:t>
      </w:r>
    </w:p>
    <w:p>
      <w:pPr>
        <w:spacing w:after="0" w:line="178" w:lineRule="exact"/>
        <w:rPr>
          <w:rFonts w:ascii="Times New Roman" w:cs="Times New Roman" w:eastAsia="Times New Roman" w:hAnsi="Times New Roman"/>
          <w:sz w:val="17"/>
          <w:szCs w:val="17"/>
          <w:color w:val="231F20"/>
        </w:rPr>
      </w:pPr>
    </w:p>
    <w:p>
      <w:pPr>
        <w:jc w:val="both"/>
        <w:ind w:left="601" w:hanging="301"/>
        <w:spacing w:after="0" w:line="257" w:lineRule="auto"/>
        <w:tabs>
          <w:tab w:leader="none" w:pos="601" w:val="left"/>
        </w:tabs>
        <w:numPr>
          <w:ilvl w:val="1"/>
          <w:numId w:val="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mandate in paragraph (a) above shall be in addition to any other authorization given to the Directors and shall authorize the Directors to make or grant offers, agreements, and/or options during the Relevant Period that would or might require the exercise of such powers after the end of the Relevant Period;</w:t>
      </w:r>
    </w:p>
    <w:p>
      <w:pPr>
        <w:spacing w:after="0" w:line="170" w:lineRule="exact"/>
        <w:rPr>
          <w:rFonts w:ascii="Times New Roman" w:cs="Times New Roman" w:eastAsia="Times New Roman" w:hAnsi="Times New Roman"/>
          <w:sz w:val="17"/>
          <w:szCs w:val="17"/>
          <w:color w:val="231F20"/>
        </w:rPr>
      </w:pPr>
    </w:p>
    <w:p>
      <w:pPr>
        <w:jc w:val="both"/>
        <w:ind w:left="601" w:hanging="301"/>
        <w:spacing w:after="0" w:line="255" w:lineRule="auto"/>
        <w:tabs>
          <w:tab w:leader="none" w:pos="601" w:val="left"/>
        </w:tabs>
        <w:numPr>
          <w:ilvl w:val="1"/>
          <w:numId w:val="3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total number of Class A Ordinary Shares allotted or agreed conditionally or unconditionally to be allotted and issued, and treasury shares sold and/or transferred or agreed conditionally or unconditionally to be sold and/or transferred (whether pursuant to options or otherwise) in paragraph</w:t>
      </w:r>
    </w:p>
    <w:p>
      <w:pPr>
        <w:ind w:left="601"/>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above, otherwise than pursuant to:</w:t>
      </w:r>
    </w:p>
    <w:p>
      <w:pPr>
        <w:spacing w:after="0" w:line="187" w:lineRule="exact"/>
        <w:rPr>
          <w:sz w:val="20"/>
          <w:szCs w:val="20"/>
          <w:color w:val="auto"/>
        </w:rPr>
      </w:pPr>
    </w:p>
    <w:p>
      <w:pPr>
        <w:ind w:left="901" w:hanging="302"/>
        <w:spacing w:after="0"/>
        <w:tabs>
          <w:tab w:leader="none" w:pos="901"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Rights Issue (as defined in paragraph (d) below);</w:t>
      </w:r>
    </w:p>
    <w:p>
      <w:pPr>
        <w:spacing w:after="0" w:line="204" w:lineRule="exact"/>
        <w:rPr>
          <w:rFonts w:ascii="Times New Roman" w:cs="Times New Roman" w:eastAsia="Times New Roman" w:hAnsi="Times New Roman"/>
          <w:sz w:val="17"/>
          <w:szCs w:val="17"/>
          <w:color w:val="231F20"/>
        </w:rPr>
      </w:pPr>
    </w:p>
    <w:p>
      <w:pPr>
        <w:jc w:val="both"/>
        <w:ind w:left="901" w:hanging="302"/>
        <w:spacing w:after="0" w:line="257" w:lineRule="auto"/>
        <w:tabs>
          <w:tab w:leader="none" w:pos="901"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grant or exercise of any options under any share option scheme of the Company or any other option scheme or similar arrangements for the time being adopted for the grant or issue to the Directors, officers, and/or employee of the Company and/or any of its subsidiaries and/or other eligible persons specified thereunder of options to subscribe for Class A Ordinary Shares or rights to acquire Class A Ordinary Shares;</w:t>
      </w:r>
    </w:p>
    <w:p>
      <w:pPr>
        <w:spacing w:after="0" w:line="170" w:lineRule="exact"/>
        <w:rPr>
          <w:rFonts w:ascii="Times New Roman" w:cs="Times New Roman" w:eastAsia="Times New Roman" w:hAnsi="Times New Roman"/>
          <w:sz w:val="17"/>
          <w:szCs w:val="17"/>
          <w:color w:val="231F20"/>
        </w:rPr>
      </w:pPr>
    </w:p>
    <w:p>
      <w:pPr>
        <w:ind w:left="901" w:hanging="302"/>
        <w:spacing w:after="0" w:line="270" w:lineRule="auto"/>
        <w:tabs>
          <w:tab w:leader="none" w:pos="901" w:val="left"/>
        </w:tabs>
        <w:numPr>
          <w:ilvl w:val="0"/>
          <w:numId w:val="3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vesting of restricted shares and restricted share units granted or to be granted pursuant to the 2015 Equity Incentive Plan and the 2024 Share Scheme;</w:t>
      </w:r>
    </w:p>
    <w:p>
      <w:pPr>
        <w:spacing w:after="0" w:line="359" w:lineRule="exact"/>
        <w:rPr>
          <w:rFonts w:ascii="Times New Roman" w:cs="Times New Roman" w:eastAsia="Times New Roman" w:hAnsi="Times New Roman"/>
          <w:sz w:val="17"/>
          <w:szCs w:val="17"/>
          <w:color w:val="231F20"/>
        </w:rPr>
      </w:pPr>
    </w:p>
    <w:p>
      <w:pPr>
        <w:ind w:left="4821"/>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13335</wp:posOffset>
            </wp:positionV>
            <wp:extent cx="714248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641"/>
          </w:cols>
          <w:pgMar w:left="919" w:top="881" w:right="339" w:bottom="1440" w:gutter="0" w:footer="0" w:header="0"/>
          <w:type w:val="continuous"/>
        </w:sectPr>
      </w:pPr>
    </w:p>
    <w:bookmarkStart w:id="29" w:name="page30"/>
    <w:bookmarkEnd w:id="29"/>
    <w:p>
      <w:pPr>
        <w:ind w:left="3021"/>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2480" cy="7620"/>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39370</wp:posOffset>
            </wp:positionV>
            <wp:extent cx="714248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38" w:lineRule="exact"/>
        <w:rPr>
          <w:sz w:val="20"/>
          <w:szCs w:val="20"/>
          <w:color w:val="auto"/>
        </w:rPr>
      </w:pPr>
    </w:p>
    <w:p>
      <w:pPr>
        <w:jc w:val="both"/>
        <w:ind w:left="601" w:hanging="302"/>
        <w:spacing w:after="0" w:line="257" w:lineRule="auto"/>
        <w:tabs>
          <w:tab w:leader="none" w:pos="601" w:val="left"/>
        </w:tabs>
        <w:numPr>
          <w:ilvl w:val="0"/>
          <w:numId w:val="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scrip dividend or similar arrangement providing for the allotment and issue of Shares (including the sale and/or transfer of any Class A Ordinary Shares out of treasury and are held as treasury shares) in lieu of the whole or part of a dividend on Shares of the Company in accordance with the Memorandum and Articles of Association; and</w:t>
      </w:r>
    </w:p>
    <w:p>
      <w:pPr>
        <w:spacing w:after="0" w:line="170" w:lineRule="exact"/>
        <w:rPr>
          <w:rFonts w:ascii="Times New Roman" w:cs="Times New Roman" w:eastAsia="Times New Roman" w:hAnsi="Times New Roman"/>
          <w:sz w:val="17"/>
          <w:szCs w:val="17"/>
          <w:color w:val="231F20"/>
        </w:rPr>
      </w:pPr>
    </w:p>
    <w:p>
      <w:pPr>
        <w:ind w:left="601" w:hanging="302"/>
        <w:spacing w:after="0"/>
        <w:tabs>
          <w:tab w:leader="none" w:pos="601" w:val="left"/>
        </w:tabs>
        <w:numPr>
          <w:ilvl w:val="0"/>
          <w:numId w:val="3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specific authority granted by the Shareholders of the Company in general meeting;</w:t>
      </w:r>
    </w:p>
    <w:p>
      <w:pPr>
        <w:spacing w:after="0" w:line="204" w:lineRule="exact"/>
        <w:rPr>
          <w:sz w:val="20"/>
          <w:szCs w:val="20"/>
          <w:color w:val="auto"/>
        </w:rPr>
      </w:pPr>
    </w:p>
    <w:p>
      <w:pPr>
        <w:jc w:val="both"/>
        <w:ind w:left="301"/>
        <w:spacing w:after="0" w:line="253" w:lineRule="auto"/>
        <w:rPr>
          <w:sz w:val="20"/>
          <w:szCs w:val="20"/>
          <w:color w:val="auto"/>
        </w:rPr>
      </w:pPr>
      <w:r>
        <w:rPr>
          <w:rFonts w:ascii="Times New Roman" w:cs="Times New Roman" w:eastAsia="Times New Roman" w:hAnsi="Times New Roman"/>
          <w:sz w:val="17"/>
          <w:szCs w:val="17"/>
          <w:color w:val="231F20"/>
        </w:rPr>
        <w:t>shall not exceed 20% of the total number of issued Shares (excluding any treasury shares) of the Company as of the date of the passing of this resolution (such total number to be subject to adjustment in the case of any consolidation or subdivision of any of the Shares of the Company into a smaller or larger number of Shares of the Company respectively after the passing of this resolution) and the said mandate shall be limited accordingly; and</w:t>
      </w:r>
    </w:p>
    <w:p>
      <w:pPr>
        <w:spacing w:after="0" w:line="174" w:lineRule="exact"/>
        <w:rPr>
          <w:sz w:val="20"/>
          <w:szCs w:val="20"/>
          <w:color w:val="auto"/>
        </w:rPr>
      </w:pPr>
    </w:p>
    <w:p>
      <w:pPr>
        <w:ind w:left="301" w:hanging="301"/>
        <w:spacing w:after="0"/>
        <w:tabs>
          <w:tab w:leader="none" w:pos="301" w:val="left"/>
        </w:tabs>
        <w:numPr>
          <w:ilvl w:val="0"/>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for the purposes of this resolution:</w:t>
      </w:r>
    </w:p>
    <w:p>
      <w:pPr>
        <w:spacing w:after="0" w:line="200" w:lineRule="exact"/>
        <w:rPr>
          <w:rFonts w:ascii="Times New Roman" w:cs="Times New Roman" w:eastAsia="Times New Roman" w:hAnsi="Times New Roman"/>
          <w:sz w:val="17"/>
          <w:szCs w:val="17"/>
          <w:color w:val="231F20"/>
        </w:rPr>
      </w:pPr>
    </w:p>
    <w:p>
      <w:pPr>
        <w:ind w:left="301"/>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Relevant Period</w:t>
      </w:r>
      <w:r>
        <w:rPr>
          <w:rFonts w:ascii="Times New Roman" w:cs="Times New Roman" w:eastAsia="Times New Roman" w:hAnsi="Times New Roman"/>
          <w:sz w:val="17"/>
          <w:szCs w:val="17"/>
          <w:color w:val="231F20"/>
        </w:rPr>
        <w:t>” means the period from the passing of this resolution until the earliest of:</w:t>
      </w:r>
    </w:p>
    <w:p>
      <w:pPr>
        <w:spacing w:after="0" w:line="208" w:lineRule="exact"/>
        <w:rPr>
          <w:rFonts w:ascii="Times New Roman" w:cs="Times New Roman" w:eastAsia="Times New Roman" w:hAnsi="Times New Roman"/>
          <w:sz w:val="17"/>
          <w:szCs w:val="17"/>
          <w:color w:val="231F20"/>
        </w:rPr>
      </w:pPr>
    </w:p>
    <w:p>
      <w:pPr>
        <w:ind w:left="601" w:hanging="302"/>
        <w:spacing w:after="0"/>
        <w:tabs>
          <w:tab w:leader="none" w:pos="601" w:val="left"/>
        </w:tabs>
        <w:numPr>
          <w:ilvl w:val="1"/>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conclusion of the next annual general meeting of the Company;</w:t>
      </w:r>
    </w:p>
    <w:p>
      <w:pPr>
        <w:spacing w:after="0" w:line="204" w:lineRule="exact"/>
        <w:rPr>
          <w:rFonts w:ascii="Times New Roman" w:cs="Times New Roman" w:eastAsia="Times New Roman" w:hAnsi="Times New Roman"/>
          <w:sz w:val="17"/>
          <w:szCs w:val="17"/>
          <w:color w:val="231F20"/>
        </w:rPr>
      </w:pPr>
    </w:p>
    <w:p>
      <w:pPr>
        <w:ind w:left="601" w:hanging="302"/>
        <w:spacing w:after="0" w:line="270" w:lineRule="auto"/>
        <w:tabs>
          <w:tab w:leader="none" w:pos="601" w:val="left"/>
        </w:tabs>
        <w:numPr>
          <w:ilvl w:val="1"/>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expiration of the period within which the next annual general meeting of the Company is required to be held by the Memorandum and Articles of Association or any applicable laws and regulations; and</w:t>
      </w:r>
    </w:p>
    <w:p>
      <w:pPr>
        <w:spacing w:after="0" w:line="159" w:lineRule="exact"/>
        <w:rPr>
          <w:rFonts w:ascii="Times New Roman" w:cs="Times New Roman" w:eastAsia="Times New Roman" w:hAnsi="Times New Roman"/>
          <w:sz w:val="17"/>
          <w:szCs w:val="17"/>
          <w:color w:val="231F20"/>
        </w:rPr>
      </w:pPr>
    </w:p>
    <w:p>
      <w:pPr>
        <w:ind w:left="601" w:hanging="302"/>
        <w:spacing w:after="0"/>
        <w:tabs>
          <w:tab w:leader="none" w:pos="601" w:val="left"/>
        </w:tabs>
        <w:numPr>
          <w:ilvl w:val="1"/>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date on which the authority set out in this resolution is revoked or varied by an ordinary resolution of the Shareholders in general meeting;</w:t>
      </w:r>
    </w:p>
    <w:p>
      <w:pPr>
        <w:spacing w:after="0" w:line="200" w:lineRule="exact"/>
        <w:rPr>
          <w:sz w:val="20"/>
          <w:szCs w:val="20"/>
          <w:color w:val="auto"/>
        </w:rPr>
      </w:pPr>
    </w:p>
    <w:p>
      <w:pPr>
        <w:jc w:val="both"/>
        <w:ind w:left="301"/>
        <w:spacing w:after="0" w:line="272" w:lineRule="auto"/>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6"/>
          <w:szCs w:val="16"/>
          <w:b w:val="1"/>
          <w:bCs w:val="1"/>
          <w:color w:val="231F20"/>
        </w:rPr>
        <w:t>Rights Issue</w:t>
      </w:r>
      <w:r>
        <w:rPr>
          <w:rFonts w:ascii="Times New Roman" w:cs="Times New Roman" w:eastAsia="Times New Roman" w:hAnsi="Times New Roman"/>
          <w:sz w:val="16"/>
          <w:szCs w:val="16"/>
          <w:color w:val="231F20"/>
        </w:rPr>
        <w:t>” means an offer of Shares of the Company, or an offer or issue of warrants, options, or other securities giving rights to subscribe for Shares of the Company, open for a period fixed by the Directors to Shareholders of the Company whose names appear on the register of members of the Company on a fixed record date in proportion to their then holdings of such Shares of the Company (subject to such exclusions or other arrangements as the Directors may deem necessary or expedient in relation to fractional entitlements or having regard to any restrictions or obligations under the laws of, or the requirements of any recognized regulatory body or any stock exchange in, any territory applicable to the Company); and</w:t>
      </w:r>
    </w:p>
    <w:p>
      <w:pPr>
        <w:spacing w:after="0" w:line="360" w:lineRule="exact"/>
        <w:rPr>
          <w:sz w:val="20"/>
          <w:szCs w:val="20"/>
          <w:color w:val="auto"/>
        </w:rPr>
      </w:pPr>
    </w:p>
    <w:p>
      <w:pPr>
        <w:ind w:left="4521"/>
        <w:spacing w:after="0"/>
        <w:rPr>
          <w:sz w:val="20"/>
          <w:szCs w:val="20"/>
          <w:color w:val="auto"/>
        </w:rPr>
      </w:pPr>
      <w:r>
        <w:rPr>
          <w:rFonts w:ascii="Times New Roman" w:cs="Times New Roman" w:eastAsia="Times New Roman" w:hAnsi="Times New Roman"/>
          <w:sz w:val="17"/>
          <w:szCs w:val="17"/>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13335</wp:posOffset>
            </wp:positionV>
            <wp:extent cx="714248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341"/>
          </w:cols>
          <w:pgMar w:left="1219" w:top="881" w:right="339" w:bottom="1440" w:gutter="0" w:footer="0" w:header="0"/>
        </w:sectPr>
      </w:pPr>
    </w:p>
    <w:bookmarkStart w:id="30" w:name="page31"/>
    <w:bookmarkEnd w:id="30"/>
    <w:p>
      <w:pPr>
        <w:ind w:left="3321"/>
        <w:spacing w:after="0"/>
        <w:rPr>
          <w:sz w:val="20"/>
          <w:szCs w:val="20"/>
          <w:color w:val="auto"/>
        </w:rPr>
      </w:pPr>
      <w:r>
        <w:rPr>
          <w:rFonts w:ascii="Times New Roman" w:cs="Times New Roman" w:eastAsia="Times New Roman" w:hAnsi="Times New Roman"/>
          <w:sz w:val="16"/>
          <w:szCs w:val="16"/>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2480" cy="7620"/>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46990</wp:posOffset>
            </wp:positionV>
            <wp:extent cx="714248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641"/>
          </w:cols>
          <w:pgMar w:left="919" w:top="881" w:right="339" w:bottom="1440" w:gutter="0" w:footer="0" w:header="0"/>
        </w:sectPr>
      </w:pPr>
    </w:p>
    <w:p>
      <w:pPr>
        <w:spacing w:after="0" w:line="269" w:lineRule="exact"/>
        <w:rPr>
          <w:sz w:val="20"/>
          <w:szCs w:val="20"/>
          <w:color w:val="auto"/>
        </w:rPr>
      </w:pPr>
    </w:p>
    <w:p>
      <w:pPr>
        <w:ind w:left="261" w:hanging="261"/>
        <w:spacing w:after="0"/>
        <w:tabs>
          <w:tab w:leader="none" w:pos="261" w:val="left"/>
        </w:tabs>
        <w:numPr>
          <w:ilvl w:val="0"/>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an ordinary resolution, THAT:–</w:t>
      </w:r>
    </w:p>
    <w:p>
      <w:pPr>
        <w:spacing w:after="0" w:line="204" w:lineRule="exact"/>
        <w:rPr>
          <w:rFonts w:ascii="Times New Roman" w:cs="Times New Roman" w:eastAsia="Times New Roman" w:hAnsi="Times New Roman"/>
          <w:sz w:val="17"/>
          <w:szCs w:val="17"/>
          <w:color w:val="231F20"/>
        </w:rPr>
      </w:pPr>
    </w:p>
    <w:p>
      <w:pPr>
        <w:jc w:val="both"/>
        <w:ind w:left="601" w:hanging="301"/>
        <w:spacing w:after="0" w:line="248" w:lineRule="auto"/>
        <w:tabs>
          <w:tab w:leader="none" w:pos="601" w:val="left"/>
        </w:tabs>
        <w:numPr>
          <w:ilvl w:val="1"/>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general unconditional mandate be and is hereby given to the Directors during the Relevant Period (as defined in paragraph (b) below) to exercise all the powers of the Company to purchase its own Shares (including Class A Ordinary Shares underlying ADSs) and/or ADSs on the Stock Exchange or on any other stock exchange on which the securities of the Company are or may be listed and which is recognized by the Securities and Futures Commission of Hong Kong and the Stock Exchange for this purpose, provided that the total number of Shares and/or Shares underlying the ADSs of the Company that may be purchased pursuant to this mandate shall not exceed 10% of the total number of issued Shares (excluding any treasury shares) of the Company as of the date of passing of this resolution (such total number to be subject to adjustment in the case of any consolidation or subdivision of any of the Shares into a smaller or larger number of Shares respectively after the passing of this resolution) and the said mandate shall be limited accordingly; and</w:t>
      </w:r>
    </w:p>
    <w:p>
      <w:pPr>
        <w:spacing w:after="0" w:line="181" w:lineRule="exact"/>
        <w:rPr>
          <w:rFonts w:ascii="Times New Roman" w:cs="Times New Roman" w:eastAsia="Times New Roman" w:hAnsi="Times New Roman"/>
          <w:sz w:val="17"/>
          <w:szCs w:val="17"/>
          <w:color w:val="231F20"/>
        </w:rPr>
      </w:pPr>
    </w:p>
    <w:p>
      <w:pPr>
        <w:ind w:left="601" w:hanging="301"/>
        <w:spacing w:after="0"/>
        <w:tabs>
          <w:tab w:leader="none" w:pos="601" w:val="left"/>
        </w:tabs>
        <w:numPr>
          <w:ilvl w:val="1"/>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for the purposes of this resolution:</w:t>
      </w:r>
    </w:p>
    <w:p>
      <w:pPr>
        <w:spacing w:after="0" w:line="200" w:lineRule="exact"/>
        <w:rPr>
          <w:rFonts w:ascii="Times New Roman" w:cs="Times New Roman" w:eastAsia="Times New Roman" w:hAnsi="Times New Roman"/>
          <w:sz w:val="17"/>
          <w:szCs w:val="17"/>
          <w:color w:val="231F20"/>
        </w:rPr>
      </w:pPr>
    </w:p>
    <w:p>
      <w:pPr>
        <w:ind w:left="601"/>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b w:val="1"/>
          <w:bCs w:val="1"/>
          <w:color w:val="231F20"/>
        </w:rPr>
        <w:t>Relevant Period</w:t>
      </w:r>
      <w:r>
        <w:rPr>
          <w:rFonts w:ascii="Times New Roman" w:cs="Times New Roman" w:eastAsia="Times New Roman" w:hAnsi="Times New Roman"/>
          <w:sz w:val="17"/>
          <w:szCs w:val="17"/>
          <w:color w:val="231F20"/>
        </w:rPr>
        <w:t>” means the period from the passing of this resolution until the earliest of:</w:t>
      </w:r>
    </w:p>
    <w:p>
      <w:pPr>
        <w:spacing w:after="0" w:line="208" w:lineRule="exact"/>
        <w:rPr>
          <w:rFonts w:ascii="Times New Roman" w:cs="Times New Roman" w:eastAsia="Times New Roman" w:hAnsi="Times New Roman"/>
          <w:sz w:val="17"/>
          <w:szCs w:val="17"/>
          <w:color w:val="231F20"/>
        </w:rPr>
      </w:pPr>
    </w:p>
    <w:p>
      <w:pPr>
        <w:ind w:left="901" w:hanging="302"/>
        <w:spacing w:after="0"/>
        <w:tabs>
          <w:tab w:leader="none" w:pos="901" w:val="left"/>
        </w:tabs>
        <w:numPr>
          <w:ilvl w:val="2"/>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conclusion of the next annual general meeting of the Company;</w:t>
      </w:r>
    </w:p>
    <w:p>
      <w:pPr>
        <w:spacing w:after="0" w:line="204" w:lineRule="exact"/>
        <w:rPr>
          <w:rFonts w:ascii="Times New Roman" w:cs="Times New Roman" w:eastAsia="Times New Roman" w:hAnsi="Times New Roman"/>
          <w:sz w:val="17"/>
          <w:szCs w:val="17"/>
          <w:color w:val="231F20"/>
        </w:rPr>
      </w:pPr>
    </w:p>
    <w:p>
      <w:pPr>
        <w:ind w:left="901" w:hanging="302"/>
        <w:spacing w:after="0" w:line="270" w:lineRule="auto"/>
        <w:tabs>
          <w:tab w:leader="none" w:pos="901" w:val="left"/>
        </w:tabs>
        <w:numPr>
          <w:ilvl w:val="2"/>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expiration of the period within which the next annual general meeting of the Company is required to be held by the Memorandum and Articles of Association or any applicable laws; and</w:t>
      </w:r>
    </w:p>
    <w:p>
      <w:pPr>
        <w:spacing w:after="0" w:line="159" w:lineRule="exact"/>
        <w:rPr>
          <w:rFonts w:ascii="Times New Roman" w:cs="Times New Roman" w:eastAsia="Times New Roman" w:hAnsi="Times New Roman"/>
          <w:sz w:val="17"/>
          <w:szCs w:val="17"/>
          <w:color w:val="231F20"/>
        </w:rPr>
      </w:pPr>
    </w:p>
    <w:p>
      <w:pPr>
        <w:ind w:left="901" w:hanging="302"/>
        <w:spacing w:after="0"/>
        <w:tabs>
          <w:tab w:leader="none" w:pos="901" w:val="left"/>
        </w:tabs>
        <w:numPr>
          <w:ilvl w:val="2"/>
          <w:numId w:val="3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the date on which the authority set out in this resolution is revoked or varied by an ordinary resolution of the Shareholders in general meeting; and</w:t>
      </w:r>
    </w:p>
    <w:p>
      <w:pPr>
        <w:spacing w:after="0" w:line="215" w:lineRule="exact"/>
        <w:rPr>
          <w:rFonts w:ascii="Times New Roman" w:cs="Times New Roman" w:eastAsia="Times New Roman" w:hAnsi="Times New Roman"/>
          <w:sz w:val="16"/>
          <w:szCs w:val="16"/>
          <w:color w:val="231F20"/>
        </w:rPr>
      </w:pPr>
    </w:p>
    <w:p>
      <w:pPr>
        <w:jc w:val="both"/>
        <w:ind w:left="261" w:hanging="261"/>
        <w:spacing w:after="0" w:line="248" w:lineRule="auto"/>
        <w:tabs>
          <w:tab w:leader="none" w:pos="261" w:val="left"/>
        </w:tabs>
        <w:numPr>
          <w:ilvl w:val="0"/>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an ordinary resolution, THAT conditional upon the passing of resolutions 3 and 4 of this notice, the general mandate referred to in the resolution 3 of this notice be and is hereby extended by the addition to the aggregate number of (i) Shares and/or ADSs that may be allotted and issued or agreed conditionally or unconditionally to be allotted and issued, and (ii) any Class A Ordinary Shares out of the treasury that are held as treasury shares that may be sold and/or transferred or agreed conditionally or unconditionally to be sold and/or transferred by the Directors pursuant to such general mandate of the number of Shares and/or Share underlying the ADSs repurchased by the Company pursuant to the mandate referred to in the resolution 4 of this notice, provided that such amount shall not exceed 10% of the total number of issued Shares (excluding any treasury shares) of the Company as at the date of the passing of this resolution (such total number to be subject to adjustment in the case of any consolidation or subdivision of any of the Shares into a smaller or larger number of Shares respectively after the passing of this resolution); and</w:t>
      </w:r>
    </w:p>
    <w:p>
      <w:pPr>
        <w:spacing w:after="0" w:line="381" w:lineRule="exact"/>
        <w:rPr>
          <w:rFonts w:ascii="Times New Roman" w:cs="Times New Roman" w:eastAsia="Times New Roman" w:hAnsi="Times New Roman"/>
          <w:sz w:val="17"/>
          <w:szCs w:val="17"/>
          <w:color w:val="231F20"/>
        </w:rPr>
      </w:pPr>
    </w:p>
    <w:p>
      <w:pPr>
        <w:ind w:left="4821"/>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13335</wp:posOffset>
            </wp:positionV>
            <wp:extent cx="714248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641"/>
          </w:cols>
          <w:pgMar w:left="919" w:top="881"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2480" cy="7620"/>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38" w:lineRule="exact"/>
        <w:rPr>
          <w:sz w:val="20"/>
          <w:szCs w:val="20"/>
          <w:color w:val="auto"/>
        </w:rPr>
      </w:pPr>
    </w:p>
    <w:p>
      <w:pPr>
        <w:jc w:val="both"/>
        <w:ind w:left="860" w:hanging="261"/>
        <w:spacing w:after="0" w:line="257" w:lineRule="auto"/>
        <w:tabs>
          <w:tab w:leader="none" w:pos="860" w:val="left"/>
        </w:tabs>
        <w:numPr>
          <w:ilvl w:val="0"/>
          <w:numId w:val="3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as an ordinary resolution, to re-appoint PricewaterhouseCoopers and PricewaterhouseCoopers Zhong Tian LLP as auditors of the Company to hold office until the conclusion of the next annual general meeting of the Company and to authorize the Board to fix their remuneration for the year ending December 31,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SHARE RECORD DATE AND ADS RECORD DATE</w:t>
      </w:r>
    </w:p>
    <w:p>
      <w:pPr>
        <w:spacing w:after="0" w:line="204"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7"/>
          <w:szCs w:val="17"/>
          <w:color w:val="231F20"/>
        </w:rPr>
        <w:t>The Board has fixed the close of business on May 22, 2026, Hong Kong time, as the record date (the “</w:t>
      </w:r>
      <w:r>
        <w:rPr>
          <w:rFonts w:ascii="Times New Roman" w:cs="Times New Roman" w:eastAsia="Times New Roman" w:hAnsi="Times New Roman"/>
          <w:sz w:val="17"/>
          <w:szCs w:val="17"/>
          <w:b w:val="1"/>
          <w:bCs w:val="1"/>
          <w:color w:val="231F20"/>
        </w:rPr>
        <w:t>Share Record Date</w:t>
      </w:r>
      <w:r>
        <w:rPr>
          <w:rFonts w:ascii="Times New Roman" w:cs="Times New Roman" w:eastAsia="Times New Roman" w:hAnsi="Times New Roman"/>
          <w:sz w:val="17"/>
          <w:szCs w:val="17"/>
          <w:color w:val="231F20"/>
        </w:rPr>
        <w:t>”) of Class A Ordinary Shares and Class B Ordinary Shares. Holders of record of the Company’s Shares (as of the Share Record Date) are entitled to attend and vote at the AGM and any adjourned meeting thereof.</w:t>
      </w:r>
    </w:p>
    <w:p>
      <w:pPr>
        <w:spacing w:after="0" w:line="164"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Holders of ADSs as of the close of business on May 22, 2026, New York time (the “</w:t>
      </w:r>
      <w:r>
        <w:rPr>
          <w:rFonts w:ascii="Times New Roman" w:cs="Times New Roman" w:eastAsia="Times New Roman" w:hAnsi="Times New Roman"/>
          <w:sz w:val="17"/>
          <w:szCs w:val="17"/>
          <w:b w:val="1"/>
          <w:bCs w:val="1"/>
          <w:color w:val="231F20"/>
        </w:rPr>
        <w:t>ADS Record Date</w:t>
      </w:r>
      <w:r>
        <w:rPr>
          <w:rFonts w:ascii="Times New Roman" w:cs="Times New Roman" w:eastAsia="Times New Roman" w:hAnsi="Times New Roman"/>
          <w:sz w:val="17"/>
          <w:szCs w:val="17"/>
          <w:color w:val="231F20"/>
        </w:rPr>
        <w:t>”), who wish to exercise their voting rights for the ADSs underlying Class A Ordinary Shares must give voting instructions directly to The Bank of New York Mellon, the depositary of the ADSs, if ADSs are held directly by holders on the books and records of The Bank of New York Mellon or indirectly through a bank, brokerage or other securities intermediary if the ADSs are held by any of them on behalf of holders. Treasury shares, if any and registered under the name of the Company, shall have no voting rights at the general meeting(s) of the Company. For the avoidance of doubt, for the purpose of the Listing Rules, the Company shall, upon depositing any treasury shares in the CCASS, abstain from voting at any of its general meeting(s) in relation to those shares.</w:t>
      </w:r>
    </w:p>
    <w:p>
      <w:pPr>
        <w:spacing w:after="0" w:line="176" w:lineRule="exact"/>
        <w:rPr>
          <w:sz w:val="20"/>
          <w:szCs w:val="20"/>
          <w:color w:val="auto"/>
        </w:rPr>
      </w:pPr>
    </w:p>
    <w:p>
      <w:pPr>
        <w:jc w:val="both"/>
        <w:ind w:firstLine="300"/>
        <w:spacing w:after="0" w:line="248" w:lineRule="auto"/>
        <w:rPr>
          <w:sz w:val="20"/>
          <w:szCs w:val="20"/>
          <w:color w:val="auto"/>
        </w:rPr>
      </w:pPr>
      <w:r>
        <w:rPr>
          <w:rFonts w:ascii="Times New Roman" w:cs="Times New Roman" w:eastAsia="Times New Roman" w:hAnsi="Times New Roman"/>
          <w:sz w:val="17"/>
          <w:szCs w:val="17"/>
          <w:color w:val="231F20"/>
        </w:rPr>
        <w:t>In order to be eligible to vote and attend the AGM, with respect to the Shares registered on the Company’s register of members in Hong Kong, all valid documents for the transfers of shares accompanied by the relevant share certificates must be lodged with the Company’s share registrar in Hong Kong, Computershare Hong Kong Investor Services Limited, at Shops 1712-1716, 17th Floor, Hopewell Centre, 183 Queen’s Road East, Wan Chai, Hong Kong, no later than 4:30 p.m. on Friday, May 22, 2026, Hong Kong time; and with respect to the Shares registered on the Company’s principal register of members in the Cayman Islands, all valid documents for the transfers of shares accompanied by the relevant share certificates must be lodged with the Company’s principal share registrar, Maples Fund Services (Cayman) Limited, at PO Box 1093, Boundary Hall, Cricket Square, Grand Cayman, KY1-1102, Cayman Islands, no later than 3:30 p.m. on Thursday, May 21, 2026, Cayman Islands time (due to the time difference between Cayman Islands and Hong Kong). All persons who are registered holders of the Class A Ordinary Shares and Class B Ordinary Shares on the Share Record Date will be entitled to vote and attend the AGM.</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2480" cy="7620"/>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PROXY FORMS AND ADS VOTING CARDS</w:t>
      </w:r>
    </w:p>
    <w:p>
      <w:pPr>
        <w:spacing w:after="0" w:line="208"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7"/>
          <w:szCs w:val="17"/>
          <w:color w:val="231F20"/>
        </w:rPr>
        <w:t xml:space="preserve">A holder of Shares as of the Share Record Date may appoint proxy(ies) to exercise his or her rights at the AGM. A holder of ADSs as of the ADS Record Date will need to directly instruct The Bank of New York Mellon, the depositary of the ADSs, if ADSs are held directly by holders on the books and records of The Bank of New York Mellon or indirectly through a bank, brokerage or other securities intermediary if the ADSs are held by any of them on behalf of holders, as to how to vote the Class A Ordinary Shares represented by the ADSs. Please refer to the proxy form (for holders of Shares) or ADS voting card (for holders of ADSs). The proxy form is available on our website at </w:t>
      </w:r>
      <w:r>
        <w:rPr>
          <w:rFonts w:ascii="Times New Roman" w:cs="Times New Roman" w:eastAsia="Times New Roman" w:hAnsi="Times New Roman"/>
          <w:sz w:val="17"/>
          <w:szCs w:val="17"/>
          <w:b w:val="1"/>
          <w:bCs w:val="1"/>
          <w:color w:val="231F20"/>
        </w:rPr>
        <w:t>ir.tuya.com</w:t>
      </w:r>
      <w:r>
        <w:rPr>
          <w:rFonts w:ascii="Times New Roman" w:cs="Times New Roman" w:eastAsia="Times New Roman" w:hAnsi="Times New Roman"/>
          <w:sz w:val="17"/>
          <w:szCs w:val="17"/>
          <w:color w:val="231F20"/>
        </w:rPr>
        <w:t>.</w:t>
      </w:r>
    </w:p>
    <w:p>
      <w:pPr>
        <w:spacing w:after="0" w:line="176" w:lineRule="exact"/>
        <w:rPr>
          <w:sz w:val="20"/>
          <w:szCs w:val="20"/>
          <w:color w:val="auto"/>
        </w:rPr>
      </w:pPr>
    </w:p>
    <w:p>
      <w:pPr>
        <w:jc w:val="both"/>
        <w:ind w:firstLine="300"/>
        <w:spacing w:after="0" w:line="249" w:lineRule="auto"/>
        <w:rPr>
          <w:sz w:val="20"/>
          <w:szCs w:val="20"/>
          <w:color w:val="auto"/>
        </w:rPr>
      </w:pPr>
      <w:r>
        <w:rPr>
          <w:rFonts w:ascii="Times New Roman" w:cs="Times New Roman" w:eastAsia="Times New Roman" w:hAnsi="Times New Roman"/>
          <w:sz w:val="17"/>
          <w:szCs w:val="17"/>
          <w:color w:val="231F20"/>
        </w:rPr>
        <w:t>Holders of record of the Company’s Shares on the Company’s register of members as of the Share Record Date are entitled to attend the AGM in person or by proxy. Your vote is important. You are urged to complete, sign, date, and return the accompanying proxy form to us (for holders of Shares) or send your voting instructions to The Bank of New York Mellon or to your bank, brokerage or other securities intermediary, as the case may be (for holders of the ADSs) as promptly as possible and before the prescribed deadline if you wish to exercise your voting rights. We must receive the proxy form by no later than 2:00 p.m., Hong Kong time, on Monday, June 15, 2026 at 17M Floor, Hopewell Centre, 183 Queen’s Road East, Wanchai, Hong Kong; and The Bank of New York Mellon must receive your voting instructions by the time and date specified in the ADS voting instruction card to enable the votes attaching to the Class A Ordinary Shares represented by your ADSs to be cast at the AGM.</w:t>
      </w:r>
    </w:p>
    <w:p>
      <w:pPr>
        <w:spacing w:after="0" w:line="178" w:lineRule="exact"/>
        <w:rPr>
          <w:sz w:val="20"/>
          <w:szCs w:val="20"/>
          <w:color w:val="auto"/>
        </w:rPr>
      </w:pPr>
    </w:p>
    <w:p>
      <w:pPr>
        <w:jc w:val="center"/>
        <w:ind w:left="9200"/>
        <w:spacing w:after="0"/>
        <w:rPr>
          <w:sz w:val="20"/>
          <w:szCs w:val="20"/>
          <w:color w:val="auto"/>
        </w:rPr>
      </w:pPr>
      <w:r>
        <w:rPr>
          <w:rFonts w:ascii="Times New Roman" w:cs="Times New Roman" w:eastAsia="Times New Roman" w:hAnsi="Times New Roman"/>
          <w:sz w:val="17"/>
          <w:szCs w:val="17"/>
          <w:color w:val="231F20"/>
        </w:rPr>
        <w:t>By order of the Board</w:t>
      </w:r>
    </w:p>
    <w:p>
      <w:pPr>
        <w:spacing w:after="0" w:line="21" w:lineRule="exact"/>
        <w:rPr>
          <w:sz w:val="20"/>
          <w:szCs w:val="20"/>
          <w:color w:val="auto"/>
        </w:rPr>
      </w:pPr>
    </w:p>
    <w:p>
      <w:pPr>
        <w:jc w:val="center"/>
        <w:ind w:left="9200"/>
        <w:spacing w:after="0"/>
        <w:rPr>
          <w:sz w:val="20"/>
          <w:szCs w:val="20"/>
          <w:color w:val="auto"/>
        </w:rPr>
      </w:pPr>
      <w:r>
        <w:rPr>
          <w:rFonts w:ascii="Times New Roman" w:cs="Times New Roman" w:eastAsia="Times New Roman" w:hAnsi="Times New Roman"/>
          <w:sz w:val="17"/>
          <w:szCs w:val="17"/>
          <w:b w:val="1"/>
          <w:bCs w:val="1"/>
          <w:color w:val="231F20"/>
        </w:rPr>
        <w:t>Tuya Inc.</w:t>
      </w:r>
    </w:p>
    <w:p>
      <w:pPr>
        <w:spacing w:after="0" w:line="4" w:lineRule="exact"/>
        <w:rPr>
          <w:sz w:val="20"/>
          <w:szCs w:val="20"/>
          <w:color w:val="auto"/>
        </w:rPr>
      </w:pPr>
    </w:p>
    <w:p>
      <w:pPr>
        <w:jc w:val="center"/>
        <w:ind w:left="9200"/>
        <w:spacing w:after="0"/>
        <w:rPr>
          <w:sz w:val="20"/>
          <w:szCs w:val="20"/>
          <w:color w:val="auto"/>
        </w:rPr>
      </w:pPr>
      <w:r>
        <w:rPr>
          <w:rFonts w:ascii="Times New Roman" w:cs="Times New Roman" w:eastAsia="Times New Roman" w:hAnsi="Times New Roman"/>
          <w:sz w:val="17"/>
          <w:szCs w:val="17"/>
          <w:b w:val="1"/>
          <w:bCs w:val="1"/>
          <w:color w:val="231F20"/>
        </w:rPr>
        <w:t>WANG Xueji</w:t>
      </w:r>
    </w:p>
    <w:p>
      <w:pPr>
        <w:spacing w:after="0" w:line="4" w:lineRule="exact"/>
        <w:rPr>
          <w:sz w:val="20"/>
          <w:szCs w:val="20"/>
          <w:color w:val="auto"/>
        </w:rPr>
      </w:pPr>
    </w:p>
    <w:p>
      <w:pPr>
        <w:jc w:val="center"/>
        <w:ind w:left="9200"/>
        <w:spacing w:after="0"/>
        <w:rPr>
          <w:sz w:val="20"/>
          <w:szCs w:val="20"/>
          <w:color w:val="auto"/>
        </w:rPr>
      </w:pPr>
      <w:r>
        <w:rPr>
          <w:rFonts w:ascii="Times New Roman" w:cs="Times New Roman" w:eastAsia="Times New Roman" w:hAnsi="Times New Roman"/>
          <w:sz w:val="17"/>
          <w:szCs w:val="17"/>
          <w:i w:val="1"/>
          <w:iCs w:val="1"/>
          <w:color w:val="231F20"/>
        </w:rPr>
        <w:t>Chairman</w:t>
      </w:r>
    </w:p>
    <w:p>
      <w:pPr>
        <w:sectPr>
          <w:pgSz w:w="11900" w:h="16838" w:orient="portrait"/>
          <w:cols w:equalWidth="0" w:num="1">
            <w:col w:w="11240"/>
          </w:cols>
          <w:pgMar w:left="320" w:top="881" w:right="33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231F20"/>
        </w:rPr>
        <w:t>Headquarters and Principal Place of Business in the PRC: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Huace Center, Building A, 10/F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Xihu District, Hangzhou City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Zhejiang Province, 310012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China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Registered Office: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PO Box 309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Ugland House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Grand Cayman, KY1-1104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Cayman Islands</w:t>
      </w:r>
    </w:p>
    <w:p>
      <w:pPr>
        <w:spacing w:after="0" w:line="187" w:lineRule="exact"/>
        <w:rPr>
          <w:sz w:val="20"/>
          <w:szCs w:val="20"/>
          <w:color w:val="auto"/>
        </w:rPr>
      </w:pPr>
    </w:p>
    <w:p>
      <w:pPr>
        <w:sectPr>
          <w:pgSz w:w="11900" w:h="16838" w:orient="portrait"/>
          <w:cols w:equalWidth="0" w:num="2">
            <w:col w:w="4800" w:space="720"/>
            <w:col w:w="5720"/>
          </w:cols>
          <w:pgMar w:left="320" w:top="88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231F20"/>
        </w:rPr>
        <w:t>May 14, 2026</w:t>
      </w:r>
    </w:p>
    <w:p>
      <w:pPr>
        <w:sectPr>
          <w:pgSz w:w="11900" w:h="16838" w:orient="portrait"/>
          <w:cols w:equalWidth="0" w:num="1">
            <w:col w:w="11240"/>
          </w:cols>
          <w:pgMar w:left="320" w:top="881" w:right="339" w:bottom="1440" w:gutter="0" w:footer="0" w:header="0"/>
          <w:type w:val="continuous"/>
        </w:sectPr>
      </w:pPr>
    </w:p>
    <w:p>
      <w:pPr>
        <w:spacing w:after="0" w:line="214" w:lineRule="exact"/>
        <w:rPr>
          <w:sz w:val="20"/>
          <w:szCs w:val="20"/>
          <w:color w:val="auto"/>
        </w:rPr>
      </w:pPr>
    </w:p>
    <w:p>
      <w:pPr>
        <w:jc w:val="both"/>
        <w:ind w:firstLine="300"/>
        <w:spacing w:after="0" w:line="259" w:lineRule="auto"/>
        <w:rPr>
          <w:sz w:val="20"/>
          <w:szCs w:val="20"/>
          <w:color w:val="auto"/>
        </w:rPr>
      </w:pPr>
      <w:r>
        <w:rPr>
          <w:rFonts w:ascii="Times New Roman" w:cs="Times New Roman" w:eastAsia="Times New Roman" w:hAnsi="Times New Roman"/>
          <w:sz w:val="17"/>
          <w:szCs w:val="17"/>
          <w:i w:val="1"/>
          <w:iCs w:val="1"/>
          <w:color w:val="231F20"/>
        </w:rPr>
        <w:t>As at the date of this notice, the Board comprises Mr. WANG Xueji, Mr. CHEN Liaohan, Mr. YANG Yi and Ms. ZHANG Yan as the executive Directors, and Mr. HUANG Sidney Xuande, Mr. QIU Changheng, Mr. KUOK Meng Xiong (alias GUO Mengxiong) and Mr. YIP Pak Tung Jason as the independent non-executive Directors.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20"/>
          <w:szCs w:val="20"/>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714248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173990</wp:posOffset>
            </wp:positionV>
            <wp:extent cx="951230" cy="4914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51230" cy="49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3"/>
          <w:szCs w:val="23"/>
          <w:b w:val="1"/>
          <w:bCs w:val="1"/>
          <w:color w:val="auto"/>
        </w:rPr>
        <w:t>Tuya Inc.</w:t>
      </w:r>
    </w:p>
    <w:p>
      <w:pPr>
        <w:ind w:left="5060"/>
        <w:spacing w:after="0" w:line="460" w:lineRule="exact"/>
        <w:rPr>
          <w:sz w:val="20"/>
          <w:szCs w:val="20"/>
          <w:color w:val="auto"/>
        </w:rPr>
      </w:pPr>
      <w:r>
        <w:rPr>
          <w:rFonts w:ascii="PMingLiU" w:cs="PMingLiU" w:eastAsia="PMingLiU" w:hAnsi="PMingLiU"/>
          <w:sz w:val="23"/>
          <w:szCs w:val="23"/>
          <w:color w:val="auto"/>
          <w:highlight w:val="black"/>
        </w:rPr>
        <w:t xml:space="preserve">塗鴉智能 </w:t>
      </w:r>
      <w:r>
        <w:rPr>
          <w:rFonts w:ascii="Times New Roman" w:cs="Times New Roman" w:eastAsia="Times New Roman" w:hAnsi="Times New Roman"/>
          <w:sz w:val="49"/>
          <w:szCs w:val="49"/>
          <w:b w:val="1"/>
          <w:bCs w:val="1"/>
          <w:color w:val="auto"/>
          <w:vertAlign w:val="superscript"/>
        </w:rPr>
        <w: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 company controlled through weighted voting rights and incorporated in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Cayman Islands with limited liability)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(HKEX Stock Code: 2391)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(NYSE Stock Ticker: TUYA)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GENERAL MEETING</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held on Thursday, June 18, 2026</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(or any adjourned or postponed meeting thereof)</w:t>
      </w:r>
    </w:p>
    <w:p>
      <w:pPr>
        <w:spacing w:after="0" w:line="183" w:lineRule="exact"/>
        <w:rPr>
          <w:sz w:val="20"/>
          <w:szCs w:val="20"/>
          <w:color w:val="auto"/>
        </w:rPr>
      </w:pPr>
    </w:p>
    <w:p>
      <w:pPr>
        <w:ind w:right="20" w:firstLine="378"/>
        <w:spacing w:after="0" w:line="275" w:lineRule="auto"/>
        <w:rPr>
          <w:sz w:val="20"/>
          <w:szCs w:val="20"/>
          <w:color w:val="auto"/>
        </w:rPr>
      </w:pPr>
      <w:r>
        <w:rPr>
          <w:rFonts w:ascii="Times New Roman" w:cs="Times New Roman" w:eastAsia="Times New Roman" w:hAnsi="Times New Roman"/>
          <w:sz w:val="17"/>
          <w:szCs w:val="17"/>
          <w:color w:val="auto"/>
        </w:rPr>
        <w:t>We refer to the circular (the “</w:t>
      </w:r>
      <w:r>
        <w:rPr>
          <w:rFonts w:ascii="Times New Roman" w:cs="Times New Roman" w:eastAsia="Times New Roman" w:hAnsi="Times New Roman"/>
          <w:sz w:val="17"/>
          <w:szCs w:val="17"/>
          <w:b w:val="1"/>
          <w:bCs w:val="1"/>
          <w:color w:val="auto"/>
        </w:rPr>
        <w:t>Circular</w:t>
      </w:r>
      <w:r>
        <w:rPr>
          <w:rFonts w:ascii="Times New Roman" w:cs="Times New Roman" w:eastAsia="Times New Roman" w:hAnsi="Times New Roman"/>
          <w:sz w:val="17"/>
          <w:szCs w:val="17"/>
          <w:color w:val="auto"/>
        </w:rPr>
        <w:t>”) of Tuya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dated May 14, 2026. Unless otherwise indicated, the capitalized terms used in this notice shall have the same meaning as those defined in the Circular.</w:t>
      </w:r>
    </w:p>
    <w:p>
      <w:pPr>
        <w:spacing w:after="0" w:line="151" w:lineRule="exact"/>
        <w:rPr>
          <w:sz w:val="20"/>
          <w:szCs w:val="20"/>
          <w:color w:val="auto"/>
        </w:rPr>
      </w:pPr>
    </w:p>
    <w:p>
      <w:pPr>
        <w:jc w:val="both"/>
        <w:ind w:right="20" w:firstLine="378"/>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an annual general meeting (the “</w:t>
      </w:r>
      <w:r>
        <w:rPr>
          <w:rFonts w:ascii="Times New Roman" w:cs="Times New Roman" w:eastAsia="Times New Roman" w:hAnsi="Times New Roman"/>
          <w:sz w:val="17"/>
          <w:szCs w:val="17"/>
          <w:b w:val="1"/>
          <w:bCs w:val="1"/>
          <w:color w:val="auto"/>
        </w:rPr>
        <w:t>AGM</w:t>
      </w:r>
      <w:r>
        <w:rPr>
          <w:rFonts w:ascii="Times New Roman" w:cs="Times New Roman" w:eastAsia="Times New Roman" w:hAnsi="Times New Roman"/>
          <w:sz w:val="17"/>
          <w:szCs w:val="17"/>
          <w:color w:val="auto"/>
        </w:rPr>
        <w:t>”) of the Company will be held at 2:00 p.m., Hong Kong time on Thursday, June 18,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2026 at Huace Center, Building A, 3/F VVIP room, Xihu District, Hangzhou City, Zhejiang Province, 310012, China for the purposes of considering and, if thought fit, passing each of the following resolutions (the “</w:t>
      </w:r>
      <w:r>
        <w:rPr>
          <w:rFonts w:ascii="Times New Roman" w:cs="Times New Roman" w:eastAsia="Times New Roman" w:hAnsi="Times New Roman"/>
          <w:sz w:val="17"/>
          <w:szCs w:val="17"/>
          <w:b w:val="1"/>
          <w:bCs w:val="1"/>
          <w:color w:val="auto"/>
        </w:rPr>
        <w:t>Proposed Resolutions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720" w:hanging="346"/>
        <w:spacing w:after="0" w:line="270" w:lineRule="auto"/>
        <w:tabs>
          <w:tab w:leader="none" w:pos="72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receive, consider, and adopt the audited consolidated financial statements of the Company as of and for the year ended December 31, 2025 and the report of the auditor thereon;</w:t>
      </w:r>
    </w:p>
    <w:p>
      <w:pPr>
        <w:spacing w:after="0" w:line="159" w:lineRule="exact"/>
        <w:rPr>
          <w:rFonts w:ascii="Times New Roman" w:cs="Times New Roman" w:eastAsia="Times New Roman" w:hAnsi="Times New Roman"/>
          <w:sz w:val="17"/>
          <w:szCs w:val="17"/>
          <w:color w:val="auto"/>
        </w:rPr>
      </w:pPr>
    </w:p>
    <w:p>
      <w:pPr>
        <w:ind w:left="740" w:hanging="366"/>
        <w:spacing w:after="0"/>
        <w:tabs>
          <w:tab w:leader="none" w:pos="74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re-elect the following Directors:</w:t>
      </w:r>
    </w:p>
    <w:p>
      <w:pPr>
        <w:spacing w:after="0" w:line="204" w:lineRule="exact"/>
        <w:rPr>
          <w:rFonts w:ascii="Times New Roman" w:cs="Times New Roman" w:eastAsia="Times New Roman" w:hAnsi="Times New Roman"/>
          <w:sz w:val="17"/>
          <w:szCs w:val="17"/>
          <w:color w:val="auto"/>
        </w:rPr>
      </w:pPr>
    </w:p>
    <w:p>
      <w:pPr>
        <w:ind w:left="1120" w:hanging="371"/>
        <w:spacing w:after="0"/>
        <w:tabs>
          <w:tab w:leader="none" w:pos="1120" w:val="left"/>
        </w:tabs>
        <w:numPr>
          <w:ilvl w:val="2"/>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to re-elect Mr. CHEN Liaohan as an executive Director;</w:t>
      </w:r>
    </w:p>
    <w:p>
      <w:pPr>
        <w:spacing w:after="0" w:line="204" w:lineRule="exact"/>
        <w:rPr>
          <w:rFonts w:ascii="Times New Roman" w:cs="Times New Roman" w:eastAsia="Times New Roman" w:hAnsi="Times New Roman"/>
          <w:sz w:val="17"/>
          <w:szCs w:val="17"/>
          <w:color w:val="auto"/>
        </w:rPr>
      </w:pPr>
    </w:p>
    <w:p>
      <w:pPr>
        <w:ind w:left="1500" w:hanging="377"/>
        <w:spacing w:after="0"/>
        <w:tabs>
          <w:tab w:leader="none" w:pos="1500" w:val="left"/>
        </w:tabs>
        <w:numPr>
          <w:ilvl w:val="3"/>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re-elect Mr. QIU Changheng as an independent non-executive Director;</w:t>
      </w:r>
    </w:p>
    <w:p>
      <w:pPr>
        <w:spacing w:after="0" w:line="204" w:lineRule="exact"/>
        <w:rPr>
          <w:rFonts w:ascii="Times New Roman" w:cs="Times New Roman" w:eastAsia="Times New Roman" w:hAnsi="Times New Roman"/>
          <w:sz w:val="17"/>
          <w:szCs w:val="17"/>
          <w:color w:val="auto"/>
        </w:rPr>
      </w:pPr>
    </w:p>
    <w:p>
      <w:pPr>
        <w:ind w:left="1500" w:hanging="377"/>
        <w:spacing w:after="0"/>
        <w:tabs>
          <w:tab w:leader="none" w:pos="1500" w:val="left"/>
        </w:tabs>
        <w:numPr>
          <w:ilvl w:val="3"/>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re-elect Mr. YIP Pak Tung Jason as an independent non-executive Director;</w:t>
      </w:r>
    </w:p>
    <w:p>
      <w:pPr>
        <w:spacing w:after="0" w:line="204" w:lineRule="exact"/>
        <w:rPr>
          <w:rFonts w:ascii="Times New Roman" w:cs="Times New Roman" w:eastAsia="Times New Roman" w:hAnsi="Times New Roman"/>
          <w:sz w:val="17"/>
          <w:szCs w:val="17"/>
          <w:color w:val="auto"/>
        </w:rPr>
      </w:pPr>
    </w:p>
    <w:p>
      <w:pPr>
        <w:ind w:right="3720" w:firstLine="749"/>
        <w:spacing w:after="0" w:line="515" w:lineRule="auto"/>
        <w:tabs>
          <w:tab w:leader="none" w:pos="1124" w:val="left"/>
        </w:tabs>
        <w:numPr>
          <w:ilvl w:val="2"/>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authorize the Board or the Compensation Committee to fix the remuneration of the Directors; * </w:t>
      </w:r>
      <w:r>
        <w:rPr>
          <w:rFonts w:ascii="Times New Roman" w:cs="Times New Roman" w:eastAsia="Times New Roman" w:hAnsi="Times New Roman"/>
          <w:sz w:val="17"/>
          <w:szCs w:val="17"/>
          <w:i w:val="1"/>
          <w:iCs w:val="1"/>
          <w:color w:val="auto"/>
        </w:rPr>
        <w:t>For identification purpose only</w:t>
      </w:r>
    </w:p>
    <w:p>
      <w:pPr>
        <w:spacing w:after="0" w:line="159" w:lineRule="exact"/>
        <w:rPr>
          <w:rFonts w:ascii="Times New Roman" w:cs="Times New Roman" w:eastAsia="Times New Roman" w:hAnsi="Times New Roman"/>
          <w:sz w:val="17"/>
          <w:szCs w:val="17"/>
          <w:color w:val="auto"/>
        </w:rPr>
      </w:pPr>
    </w:p>
    <w:p>
      <w:pPr>
        <w:ind w:left="5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2480" cy="7620"/>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38" w:lineRule="exact"/>
        <w:rPr>
          <w:sz w:val="20"/>
          <w:szCs w:val="20"/>
          <w:color w:val="auto"/>
        </w:rPr>
      </w:pPr>
    </w:p>
    <w:p>
      <w:pPr>
        <w:ind w:left="360" w:hanging="360"/>
        <w:spacing w:after="0"/>
        <w:tabs>
          <w:tab w:leader="none" w:pos="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THAT:–</w:t>
      </w:r>
    </w:p>
    <w:p>
      <w:pPr>
        <w:spacing w:after="0" w:line="204" w:lineRule="exact"/>
        <w:rPr>
          <w:rFonts w:ascii="Times New Roman" w:cs="Times New Roman" w:eastAsia="Times New Roman" w:hAnsi="Times New Roman"/>
          <w:sz w:val="17"/>
          <w:szCs w:val="17"/>
          <w:color w:val="auto"/>
        </w:rPr>
      </w:pPr>
    </w:p>
    <w:p>
      <w:pPr>
        <w:ind w:left="740" w:hanging="366"/>
        <w:spacing w:after="0"/>
        <w:tabs>
          <w:tab w:leader="none" w:pos="74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paragraph (c) below, a general unconditional mandate be and is hereby given to the Directors during the Relevant Period (as defined in paragraph</w:t>
      </w:r>
    </w:p>
    <w:p>
      <w:pPr>
        <w:spacing w:after="0" w:line="32" w:lineRule="exact"/>
        <w:rPr>
          <w:rFonts w:ascii="Times New Roman" w:cs="Times New Roman" w:eastAsia="Times New Roman" w:hAnsi="Times New Roman"/>
          <w:sz w:val="16"/>
          <w:szCs w:val="16"/>
          <w:color w:val="auto"/>
        </w:rPr>
      </w:pPr>
    </w:p>
    <w:p>
      <w:pPr>
        <w:jc w:val="both"/>
        <w:ind w:left="740" w:firstLine="9"/>
        <w:spacing w:after="0" w:line="246" w:lineRule="auto"/>
        <w:tabs>
          <w:tab w:leader="none" w:pos="981"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below) to exercise all the powers of the Company to allot, issue, and deal with additional Class A Ordinary Shares or securities convertible into Class A Ordinary Shares, or options, warrants, or similar rights to subscribe for Class A Ordinary Shares or such convertible securities of the Company (other than issuance of options, warrants, or similar rights to subscribe for additional Class A Ordinary Shares or securities convertible into Class A Ordinary Shares for cash consideration) and to make or grant offers, agreements, or options (including any warrants, bonds, notes, and debentures conferring any rights to subscribe for or otherwise receive Class A Ordinary Shares) and to sell and/or transfer Class A Ordinary Shares out of treasury that are held as treasury shares that would or might require the exercise of such powers;</w:t>
      </w:r>
    </w:p>
    <w:p>
      <w:pPr>
        <w:spacing w:after="0" w:line="179" w:lineRule="exact"/>
        <w:rPr>
          <w:rFonts w:ascii="Times New Roman" w:cs="Times New Roman" w:eastAsia="Times New Roman" w:hAnsi="Times New Roman"/>
          <w:sz w:val="17"/>
          <w:szCs w:val="17"/>
          <w:color w:val="auto"/>
        </w:rPr>
      </w:pPr>
    </w:p>
    <w:p>
      <w:pPr>
        <w:ind w:left="740" w:hanging="366"/>
        <w:spacing w:after="0" w:line="302" w:lineRule="auto"/>
        <w:tabs>
          <w:tab w:leader="none" w:pos="740"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mandate in paragraph (a) above shall be in addition to any other authorization given to the Directors and shall authorize the Directors to make or grant offers, agreements, and/or options during the Relevant Period that would or might require the exercise of such powers after the end of the Relevant Period;</w:t>
      </w:r>
    </w:p>
    <w:p>
      <w:pPr>
        <w:spacing w:after="0" w:line="136" w:lineRule="exact"/>
        <w:rPr>
          <w:rFonts w:ascii="Times New Roman" w:cs="Times New Roman" w:eastAsia="Times New Roman" w:hAnsi="Times New Roman"/>
          <w:sz w:val="16"/>
          <w:szCs w:val="16"/>
          <w:color w:val="auto"/>
        </w:rPr>
      </w:pPr>
    </w:p>
    <w:p>
      <w:pPr>
        <w:jc w:val="both"/>
        <w:ind w:left="740" w:hanging="366"/>
        <w:spacing w:after="0" w:line="257" w:lineRule="auto"/>
        <w:tabs>
          <w:tab w:leader="none" w:pos="74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Class A Ordinary Shares allotted or agreed conditionally or unconditionally to be allotted and issued, and treasury shares sold and/or transferred or agreed conditionally or unconditionally to be sold and/or transferred (whether pursuant to options or otherwise) in paragraph (a) above, otherwise than pursuant to:</w:t>
      </w:r>
    </w:p>
    <w:p>
      <w:pPr>
        <w:spacing w:after="0" w:line="170" w:lineRule="exact"/>
        <w:rPr>
          <w:rFonts w:ascii="Times New Roman" w:cs="Times New Roman" w:eastAsia="Times New Roman" w:hAnsi="Times New Roman"/>
          <w:sz w:val="17"/>
          <w:szCs w:val="17"/>
          <w:color w:val="auto"/>
        </w:rPr>
      </w:pPr>
    </w:p>
    <w:p>
      <w:pPr>
        <w:ind w:left="1120" w:hanging="371"/>
        <w:spacing w:after="0"/>
        <w:tabs>
          <w:tab w:leader="none" w:pos="1120"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Rights Issue (as defined in paragraph (d) below);</w:t>
      </w:r>
    </w:p>
    <w:p>
      <w:pPr>
        <w:spacing w:after="0" w:line="204" w:lineRule="exact"/>
        <w:rPr>
          <w:sz w:val="20"/>
          <w:szCs w:val="20"/>
          <w:color w:val="auto"/>
        </w:rPr>
      </w:pPr>
    </w:p>
    <w:p>
      <w:pPr>
        <w:jc w:val="both"/>
        <w:ind w:left="1120" w:hanging="371"/>
        <w:spacing w:after="0" w:line="257" w:lineRule="auto"/>
        <w:tabs>
          <w:tab w:leader="none" w:pos="11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or exercise of any options under any share option scheme of the Company or any other option scheme or similar arrangements for the time being adopted for the grant or issue to the Directors, officers, and/or employee of the Company and/or any of its subsidiaries and/or other eligible persons specified thereunder of options to subscribe for Class A Ordinary Shares or rights to acquire Class A Ordinary Shares;</w:t>
      </w:r>
    </w:p>
    <w:p>
      <w:pPr>
        <w:spacing w:after="0" w:line="170" w:lineRule="exact"/>
        <w:rPr>
          <w:rFonts w:ascii="Times New Roman" w:cs="Times New Roman" w:eastAsia="Times New Roman" w:hAnsi="Times New Roman"/>
          <w:sz w:val="17"/>
          <w:szCs w:val="17"/>
          <w:color w:val="auto"/>
        </w:rPr>
      </w:pPr>
    </w:p>
    <w:p>
      <w:pPr>
        <w:ind w:left="1120" w:hanging="371"/>
        <w:spacing w:after="0" w:line="270" w:lineRule="auto"/>
        <w:tabs>
          <w:tab w:leader="none" w:pos="11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vesting of restricted shares and restricted share units granted or to be granted pursuant to the 2015 Equity Incentive Plan and the 2024 Share Scheme;</w:t>
      </w:r>
    </w:p>
    <w:p>
      <w:pPr>
        <w:spacing w:after="0" w:line="359" w:lineRule="exact"/>
        <w:rPr>
          <w:rFonts w:ascii="Times New Roman" w:cs="Times New Roman" w:eastAsia="Times New Roman" w:hAnsi="Times New Roman"/>
          <w:sz w:val="17"/>
          <w:szCs w:val="17"/>
          <w:color w:val="auto"/>
        </w:rPr>
      </w:pPr>
    </w:p>
    <w:p>
      <w:pPr>
        <w:ind w:left="5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2480" cy="7620"/>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38" w:lineRule="exact"/>
        <w:rPr>
          <w:sz w:val="20"/>
          <w:szCs w:val="20"/>
          <w:color w:val="auto"/>
        </w:rPr>
      </w:pPr>
    </w:p>
    <w:p>
      <w:pPr>
        <w:jc w:val="both"/>
        <w:ind w:left="740" w:hanging="366"/>
        <w:spacing w:after="0" w:line="257" w:lineRule="auto"/>
        <w:tabs>
          <w:tab w:leader="none" w:pos="7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scrip dividend or similar arrangement providing for the allotment and issue of Shares (including the sale and/or transfer of any Class A Ordinary Shares out of treasury and are held as treasury shares) in lieu of the whole or part of a dividend on Shares of the Company in accordance with the Memorandum and Articles of Association; and</w:t>
      </w:r>
    </w:p>
    <w:p>
      <w:pPr>
        <w:spacing w:after="0" w:line="170" w:lineRule="exact"/>
        <w:rPr>
          <w:rFonts w:ascii="Times New Roman" w:cs="Times New Roman" w:eastAsia="Times New Roman" w:hAnsi="Times New Roman"/>
          <w:sz w:val="17"/>
          <w:szCs w:val="17"/>
          <w:color w:val="auto"/>
        </w:rPr>
      </w:pPr>
    </w:p>
    <w:p>
      <w:pPr>
        <w:ind w:left="740" w:hanging="366"/>
        <w:spacing w:after="0"/>
        <w:tabs>
          <w:tab w:leader="none" w:pos="7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specific authority granted by the Shareholders of the Company in general meeting;</w:t>
      </w:r>
    </w:p>
    <w:p>
      <w:pPr>
        <w:spacing w:after="0" w:line="204" w:lineRule="exact"/>
        <w:rPr>
          <w:sz w:val="20"/>
          <w:szCs w:val="20"/>
          <w:color w:val="auto"/>
        </w:rPr>
      </w:pPr>
    </w:p>
    <w:p>
      <w:pPr>
        <w:jc w:val="both"/>
        <w:ind w:left="380"/>
        <w:spacing w:after="0" w:line="257" w:lineRule="auto"/>
        <w:rPr>
          <w:sz w:val="20"/>
          <w:szCs w:val="20"/>
          <w:color w:val="auto"/>
        </w:rPr>
      </w:pPr>
      <w:r>
        <w:rPr>
          <w:rFonts w:ascii="Times New Roman" w:cs="Times New Roman" w:eastAsia="Times New Roman" w:hAnsi="Times New Roman"/>
          <w:sz w:val="17"/>
          <w:szCs w:val="17"/>
          <w:color w:val="auto"/>
        </w:rPr>
        <w:t>shall not exceed 20% of the total number of issued Shares (excluding any treasury shares) of the Company as of the date of the passing of this resolution (such total number to be subject to adjustment in the case of any consolidation or subdivision of any of the Shares of the Company into a smaller or larger number of Shares of the Company respectively after the passing of this resolution) and the said mandate shall be limited accordingly; and</w:t>
      </w:r>
    </w:p>
    <w:p>
      <w:pPr>
        <w:spacing w:after="0" w:line="171" w:lineRule="exact"/>
        <w:rPr>
          <w:sz w:val="20"/>
          <w:szCs w:val="20"/>
          <w:color w:val="auto"/>
        </w:rPr>
      </w:pPr>
    </w:p>
    <w:p>
      <w:pPr>
        <w:ind w:left="380" w:hanging="380"/>
        <w:spacing w:after="0"/>
        <w:tabs>
          <w:tab w:leader="none" w:pos="3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resolution:</w:t>
      </w:r>
    </w:p>
    <w:p>
      <w:pPr>
        <w:spacing w:after="0" w:line="200" w:lineRule="exact"/>
        <w:rPr>
          <w:rFonts w:ascii="Times New Roman" w:cs="Times New Roman" w:eastAsia="Times New Roman" w:hAnsi="Times New Roman"/>
          <w:sz w:val="17"/>
          <w:szCs w:val="17"/>
          <w:color w:val="auto"/>
        </w:rPr>
      </w:pP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Period</w:t>
      </w:r>
      <w:r>
        <w:rPr>
          <w:rFonts w:ascii="Times New Roman" w:cs="Times New Roman" w:eastAsia="Times New Roman" w:hAnsi="Times New Roman"/>
          <w:sz w:val="17"/>
          <w:szCs w:val="17"/>
          <w:color w:val="auto"/>
        </w:rPr>
        <w:t>” means the period from the passing of this resolution until the earliest of:</w:t>
      </w:r>
    </w:p>
    <w:p>
      <w:pPr>
        <w:spacing w:after="0" w:line="208" w:lineRule="exact"/>
        <w:rPr>
          <w:rFonts w:ascii="Times New Roman" w:cs="Times New Roman" w:eastAsia="Times New Roman" w:hAnsi="Times New Roman"/>
          <w:sz w:val="17"/>
          <w:szCs w:val="17"/>
          <w:color w:val="auto"/>
        </w:rPr>
      </w:pPr>
    </w:p>
    <w:p>
      <w:pPr>
        <w:ind w:left="740" w:hanging="366"/>
        <w:spacing w:after="0"/>
        <w:tabs>
          <w:tab w:leader="none" w:pos="74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conclusion of the next annual general meeting of the Company;</w:t>
      </w:r>
    </w:p>
    <w:p>
      <w:pPr>
        <w:spacing w:after="0" w:line="204" w:lineRule="exact"/>
        <w:rPr>
          <w:rFonts w:ascii="Times New Roman" w:cs="Times New Roman" w:eastAsia="Times New Roman" w:hAnsi="Times New Roman"/>
          <w:sz w:val="17"/>
          <w:szCs w:val="17"/>
          <w:color w:val="auto"/>
        </w:rPr>
      </w:pPr>
    </w:p>
    <w:p>
      <w:pPr>
        <w:ind w:left="740" w:hanging="366"/>
        <w:spacing w:after="0" w:line="270" w:lineRule="auto"/>
        <w:tabs>
          <w:tab w:leader="none" w:pos="74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the period within which the next annual general meeting of the Company is required to be held by the Memorandum and Articles of Association or any applicable laws and regulations; and</w:t>
      </w:r>
    </w:p>
    <w:p>
      <w:pPr>
        <w:spacing w:after="0" w:line="159" w:lineRule="exact"/>
        <w:rPr>
          <w:rFonts w:ascii="Times New Roman" w:cs="Times New Roman" w:eastAsia="Times New Roman" w:hAnsi="Times New Roman"/>
          <w:sz w:val="17"/>
          <w:szCs w:val="17"/>
          <w:color w:val="auto"/>
        </w:rPr>
      </w:pPr>
    </w:p>
    <w:p>
      <w:pPr>
        <w:ind w:left="740" w:hanging="366"/>
        <w:spacing w:after="0"/>
        <w:tabs>
          <w:tab w:leader="none" w:pos="74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authority set out in this resolution is revoked or varied by an ordinary resolution of the Shareholders in general meeting;</w:t>
      </w:r>
    </w:p>
    <w:p>
      <w:pPr>
        <w:spacing w:after="0" w:line="200" w:lineRule="exact"/>
        <w:rPr>
          <w:sz w:val="20"/>
          <w:szCs w:val="20"/>
          <w:color w:val="auto"/>
        </w:rPr>
      </w:pPr>
    </w:p>
    <w:p>
      <w:pPr>
        <w:jc w:val="both"/>
        <w:ind w:left="380"/>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Rights Issue</w:t>
      </w:r>
      <w:r>
        <w:rPr>
          <w:rFonts w:ascii="Times New Roman" w:cs="Times New Roman" w:eastAsia="Times New Roman" w:hAnsi="Times New Roman"/>
          <w:sz w:val="17"/>
          <w:szCs w:val="17"/>
          <w:color w:val="auto"/>
        </w:rPr>
        <w:t>” means an offer of Shares of the Company, or an offer or issue of warrants, options, or other securities giving rights to subscribe for Shares of the Company, open for a period fixed by the Directors to Shareholders of the Company whose names appear on the register of members of the Company on a fixed record date in proportion to their then holdings of such Shares of the Company (subject to such exclusions or other arrangements as the Directors may deem necessary or expedient in relation to fractional entitlements or having regard to any restrictions or obligations under the laws of, or the requirements of any recognized regulatory body or any stock exchange in, any territory applicable to the Company); and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2480" cy="7620"/>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38" w:lineRule="exact"/>
        <w:rPr>
          <w:sz w:val="20"/>
          <w:szCs w:val="20"/>
          <w:color w:val="auto"/>
        </w:rPr>
      </w:pPr>
    </w:p>
    <w:p>
      <w:pPr>
        <w:ind w:left="360" w:hanging="360"/>
        <w:spacing w:after="0"/>
        <w:tabs>
          <w:tab w:leader="none" w:pos="3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THAT:–</w:t>
      </w:r>
    </w:p>
    <w:p>
      <w:pPr>
        <w:spacing w:after="0" w:line="204" w:lineRule="exact"/>
        <w:rPr>
          <w:rFonts w:ascii="Times New Roman" w:cs="Times New Roman" w:eastAsia="Times New Roman" w:hAnsi="Times New Roman"/>
          <w:sz w:val="17"/>
          <w:szCs w:val="17"/>
          <w:color w:val="auto"/>
        </w:rPr>
      </w:pPr>
    </w:p>
    <w:p>
      <w:pPr>
        <w:jc w:val="both"/>
        <w:ind w:left="740" w:hanging="366"/>
        <w:spacing w:after="0" w:line="249" w:lineRule="auto"/>
        <w:tabs>
          <w:tab w:leader="none" w:pos="74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general unconditional mandate be and is hereby given to the Directors during the Relevant Period (as defined in paragraph (b) below) to exercise all the powers of the Company to purchase its own Shares (including Class A Ordinary Shares underlying ADSs) and/or ADSs on the Stock Exchange or on any other stock exchange on which the securities of the Company are or may be listed and which is recognized by the Securities and Futures Commission of Hong Kong and the Stock Exchange for this purpose, provided that the total number of Shares and/or Shares underlying the ADSs of the Company that may be purchased pursuant to this mandate shall not exceed 10% of the total number of issued Shares (excluding any treasury shares) of the Company as of the date of passing of this resolution (such total number to be subject to adjustment in the case of any consolidation or subdivision of any of the Shares into a smaller or larger number of Shares respectively after the passing of this resolution) and the said mandate shall be limited accordingly; and</w:t>
      </w:r>
    </w:p>
    <w:p>
      <w:pPr>
        <w:spacing w:after="0" w:line="178" w:lineRule="exact"/>
        <w:rPr>
          <w:rFonts w:ascii="Times New Roman" w:cs="Times New Roman" w:eastAsia="Times New Roman" w:hAnsi="Times New Roman"/>
          <w:sz w:val="17"/>
          <w:szCs w:val="17"/>
          <w:color w:val="auto"/>
        </w:rPr>
      </w:pPr>
    </w:p>
    <w:p>
      <w:pPr>
        <w:ind w:left="740" w:hanging="366"/>
        <w:spacing w:after="0"/>
        <w:tabs>
          <w:tab w:leader="none" w:pos="74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resolution:</w:t>
      </w:r>
    </w:p>
    <w:p>
      <w:pPr>
        <w:spacing w:after="0" w:line="200"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Period</w:t>
      </w:r>
      <w:r>
        <w:rPr>
          <w:rFonts w:ascii="Times New Roman" w:cs="Times New Roman" w:eastAsia="Times New Roman" w:hAnsi="Times New Roman"/>
          <w:sz w:val="17"/>
          <w:szCs w:val="17"/>
          <w:color w:val="auto"/>
        </w:rPr>
        <w:t>” means the period from the passing of this resolution until the earliest of:</w:t>
      </w:r>
    </w:p>
    <w:p>
      <w:pPr>
        <w:spacing w:after="0" w:line="208" w:lineRule="exact"/>
        <w:rPr>
          <w:rFonts w:ascii="Times New Roman" w:cs="Times New Roman" w:eastAsia="Times New Roman" w:hAnsi="Times New Roman"/>
          <w:sz w:val="17"/>
          <w:szCs w:val="17"/>
          <w:color w:val="auto"/>
        </w:rPr>
      </w:pPr>
    </w:p>
    <w:p>
      <w:pPr>
        <w:ind w:left="1120" w:hanging="371"/>
        <w:spacing w:after="0"/>
        <w:tabs>
          <w:tab w:leader="none" w:pos="1120" w:val="left"/>
        </w:tabs>
        <w:numPr>
          <w:ilvl w:val="2"/>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conclusion of the next annual general meeting of the Company;</w:t>
      </w:r>
    </w:p>
    <w:p>
      <w:pPr>
        <w:spacing w:after="0" w:line="204" w:lineRule="exact"/>
        <w:rPr>
          <w:rFonts w:ascii="Times New Roman" w:cs="Times New Roman" w:eastAsia="Times New Roman" w:hAnsi="Times New Roman"/>
          <w:sz w:val="17"/>
          <w:szCs w:val="17"/>
          <w:color w:val="auto"/>
        </w:rPr>
      </w:pPr>
    </w:p>
    <w:p>
      <w:pPr>
        <w:ind w:left="1120" w:hanging="371"/>
        <w:spacing w:after="0" w:line="270" w:lineRule="auto"/>
        <w:tabs>
          <w:tab w:leader="none" w:pos="1120" w:val="left"/>
        </w:tabs>
        <w:numPr>
          <w:ilvl w:val="2"/>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the period within which the next annual general meeting of the Company is required to be held by the Memorandum and Articles of Association or any applicable laws; and</w:t>
      </w:r>
    </w:p>
    <w:p>
      <w:pPr>
        <w:spacing w:after="0" w:line="159" w:lineRule="exact"/>
        <w:rPr>
          <w:rFonts w:ascii="Times New Roman" w:cs="Times New Roman" w:eastAsia="Times New Roman" w:hAnsi="Times New Roman"/>
          <w:sz w:val="17"/>
          <w:szCs w:val="17"/>
          <w:color w:val="auto"/>
        </w:rPr>
      </w:pPr>
    </w:p>
    <w:p>
      <w:pPr>
        <w:ind w:left="1120" w:hanging="371"/>
        <w:spacing w:after="0"/>
        <w:tabs>
          <w:tab w:leader="none" w:pos="1120" w:val="left"/>
        </w:tabs>
        <w:numPr>
          <w:ilvl w:val="2"/>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authority set out in this resolution is revoked or varied by an ordinary resolution of the Shareholders in general meeting; and</w:t>
      </w:r>
    </w:p>
    <w:p>
      <w:pPr>
        <w:spacing w:after="0" w:line="204" w:lineRule="exact"/>
        <w:rPr>
          <w:rFonts w:ascii="Times New Roman" w:cs="Times New Roman" w:eastAsia="Times New Roman" w:hAnsi="Times New Roman"/>
          <w:sz w:val="17"/>
          <w:szCs w:val="17"/>
          <w:color w:val="auto"/>
        </w:rPr>
      </w:pPr>
    </w:p>
    <w:p>
      <w:pPr>
        <w:jc w:val="both"/>
        <w:ind w:left="360" w:hanging="360"/>
        <w:spacing w:after="0" w:line="248" w:lineRule="auto"/>
        <w:tabs>
          <w:tab w:leader="none" w:pos="3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THAT conditional upon the passing of resolutions 3 and 4 of this notice, the general mandate referred to in the resolution 3 of this notice be and is hereby extended by the addition to the aggregate number of (i) Shares and/or ADSs that may be allotted and issued or agreed conditionally or unconditionally to be allotted and issued, and (ii) any Class A Ordinary Shares out of the treasury that are held as treasury shares that may be sold and/or transferred or agreed conditionally or unconditionally to be sold and/or transferred by the Directors pursuant to such general mandate of the number of Shares and/or Share underlying the ADSs repurchased by the Company pursuant to the mandate referred to in the resolution 4 of this notice, provided that such amount shall not exceed 10% of the total number of issued Shares (excluding any treasury shares) of the Company as at the date of the passing of this resolution (such total number to be subject to adjustment in the case of any consolidation or subdivision of any of the Shares into a smaller or larger number of Shares respectively after the passing of this resolution); and</w:t>
      </w:r>
    </w:p>
    <w:p>
      <w:pPr>
        <w:spacing w:after="0" w:line="381" w:lineRule="exact"/>
        <w:rPr>
          <w:rFonts w:ascii="Times New Roman" w:cs="Times New Roman" w:eastAsia="Times New Roman" w:hAnsi="Times New Roman"/>
          <w:sz w:val="17"/>
          <w:szCs w:val="17"/>
          <w:color w:val="auto"/>
        </w:rPr>
      </w:pPr>
    </w:p>
    <w:p>
      <w:pPr>
        <w:ind w:left="5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2480" cy="7620"/>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38" w:lineRule="exact"/>
        <w:rPr>
          <w:sz w:val="20"/>
          <w:szCs w:val="20"/>
          <w:color w:val="auto"/>
        </w:rPr>
      </w:pPr>
    </w:p>
    <w:p>
      <w:pPr>
        <w:jc w:val="both"/>
        <w:ind w:left="720" w:hanging="346"/>
        <w:spacing w:after="0" w:line="257" w:lineRule="auto"/>
        <w:tabs>
          <w:tab w:leader="none" w:pos="7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re-appoint PricewaterhouseCoopers and PricewaterhouseCoopers Zhong Tian LLP as auditors of the Company to hold office until the conclusion of the next annual general meeting of the Company and to authorize the Board to fix their remuneration for the year ending December 31,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RECORD DATE AND ADS RECORD DATE</w:t>
      </w:r>
    </w:p>
    <w:p>
      <w:pPr>
        <w:spacing w:after="0" w:line="204" w:lineRule="exact"/>
        <w:rPr>
          <w:sz w:val="20"/>
          <w:szCs w:val="20"/>
          <w:color w:val="auto"/>
        </w:rPr>
      </w:pPr>
    </w:p>
    <w:p>
      <w:pPr>
        <w:jc w:val="both"/>
        <w:ind w:firstLine="378"/>
        <w:spacing w:after="0" w:line="260" w:lineRule="auto"/>
        <w:rPr>
          <w:sz w:val="20"/>
          <w:szCs w:val="20"/>
          <w:color w:val="auto"/>
        </w:rPr>
      </w:pPr>
      <w:r>
        <w:rPr>
          <w:rFonts w:ascii="Times New Roman" w:cs="Times New Roman" w:eastAsia="Times New Roman" w:hAnsi="Times New Roman"/>
          <w:sz w:val="17"/>
          <w:szCs w:val="17"/>
          <w:color w:val="auto"/>
        </w:rPr>
        <w:t>The Board has fixed the close of business on May 22, 2026, Hong Kong time, as the record date (the “</w:t>
      </w:r>
      <w:r>
        <w:rPr>
          <w:rFonts w:ascii="Times New Roman" w:cs="Times New Roman" w:eastAsia="Times New Roman" w:hAnsi="Times New Roman"/>
          <w:sz w:val="17"/>
          <w:szCs w:val="17"/>
          <w:b w:val="1"/>
          <w:bCs w:val="1"/>
          <w:color w:val="auto"/>
        </w:rPr>
        <w:t>Share Record Date</w:t>
      </w:r>
      <w:r>
        <w:rPr>
          <w:rFonts w:ascii="Times New Roman" w:cs="Times New Roman" w:eastAsia="Times New Roman" w:hAnsi="Times New Roman"/>
          <w:sz w:val="17"/>
          <w:szCs w:val="17"/>
          <w:color w:val="auto"/>
        </w:rPr>
        <w:t>”) of Class A Ordinary Shares and Class B Ordinary Shares. Holders of record of the Company’s Shares (as of the Share Record Date) are entitled to attend and vote at the AGM and any adjourned meeting thereof.</w:t>
      </w:r>
    </w:p>
    <w:p>
      <w:pPr>
        <w:spacing w:after="0" w:line="164" w:lineRule="exact"/>
        <w:rPr>
          <w:sz w:val="20"/>
          <w:szCs w:val="20"/>
          <w:color w:val="auto"/>
        </w:rPr>
      </w:pPr>
    </w:p>
    <w:p>
      <w:pPr>
        <w:jc w:val="both"/>
        <w:ind w:firstLine="378"/>
        <w:spacing w:after="0" w:line="251" w:lineRule="auto"/>
        <w:rPr>
          <w:sz w:val="20"/>
          <w:szCs w:val="20"/>
          <w:color w:val="auto"/>
        </w:rPr>
      </w:pPr>
      <w:r>
        <w:rPr>
          <w:rFonts w:ascii="Times New Roman" w:cs="Times New Roman" w:eastAsia="Times New Roman" w:hAnsi="Times New Roman"/>
          <w:sz w:val="17"/>
          <w:szCs w:val="17"/>
          <w:color w:val="auto"/>
        </w:rPr>
        <w:t>Holders of ADSs as of the close of business on May 22, 2026, New York time (the “</w:t>
      </w:r>
      <w:r>
        <w:rPr>
          <w:rFonts w:ascii="Times New Roman" w:cs="Times New Roman" w:eastAsia="Times New Roman" w:hAnsi="Times New Roman"/>
          <w:sz w:val="17"/>
          <w:szCs w:val="17"/>
          <w:b w:val="1"/>
          <w:bCs w:val="1"/>
          <w:color w:val="auto"/>
        </w:rPr>
        <w:t>ADS Record Date</w:t>
      </w:r>
      <w:r>
        <w:rPr>
          <w:rFonts w:ascii="Times New Roman" w:cs="Times New Roman" w:eastAsia="Times New Roman" w:hAnsi="Times New Roman"/>
          <w:sz w:val="17"/>
          <w:szCs w:val="17"/>
          <w:color w:val="auto"/>
        </w:rPr>
        <w:t>”), who wish to exercise their voting rights for the ADSs underlying Class A Ordinary Shares must give voting instructions directly to The Bank of New York Mellon, the depositary of the ADSs, if ADSs are held directly by holders on the books and records of The Bank of New York Mellon or indirectly through a bank, brokerage or other securities intermediary if the ADSs are held by any of them on behalf of holders. Treasury shares, if any and registered under the name of the Company, shall have no voting rights at the general meeting(s) of the Company. For the avoidance of doubt, for the purpose of the Listing Rules, the Company shall, upon depositing any treasury shares in the CCASS, abstain from voting at any of its general meeting(s) in relation to those shares.</w:t>
      </w:r>
    </w:p>
    <w:p>
      <w:pPr>
        <w:spacing w:after="0" w:line="176" w:lineRule="exact"/>
        <w:rPr>
          <w:sz w:val="20"/>
          <w:szCs w:val="20"/>
          <w:color w:val="auto"/>
        </w:rPr>
      </w:pPr>
    </w:p>
    <w:p>
      <w:pPr>
        <w:jc w:val="both"/>
        <w:ind w:firstLine="378"/>
        <w:spacing w:after="0" w:line="248" w:lineRule="auto"/>
        <w:rPr>
          <w:sz w:val="20"/>
          <w:szCs w:val="20"/>
          <w:color w:val="auto"/>
        </w:rPr>
      </w:pPr>
      <w:r>
        <w:rPr>
          <w:rFonts w:ascii="Times New Roman" w:cs="Times New Roman" w:eastAsia="Times New Roman" w:hAnsi="Times New Roman"/>
          <w:sz w:val="17"/>
          <w:szCs w:val="17"/>
          <w:color w:val="auto"/>
        </w:rPr>
        <w:t>In order to be eligible to vote and attend the AGM, with respect to the Shares registered on the Company’s register of members in Hong Kong, all valid documents for the transfers of shares accompanied by the relevant share certificates must be lodged with the Company’s share registrar in Hong Kong, Computershare Hong Kong Investor Services Limited, at Shops 1712-1716, 17th Floor, Hopewell Centre, 183 Queen’s Road East, Wan Chai, Hong Kong, no later than 4:30 p.m. on Friday, May 22, 2026, Hong Kong time; and with respect to the Shares registered on the Company’s principal register of members in the Cayman Islands, all valid documents for the transfers of shares accompanied by the relevant share certificates must be lodged with the Company’s principal share registrar, Maples Fund Services (Cayman) Limited, at PO Box 1093, Boundary Hall, Cricket Square, Grand Cayman, KY1-1102, Cayman Islands, no later than 3:30 p.m. on Thursday, May 21, 2026, Cayman Islands time (due to the time difference between Cayman Islands and Hong Kong). All persons who are registered holders of the Class A Ordinary Shares and Class B Ordinary Shares on the Share Record Date will be entitled to vote and attend the AGM.</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7"/>
          <w:szCs w:val="17"/>
          <w:b w:val="1"/>
          <w:bCs w:val="1"/>
          <w:color w:val="231F20"/>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2480" cy="7620"/>
                    </a:xfrm>
                    <a:prstGeom prst="rect">
                      <a:avLst/>
                    </a:prstGeom>
                    <a:noFill/>
                  </pic:spPr>
                </pic:pic>
              </a:graphicData>
            </a:graphic>
          </wp:anchor>
        </w:drawing>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14248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PROXY FORMS AND ADS VOTING CARDS</w:t>
      </w:r>
    </w:p>
    <w:p>
      <w:pPr>
        <w:spacing w:after="0" w:line="208" w:lineRule="exact"/>
        <w:rPr>
          <w:sz w:val="20"/>
          <w:szCs w:val="20"/>
          <w:color w:val="auto"/>
        </w:rPr>
      </w:pPr>
    </w:p>
    <w:p>
      <w:pPr>
        <w:jc w:val="both"/>
        <w:ind w:left="20" w:firstLine="378"/>
        <w:spacing w:after="0" w:line="251" w:lineRule="auto"/>
        <w:rPr>
          <w:sz w:val="20"/>
          <w:szCs w:val="20"/>
          <w:color w:val="auto"/>
        </w:rPr>
      </w:pPr>
      <w:r>
        <w:rPr>
          <w:rFonts w:ascii="Times New Roman" w:cs="Times New Roman" w:eastAsia="Times New Roman" w:hAnsi="Times New Roman"/>
          <w:sz w:val="17"/>
          <w:szCs w:val="17"/>
          <w:color w:val="auto"/>
        </w:rPr>
        <w:t xml:space="preserve">A holder of Shares as of the Share Record Date may appoint proxy(ies) to exercise his or her rights at the AGM. A holder of ADSs as of the ADS Record Date will need to directly instruct The Bank of New York Mellon, the depositary of the ADSs, if ADSs are held directly by holders on the books and records of The Bank of New York Mellon or indirectly through a bank, brokerage or other securities intermediary if the ADSs are held by any of them on behalf of holders, as to how to vote the Class A Ordinary Shares represented by the ADSs. Please refer to the proxy form (for holders of Shares) or ADS voting card (for holders of ADSs). The proxy form is available on our website at </w:t>
      </w:r>
      <w:r>
        <w:rPr>
          <w:rFonts w:ascii="Times New Roman" w:cs="Times New Roman" w:eastAsia="Times New Roman" w:hAnsi="Times New Roman"/>
          <w:sz w:val="17"/>
          <w:szCs w:val="17"/>
          <w:b w:val="1"/>
          <w:bCs w:val="1"/>
          <w:color w:val="auto"/>
        </w:rPr>
        <w:t>ir.tuya.com</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left="20" w:firstLine="377"/>
        <w:spacing w:after="0" w:line="249" w:lineRule="auto"/>
        <w:rPr>
          <w:sz w:val="20"/>
          <w:szCs w:val="20"/>
          <w:color w:val="auto"/>
        </w:rPr>
      </w:pPr>
      <w:r>
        <w:rPr>
          <w:rFonts w:ascii="Times New Roman" w:cs="Times New Roman" w:eastAsia="Times New Roman" w:hAnsi="Times New Roman"/>
          <w:sz w:val="17"/>
          <w:szCs w:val="17"/>
          <w:color w:val="auto"/>
        </w:rPr>
        <w:t>Holders of record of the Company’s Shares on the Company’s register of members as of the Share Record Date are entitled to attend the AGM in person or by proxy. Your vote is important. You are urged to complete, sign, date, and return the accompanying proxy form to us (for holders of Shares) or send your voting instructions to The Bank of New York Mellon or to your bank, brokerage or other securities intermediary, as the case may be (for holders of the ADSs) as promptly as possible and before the prescribed deadline if you wish to exercise your voting rights. We must receive the proxy form by no later than 2:00 p.m., Hong Kong time, on Monday, June 15, 2026 at 17M Floor, Hopewell Centre, 183 Queen’s Road East, Wanchai, Hong Kong; and The Bank of New York Mellon must receive your voting instructions by the time and date specified in the ADS voting instruction card to enable the votes attaching to the Class A Ordinary Shares represented by your ADSs to be cast at the AGM.</w:t>
      </w:r>
    </w:p>
    <w:p>
      <w:pPr>
        <w:spacing w:after="0" w:line="178" w:lineRule="exact"/>
        <w:rPr>
          <w:sz w:val="20"/>
          <w:szCs w:val="20"/>
          <w:color w:val="auto"/>
        </w:rPr>
      </w:pPr>
    </w:p>
    <w:p>
      <w:pPr>
        <w:jc w:val="center"/>
        <w:ind w:left="9200"/>
        <w:spacing w:after="0"/>
        <w:rPr>
          <w:sz w:val="20"/>
          <w:szCs w:val="20"/>
          <w:color w:val="auto"/>
        </w:rPr>
      </w:pPr>
      <w:r>
        <w:rPr>
          <w:rFonts w:ascii="Times New Roman" w:cs="Times New Roman" w:eastAsia="Times New Roman" w:hAnsi="Times New Roman"/>
          <w:sz w:val="17"/>
          <w:szCs w:val="17"/>
          <w:color w:val="231F20"/>
        </w:rPr>
        <w:t>By order of the Board</w:t>
      </w:r>
    </w:p>
    <w:p>
      <w:pPr>
        <w:spacing w:after="0" w:line="21" w:lineRule="exact"/>
        <w:rPr>
          <w:sz w:val="20"/>
          <w:szCs w:val="20"/>
          <w:color w:val="auto"/>
        </w:rPr>
      </w:pPr>
    </w:p>
    <w:p>
      <w:pPr>
        <w:jc w:val="center"/>
        <w:ind w:left="9200"/>
        <w:spacing w:after="0"/>
        <w:rPr>
          <w:sz w:val="20"/>
          <w:szCs w:val="20"/>
          <w:color w:val="auto"/>
        </w:rPr>
      </w:pPr>
      <w:r>
        <w:rPr>
          <w:rFonts w:ascii="Times New Roman" w:cs="Times New Roman" w:eastAsia="Times New Roman" w:hAnsi="Times New Roman"/>
          <w:sz w:val="17"/>
          <w:szCs w:val="17"/>
          <w:b w:val="1"/>
          <w:bCs w:val="1"/>
          <w:color w:val="231F20"/>
        </w:rPr>
        <w:t>Tuya Inc.</w:t>
      </w:r>
    </w:p>
    <w:p>
      <w:pPr>
        <w:spacing w:after="0" w:line="4" w:lineRule="exact"/>
        <w:rPr>
          <w:sz w:val="20"/>
          <w:szCs w:val="20"/>
          <w:color w:val="auto"/>
        </w:rPr>
      </w:pPr>
    </w:p>
    <w:p>
      <w:pPr>
        <w:jc w:val="center"/>
        <w:ind w:left="9200"/>
        <w:spacing w:after="0"/>
        <w:rPr>
          <w:sz w:val="20"/>
          <w:szCs w:val="20"/>
          <w:color w:val="auto"/>
        </w:rPr>
      </w:pPr>
      <w:r>
        <w:rPr>
          <w:rFonts w:ascii="Times New Roman" w:cs="Times New Roman" w:eastAsia="Times New Roman" w:hAnsi="Times New Roman"/>
          <w:sz w:val="17"/>
          <w:szCs w:val="17"/>
          <w:b w:val="1"/>
          <w:bCs w:val="1"/>
          <w:color w:val="231F20"/>
        </w:rPr>
        <w:t>WANG Xueji</w:t>
      </w:r>
    </w:p>
    <w:p>
      <w:pPr>
        <w:spacing w:after="0" w:line="4" w:lineRule="exact"/>
        <w:rPr>
          <w:sz w:val="20"/>
          <w:szCs w:val="20"/>
          <w:color w:val="auto"/>
        </w:rPr>
      </w:pPr>
    </w:p>
    <w:p>
      <w:pPr>
        <w:jc w:val="center"/>
        <w:ind w:left="9200"/>
        <w:spacing w:after="0"/>
        <w:rPr>
          <w:sz w:val="20"/>
          <w:szCs w:val="20"/>
          <w:color w:val="auto"/>
        </w:rPr>
      </w:pPr>
      <w:r>
        <w:rPr>
          <w:rFonts w:ascii="Times New Roman" w:cs="Times New Roman" w:eastAsia="Times New Roman" w:hAnsi="Times New Roman"/>
          <w:sz w:val="17"/>
          <w:szCs w:val="17"/>
          <w:i w:val="1"/>
          <w:iCs w:val="1"/>
          <w:color w:val="231F20"/>
        </w:rPr>
        <w:t>Chairman</w:t>
      </w:r>
    </w:p>
    <w:p>
      <w:pPr>
        <w:sectPr>
          <w:pgSz w:w="11900" w:h="16838" w:orient="portrait"/>
          <w:cols w:equalWidth="0" w:num="1">
            <w:col w:w="11240"/>
          </w:cols>
          <w:pgMar w:left="320" w:top="881" w:right="339" w:bottom="1440" w:gutter="0" w:footer="0" w:header="0"/>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Headquarters and Principal Place of Business in the PRC: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Huace Center, Building A, 10/F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Xihu District, Hangzhou City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Zhejiang Province, 310012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China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Registered Office: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 Box 309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Ugland House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Grand Cayman, KY1-1104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187" w:lineRule="exact"/>
        <w:rPr>
          <w:sz w:val="20"/>
          <w:szCs w:val="20"/>
          <w:color w:val="auto"/>
        </w:rPr>
      </w:pPr>
    </w:p>
    <w:p>
      <w:pPr>
        <w:sectPr>
          <w:pgSz w:w="11900" w:h="16838" w:orient="portrait"/>
          <w:cols w:equalWidth="0" w:num="2">
            <w:col w:w="4920" w:space="720"/>
            <w:col w:w="5600"/>
          </w:cols>
          <w:pgMar w:left="320" w:top="88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May 14, 2026</w:t>
      </w:r>
    </w:p>
    <w:p>
      <w:pPr>
        <w:sectPr>
          <w:pgSz w:w="11900" w:h="16838" w:orient="portrait"/>
          <w:cols w:equalWidth="0" w:num="1">
            <w:col w:w="11240"/>
          </w:cols>
          <w:pgMar w:left="320" w:top="881" w:right="339" w:bottom="1440" w:gutter="0" w:footer="0" w:header="0"/>
          <w:type w:val="continuous"/>
        </w:sectPr>
      </w:pPr>
    </w:p>
    <w:p>
      <w:pPr>
        <w:spacing w:after="0" w:line="214" w:lineRule="exact"/>
        <w:rPr>
          <w:sz w:val="20"/>
          <w:szCs w:val="20"/>
          <w:color w:val="auto"/>
        </w:rPr>
      </w:pPr>
    </w:p>
    <w:p>
      <w:pPr>
        <w:jc w:val="both"/>
        <w:ind w:firstLine="378"/>
        <w:spacing w:after="0" w:line="259" w:lineRule="auto"/>
        <w:rPr>
          <w:sz w:val="20"/>
          <w:szCs w:val="20"/>
          <w:color w:val="auto"/>
        </w:rPr>
      </w:pPr>
      <w:r>
        <w:rPr>
          <w:rFonts w:ascii="Times New Roman" w:cs="Times New Roman" w:eastAsia="Times New Roman" w:hAnsi="Times New Roman"/>
          <w:sz w:val="17"/>
          <w:szCs w:val="17"/>
          <w:i w:val="1"/>
          <w:iCs w:val="1"/>
          <w:color w:val="auto"/>
        </w:rPr>
        <w:t>As at the date of this notice, the Board comprises Mr. WANG Xueji, Mr. CHEN Liaohan, Mr. YANG Yi and Ms. ZHANG Yan as the executive Directors, and Mr. HUANG Sidney Xuande, Mr. QIU Changheng, Mr. KUOK Meng Xiong (alias GUO Mengxiong) and Mr. YIP Pak Tung Jason as the independent non-executive Directors.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951230" cy="4914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51230" cy="49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3"/>
          <w:szCs w:val="23"/>
          <w:b w:val="1"/>
          <w:bCs w:val="1"/>
          <w:color w:val="231F20"/>
        </w:rPr>
        <w:t>Tuya Inc.</w:t>
      </w:r>
    </w:p>
    <w:p>
      <w:pPr>
        <w:spacing w:after="0" w:line="48" w:lineRule="exact"/>
        <w:rPr>
          <w:sz w:val="20"/>
          <w:szCs w:val="20"/>
          <w:color w:val="auto"/>
        </w:rPr>
      </w:pPr>
    </w:p>
    <w:p>
      <w:pPr>
        <w:ind w:left="5100"/>
        <w:spacing w:after="0" w:line="280" w:lineRule="exact"/>
        <w:rPr>
          <w:sz w:val="20"/>
          <w:szCs w:val="20"/>
          <w:color w:val="auto"/>
        </w:rPr>
      </w:pPr>
      <w:r>
        <w:rPr>
          <w:rFonts w:ascii="PMingLiU" w:cs="PMingLiU" w:eastAsia="PMingLiU" w:hAnsi="PMingLiU"/>
          <w:sz w:val="23"/>
          <w:szCs w:val="23"/>
          <w:color w:val="000000"/>
          <w:shd w:val="clear" w:color="auto" w:fill="231F20"/>
        </w:rPr>
        <w:t>塗鴉智能</w:t>
      </w:r>
      <w:r>
        <w:rPr>
          <w:rFonts w:ascii="Times New Roman" w:cs="Times New Roman" w:eastAsia="Times New Roman" w:hAnsi="Times New Roman"/>
          <w:sz w:val="17"/>
          <w:szCs w:val="17"/>
          <w:b w:val="1"/>
          <w:bCs w:val="1"/>
          <w:color w:val="231F20"/>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(A company controlled through weighted voting rights and incorporated in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the Cayman Islands with limited liability)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(HKEX Stock Code: 2391)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(NYSE Stock Ticker: TUYA)</w:t>
      </w:r>
    </w:p>
    <w:p>
      <w:pPr>
        <w:spacing w:after="0" w:line="184" w:lineRule="exact"/>
        <w:rPr>
          <w:sz w:val="20"/>
          <w:szCs w:val="20"/>
          <w:color w:val="auto"/>
        </w:rPr>
      </w:pPr>
    </w:p>
    <w:tbl>
      <w:tblPr>
        <w:tblLayout w:type="fixed"/>
        <w:tblInd w:w="3300" w:type="dxa"/>
        <w:tblCellMar>
          <w:top w:w="0" w:type="dxa"/>
          <w:left w:w="0" w:type="dxa"/>
          <w:bottom w:w="0" w:type="dxa"/>
          <w:right w:w="0" w:type="dxa"/>
        </w:tblCellMar>
      </w:tblPr>
      <w:tr>
        <w:trPr>
          <w:trHeight w:val="175"/>
        </w:trPr>
        <w:tc>
          <w:tcPr>
            <w:tcW w:w="1220" w:type="dxa"/>
            <w:vAlign w:val="bottom"/>
            <w:tcBorders>
              <w:right w:val="single" w:sz="8" w:color="auto"/>
            </w:tcBorders>
          </w:tcPr>
          <w:p>
            <w:pPr>
              <w:spacing w:after="0"/>
              <w:rPr>
                <w:sz w:val="15"/>
                <w:szCs w:val="15"/>
                <w:color w:val="auto"/>
              </w:rPr>
            </w:pPr>
          </w:p>
        </w:tc>
        <w:tc>
          <w:tcPr>
            <w:tcW w:w="3360" w:type="dxa"/>
            <w:vAlign w:val="bottom"/>
            <w:tcBorders>
              <w:top w:val="single" w:sz="8" w:color="231F20"/>
              <w:right w:val="single" w:sz="8" w:color="231F20"/>
            </w:tcBorders>
          </w:tcPr>
          <w:p>
            <w:pPr>
              <w:ind w:left="80"/>
              <w:spacing w:after="0" w:line="175" w:lineRule="exact"/>
              <w:rPr>
                <w:sz w:val="20"/>
                <w:szCs w:val="20"/>
                <w:color w:val="auto"/>
              </w:rPr>
            </w:pPr>
            <w:r>
              <w:rPr>
                <w:rFonts w:ascii="Times New Roman" w:cs="Times New Roman" w:eastAsia="Times New Roman" w:hAnsi="Times New Roman"/>
                <w:sz w:val="17"/>
                <w:szCs w:val="17"/>
                <w:b w:val="1"/>
                <w:bCs w:val="1"/>
                <w:color w:val="231F20"/>
                <w:w w:val="96"/>
              </w:rPr>
              <w:t>Number of Shares to which this form of proxy</w:t>
            </w:r>
          </w:p>
        </w:tc>
        <w:tc>
          <w:tcPr>
            <w:tcW w:w="80" w:type="dxa"/>
            <w:vAlign w:val="bottom"/>
            <w:tcBorders>
              <w:top w:val="single" w:sz="8" w:color="231F20"/>
            </w:tcBorders>
          </w:tcPr>
          <w:p>
            <w:pPr>
              <w:spacing w:after="0"/>
              <w:rPr>
                <w:sz w:val="15"/>
                <w:szCs w:val="15"/>
                <w:color w:val="auto"/>
              </w:rPr>
            </w:pPr>
          </w:p>
        </w:tc>
        <w:tc>
          <w:tcPr>
            <w:tcW w:w="1580" w:type="dxa"/>
            <w:vAlign w:val="bottom"/>
            <w:tcBorders>
              <w:top w:val="single" w:sz="8" w:color="231F20"/>
              <w:bottom w:val="single" w:sz="8" w:color="auto"/>
            </w:tcBorders>
          </w:tcPr>
          <w:p>
            <w:pPr>
              <w:spacing w:after="0"/>
              <w:rPr>
                <w:sz w:val="15"/>
                <w:szCs w:val="15"/>
                <w:color w:val="auto"/>
              </w:rPr>
            </w:pPr>
          </w:p>
        </w:tc>
        <w:tc>
          <w:tcPr>
            <w:tcW w:w="1720" w:type="dxa"/>
            <w:vAlign w:val="bottom"/>
            <w:tcBorders>
              <w:top w:val="single" w:sz="8" w:color="231F20"/>
              <w:right w:val="single" w:sz="8" w:color="231F20"/>
            </w:tcBorders>
          </w:tcPr>
          <w:p>
            <w:pPr>
              <w:spacing w:after="0" w:line="175" w:lineRule="exact"/>
              <w:rPr>
                <w:sz w:val="20"/>
                <w:szCs w:val="20"/>
                <w:color w:val="auto"/>
              </w:rPr>
            </w:pPr>
            <w:r>
              <w:rPr>
                <w:rFonts w:ascii="Times New Roman" w:cs="Times New Roman" w:eastAsia="Times New Roman" w:hAnsi="Times New Roman"/>
                <w:sz w:val="17"/>
                <w:szCs w:val="17"/>
                <w:color w:val="auto"/>
                <w:w w:val="99"/>
              </w:rPr>
              <w:t>Class A Ordinary Shares</w:t>
            </w:r>
          </w:p>
        </w:tc>
        <w:tc>
          <w:tcPr>
            <w:tcW w:w="0" w:type="dxa"/>
            <w:vAlign w:val="bottom"/>
          </w:tcPr>
          <w:p>
            <w:pPr>
              <w:spacing w:after="0"/>
              <w:rPr>
                <w:sz w:val="1"/>
                <w:szCs w:val="1"/>
                <w:color w:val="auto"/>
              </w:rPr>
            </w:pP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3360" w:type="dxa"/>
            <w:vAlign w:val="bottom"/>
            <w:tcBorders>
              <w:right w:val="single" w:sz="8" w:color="231F20"/>
            </w:tcBorders>
            <w:vMerge w:val="restart"/>
          </w:tcPr>
          <w:p>
            <w:pPr>
              <w:ind w:left="80"/>
              <w:spacing w:after="0" w:line="193" w:lineRule="exact"/>
              <w:rPr>
                <w:sz w:val="20"/>
                <w:szCs w:val="20"/>
                <w:color w:val="auto"/>
              </w:rPr>
            </w:pPr>
            <w:r>
              <w:rPr>
                <w:rFonts w:ascii="Times New Roman" w:cs="Times New Roman" w:eastAsia="Times New Roman" w:hAnsi="Times New Roman"/>
                <w:sz w:val="17"/>
                <w:szCs w:val="17"/>
                <w:b w:val="1"/>
                <w:bCs w:val="1"/>
                <w:color w:val="231F20"/>
              </w:rPr>
              <w:t>relates</w:t>
            </w:r>
            <w:r>
              <w:rPr>
                <w:rFonts w:ascii="Times New Roman" w:cs="Times New Roman" w:eastAsia="Times New Roman" w:hAnsi="Times New Roman"/>
                <w:sz w:val="17"/>
                <w:szCs w:val="17"/>
                <w:i w:val="1"/>
                <w:iCs w:val="1"/>
                <w:color w:val="231F20"/>
              </w:rPr>
              <w:t>(Note 1)</w:t>
            </w:r>
          </w:p>
        </w:tc>
        <w:tc>
          <w:tcPr>
            <w:tcW w:w="80" w:type="dxa"/>
            <w:vAlign w:val="bottom"/>
            <w:tcBorders>
              <w:bottom w:val="single" w:sz="8" w:color="231F20"/>
            </w:tcBorders>
          </w:tcPr>
          <w:p>
            <w:pPr>
              <w:spacing w:after="0" w:line="20" w:lineRule="exact"/>
              <w:rPr>
                <w:sz w:val="1"/>
                <w:szCs w:val="1"/>
                <w:color w:val="auto"/>
              </w:rPr>
            </w:pPr>
          </w:p>
        </w:tc>
        <w:tc>
          <w:tcPr>
            <w:tcW w:w="1580" w:type="dxa"/>
            <w:vAlign w:val="bottom"/>
            <w:tcBorders>
              <w:bottom w:val="single" w:sz="8" w:color="231F20"/>
            </w:tcBorders>
          </w:tcPr>
          <w:p>
            <w:pPr>
              <w:spacing w:after="0" w:line="20" w:lineRule="exact"/>
              <w:rPr>
                <w:sz w:val="1"/>
                <w:szCs w:val="1"/>
                <w:color w:val="auto"/>
              </w:rPr>
            </w:pPr>
          </w:p>
        </w:tc>
        <w:tc>
          <w:tcPr>
            <w:tcW w:w="1720" w:type="dxa"/>
            <w:vAlign w:val="bottom"/>
            <w:tcBorders>
              <w:bottom w:val="single" w:sz="8" w:color="231F20"/>
              <w:right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220" w:type="dxa"/>
            <w:vAlign w:val="bottom"/>
            <w:tcBorders>
              <w:right w:val="single" w:sz="8" w:color="auto"/>
            </w:tcBorders>
          </w:tcPr>
          <w:p>
            <w:pPr>
              <w:spacing w:after="0"/>
              <w:rPr>
                <w:sz w:val="13"/>
                <w:szCs w:val="13"/>
                <w:color w:val="auto"/>
              </w:rPr>
            </w:pPr>
          </w:p>
        </w:tc>
        <w:tc>
          <w:tcPr>
            <w:tcW w:w="3360" w:type="dxa"/>
            <w:vAlign w:val="bottom"/>
            <w:tcBorders>
              <w:right w:val="single" w:sz="8" w:color="231F20"/>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720" w:type="dxa"/>
            <w:vAlign w:val="bottom"/>
            <w:tcBorders>
              <w:right w:val="single" w:sz="8" w:color="231F20"/>
            </w:tcBorders>
          </w:tcPr>
          <w:p>
            <w:pPr>
              <w:spacing w:after="0" w:line="152" w:lineRule="exact"/>
              <w:rPr>
                <w:sz w:val="20"/>
                <w:szCs w:val="20"/>
                <w:color w:val="auto"/>
              </w:rPr>
            </w:pPr>
            <w:r>
              <w:rPr>
                <w:rFonts w:ascii="Times New Roman" w:cs="Times New Roman" w:eastAsia="Times New Roman" w:hAnsi="Times New Roman"/>
                <w:sz w:val="17"/>
                <w:szCs w:val="17"/>
                <w:color w:val="auto"/>
              </w:rPr>
              <w:t>Class B Ordinary Shares</w:t>
            </w:r>
          </w:p>
        </w:tc>
        <w:tc>
          <w:tcPr>
            <w:tcW w:w="0" w:type="dxa"/>
            <w:vAlign w:val="bottom"/>
          </w:tcPr>
          <w:p>
            <w:pPr>
              <w:spacing w:after="0"/>
              <w:rPr>
                <w:sz w:val="1"/>
                <w:szCs w:val="1"/>
                <w:color w:val="auto"/>
              </w:rPr>
            </w:pPr>
          </w:p>
        </w:tc>
      </w:tr>
      <w:tr>
        <w:trPr>
          <w:trHeight w:val="20"/>
        </w:trPr>
        <w:tc>
          <w:tcPr>
            <w:tcW w:w="1220" w:type="dxa"/>
            <w:vAlign w:val="bottom"/>
            <w:tcBorders>
              <w:right w:val="single" w:sz="8" w:color="auto"/>
            </w:tcBorders>
          </w:tcPr>
          <w:p>
            <w:pPr>
              <w:spacing w:after="0" w:line="20" w:lineRule="exact"/>
              <w:rPr>
                <w:sz w:val="1"/>
                <w:szCs w:val="1"/>
                <w:color w:val="auto"/>
              </w:rPr>
            </w:pPr>
          </w:p>
        </w:tc>
        <w:tc>
          <w:tcPr>
            <w:tcW w:w="3360" w:type="dxa"/>
            <w:vAlign w:val="bottom"/>
            <w:tcBorders>
              <w:bottom w:val="single" w:sz="8" w:color="231F20"/>
              <w:right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580" w:type="dxa"/>
            <w:vAlign w:val="bottom"/>
            <w:tcBorders>
              <w:bottom w:val="single" w:sz="8" w:color="231F20"/>
            </w:tcBorders>
          </w:tcPr>
          <w:p>
            <w:pPr>
              <w:spacing w:after="0" w:line="20" w:lineRule="exact"/>
              <w:rPr>
                <w:sz w:val="1"/>
                <w:szCs w:val="1"/>
                <w:color w:val="auto"/>
              </w:rPr>
            </w:pPr>
          </w:p>
        </w:tc>
        <w:tc>
          <w:tcPr>
            <w:tcW w:w="1720" w:type="dxa"/>
            <w:vAlign w:val="bottom"/>
            <w:tcBorders>
              <w:bottom w:val="single" w:sz="8" w:color="231F20"/>
              <w:right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66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231F20"/>
                <w:w w:val="97"/>
              </w:rPr>
              <w:t>FORM OF PROXY FOR THE ANNUAL GENERAL MEETING</w:t>
            </w:r>
          </w:p>
        </w:tc>
        <w:tc>
          <w:tcPr>
            <w:tcW w:w="1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6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231F20"/>
                <w:w w:val="97"/>
              </w:rPr>
              <w:t>to be held on Thursday, June 18, 2026</w:t>
            </w:r>
          </w:p>
        </w:tc>
        <w:tc>
          <w:tcPr>
            <w:tcW w:w="15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231F20"/>
                <w:w w:val="98"/>
              </w:rPr>
              <w:t>(or any adjournment(s) or postponement(s) thereof)</w:t>
            </w:r>
          </w:p>
        </w:tc>
        <w:tc>
          <w:tcPr>
            <w:tcW w:w="1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I/We</w:t>
      </w:r>
      <w:r>
        <w:rPr>
          <w:rFonts w:ascii="Times New Roman" w:cs="Times New Roman" w:eastAsia="Times New Roman" w:hAnsi="Times New Roman"/>
          <w:sz w:val="27"/>
          <w:szCs w:val="27"/>
          <w:i w:val="1"/>
          <w:iCs w:val="1"/>
          <w:color w:val="auto"/>
          <w:vertAlign w:val="superscript"/>
        </w:rPr>
        <w:t>(Note 2)</w:t>
      </w:r>
      <w:r>
        <w:rPr>
          <w:rFonts w:ascii="Times New Roman" w:cs="Times New Roman" w:eastAsia="Times New Roman" w:hAnsi="Times New Roman"/>
          <w:sz w:val="17"/>
          <w:szCs w:val="17"/>
          <w:color w:val="auto"/>
        </w:rPr>
        <w:t>______________________________________________________________________________________________________________ of</w:t>
      </w: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_________________________________________________________________________________________________being the registered holder(s) of</w:t>
      </w:r>
    </w:p>
    <w:p>
      <w:pPr>
        <w:spacing w:after="0" w:line="193" w:lineRule="auto"/>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________________________________________________________________________________________Class A Ordinary Shares/Class B Ordinary Shares</w:t>
      </w:r>
      <w:r>
        <w:rPr>
          <w:rFonts w:ascii="Times New Roman" w:cs="Times New Roman" w:eastAsia="Times New Roman" w:hAnsi="Times New Roman"/>
          <w:sz w:val="26"/>
          <w:szCs w:val="26"/>
          <w:i w:val="1"/>
          <w:iCs w:val="1"/>
          <w:color w:val="auto"/>
          <w:vertAlign w:val="superscript"/>
        </w:rPr>
        <w:t>(Note 3)</w:t>
      </w:r>
    </w:p>
    <w:p>
      <w:pPr>
        <w:spacing w:after="0" w:line="184" w:lineRule="auto"/>
        <w:rPr>
          <w:sz w:val="20"/>
          <w:szCs w:val="20"/>
          <w:color w:val="auto"/>
        </w:rPr>
      </w:pPr>
      <w:r>
        <w:rPr>
          <w:rFonts w:ascii="Times New Roman" w:cs="Times New Roman" w:eastAsia="Times New Roman" w:hAnsi="Times New Roman"/>
          <w:sz w:val="17"/>
          <w:szCs w:val="17"/>
          <w:color w:val="auto"/>
        </w:rPr>
        <w:t>in the issued share capital of Tuya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appoint the chairman of the meeting</w:t>
      </w:r>
      <w:r>
        <w:rPr>
          <w:rFonts w:ascii="Times New Roman" w:cs="Times New Roman" w:eastAsia="Times New Roman" w:hAnsi="Times New Roman"/>
          <w:sz w:val="27"/>
          <w:szCs w:val="27"/>
          <w:i w:val="1"/>
          <w:iCs w:val="1"/>
          <w:color w:val="auto"/>
          <w:vertAlign w:val="superscript"/>
        </w:rPr>
        <w:t>(Note 4)</w:t>
      </w:r>
    </w:p>
    <w:p>
      <w:pPr>
        <w:spacing w:after="0"/>
        <w:rPr>
          <w:sz w:val="20"/>
          <w:szCs w:val="20"/>
          <w:color w:val="auto"/>
        </w:rPr>
      </w:pPr>
      <w:r>
        <w:rPr>
          <w:rFonts w:ascii="Times New Roman" w:cs="Times New Roman" w:eastAsia="Times New Roman" w:hAnsi="Times New Roman"/>
          <w:sz w:val="17"/>
          <w:szCs w:val="17"/>
          <w:color w:val="auto"/>
        </w:rPr>
        <w:t>or__________________________________________________________________________________________________________of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_____________________________________________________________________________________________________________as my/our proxy to attend, act,</w:t>
      </w:r>
    </w:p>
    <w:p>
      <w:pPr>
        <w:spacing w:after="0" w:line="16" w:lineRule="exact"/>
        <w:rPr>
          <w:sz w:val="20"/>
          <w:szCs w:val="20"/>
          <w:color w:val="auto"/>
        </w:rPr>
      </w:pPr>
    </w:p>
    <w:p>
      <w:pPr>
        <w:ind w:right="280"/>
        <w:spacing w:after="0" w:line="251" w:lineRule="exact"/>
        <w:rPr>
          <w:sz w:val="20"/>
          <w:szCs w:val="20"/>
          <w:color w:val="auto"/>
        </w:rPr>
      </w:pPr>
      <w:r>
        <w:rPr>
          <w:rFonts w:ascii="Times New Roman" w:cs="Times New Roman" w:eastAsia="Times New Roman" w:hAnsi="Times New Roman"/>
          <w:sz w:val="17"/>
          <w:szCs w:val="17"/>
          <w:color w:val="auto"/>
        </w:rPr>
        <w:t>and vote for me/us and on my/our behalf as directed below at the annual general meeting (the “</w:t>
      </w:r>
      <w:r>
        <w:rPr>
          <w:rFonts w:ascii="Times New Roman" w:cs="Times New Roman" w:eastAsia="Times New Roman" w:hAnsi="Times New Roman"/>
          <w:sz w:val="17"/>
          <w:szCs w:val="17"/>
          <w:b w:val="1"/>
          <w:bCs w:val="1"/>
          <w:color w:val="auto"/>
        </w:rPr>
        <w:t>AGM</w:t>
      </w:r>
      <w:r>
        <w:rPr>
          <w:rFonts w:ascii="Times New Roman" w:cs="Times New Roman" w:eastAsia="Times New Roman" w:hAnsi="Times New Roman"/>
          <w:sz w:val="17"/>
          <w:szCs w:val="17"/>
          <w:color w:val="auto"/>
        </w:rPr>
        <w:t>”) of the Company to be held at 2:00 p.m., Hong Kong time, on Thursday, June 18, 2026 at Huace Center, Building A, 3/F VVIP room, Xihu District, Hangzhou City, Zhejiang Province, 310012, China (and at any adjournment thereof). Please tick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the appropriate boxes to indicate how you wish your vote(s) to be cast</w:t>
      </w:r>
      <w:r>
        <w:rPr>
          <w:rFonts w:ascii="Times New Roman" w:cs="Times New Roman" w:eastAsia="Times New Roman" w:hAnsi="Times New Roman"/>
          <w:sz w:val="27"/>
          <w:szCs w:val="27"/>
          <w:i w:val="1"/>
          <w:iCs w:val="1"/>
          <w:color w:val="auto"/>
          <w:vertAlign w:val="superscript"/>
        </w:rPr>
        <w:t>(Note 5)</w:t>
      </w:r>
      <w:r>
        <w:rPr>
          <w:rFonts w:ascii="Times New Roman" w:cs="Times New Roman" w:eastAsia="Times New Roman" w:hAnsi="Times New Roman"/>
          <w:sz w:val="17"/>
          <w:szCs w:val="17"/>
          <w:color w:val="auto"/>
        </w:rPr>
        <w:t xml:space="preserve"> .</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580" w:type="dxa"/>
            <w:vAlign w:val="bottom"/>
            <w:tcBorders>
              <w:top w:val="single" w:sz="8" w:color="231F20"/>
              <w:left w:val="single" w:sz="8" w:color="231F20"/>
              <w:bottom w:val="single" w:sz="8" w:color="231F20"/>
            </w:tcBorders>
          </w:tcPr>
          <w:p>
            <w:pPr>
              <w:spacing w:after="0"/>
              <w:rPr>
                <w:sz w:val="24"/>
                <w:szCs w:val="24"/>
                <w:color w:val="auto"/>
              </w:rPr>
            </w:pPr>
          </w:p>
        </w:tc>
        <w:tc>
          <w:tcPr>
            <w:tcW w:w="4940" w:type="dxa"/>
            <w:vAlign w:val="bottom"/>
            <w:tcBorders>
              <w:top w:val="single" w:sz="8" w:color="231F20"/>
              <w:bottom w:val="single" w:sz="8" w:color="231F20"/>
            </w:tcBorders>
            <w:gridSpan w:val="2"/>
          </w:tcPr>
          <w:p>
            <w:pPr>
              <w:ind w:left="2220"/>
              <w:spacing w:after="0" w:line="286" w:lineRule="exact"/>
              <w:rPr>
                <w:sz w:val="20"/>
                <w:szCs w:val="20"/>
                <w:color w:val="auto"/>
              </w:rPr>
            </w:pPr>
            <w:r>
              <w:rPr>
                <w:rFonts w:ascii="Times New Roman" w:cs="Times New Roman" w:eastAsia="Times New Roman" w:hAnsi="Times New Roman"/>
                <w:sz w:val="17"/>
                <w:szCs w:val="17"/>
                <w:b w:val="1"/>
                <w:bCs w:val="1"/>
                <w:color w:val="231F20"/>
                <w:w w:val="96"/>
              </w:rPr>
              <w:t>ORDINARY RESOLUTIONS</w:t>
            </w:r>
            <w:r>
              <w:rPr>
                <w:rFonts w:ascii="Times New Roman" w:cs="Times New Roman" w:eastAsia="Times New Roman" w:hAnsi="Times New Roman"/>
                <w:sz w:val="27"/>
                <w:szCs w:val="27"/>
                <w:i w:val="1"/>
                <w:iCs w:val="1"/>
                <w:color w:val="231F20"/>
                <w:w w:val="96"/>
                <w:vertAlign w:val="superscript"/>
              </w:rPr>
              <w:t>(Note 6)</w:t>
            </w:r>
          </w:p>
        </w:tc>
        <w:tc>
          <w:tcPr>
            <w:tcW w:w="1680" w:type="dxa"/>
            <w:vAlign w:val="bottom"/>
            <w:tcBorders>
              <w:top w:val="single" w:sz="8" w:color="231F20"/>
              <w:bottom w:val="single" w:sz="8" w:color="231F20"/>
            </w:tcBorders>
          </w:tcPr>
          <w:p>
            <w:pPr>
              <w:spacing w:after="0"/>
              <w:rPr>
                <w:sz w:val="24"/>
                <w:szCs w:val="24"/>
                <w:color w:val="auto"/>
              </w:rPr>
            </w:pPr>
          </w:p>
        </w:tc>
        <w:tc>
          <w:tcPr>
            <w:tcW w:w="1020" w:type="dxa"/>
            <w:vAlign w:val="bottom"/>
            <w:tcBorders>
              <w:top w:val="single" w:sz="8" w:color="231F20"/>
              <w:bottom w:val="single" w:sz="8" w:color="231F20"/>
              <w:right w:val="single" w:sz="8" w:color="231F20"/>
            </w:tcBorders>
          </w:tcPr>
          <w:p>
            <w:pPr>
              <w:spacing w:after="0"/>
              <w:rPr>
                <w:sz w:val="24"/>
                <w:szCs w:val="24"/>
                <w:color w:val="auto"/>
              </w:rPr>
            </w:pPr>
          </w:p>
        </w:tc>
        <w:tc>
          <w:tcPr>
            <w:tcW w:w="1020" w:type="dxa"/>
            <w:vAlign w:val="bottom"/>
            <w:tcBorders>
              <w:top w:val="single" w:sz="8" w:color="231F20"/>
              <w:bottom w:val="single" w:sz="8" w:color="231F20"/>
              <w:right w:val="single" w:sz="8" w:color="231F20"/>
            </w:tcBorders>
          </w:tcPr>
          <w:p>
            <w:pPr>
              <w:ind w:left="320"/>
              <w:spacing w:after="0"/>
              <w:rPr>
                <w:sz w:val="20"/>
                <w:szCs w:val="20"/>
                <w:color w:val="auto"/>
              </w:rPr>
            </w:pPr>
            <w:r>
              <w:rPr>
                <w:rFonts w:ascii="Times New Roman" w:cs="Times New Roman" w:eastAsia="Times New Roman" w:hAnsi="Times New Roman"/>
                <w:sz w:val="17"/>
                <w:szCs w:val="17"/>
                <w:b w:val="1"/>
                <w:bCs w:val="1"/>
                <w:color w:val="231F20"/>
              </w:rPr>
              <w:t>FOR</w:t>
            </w:r>
          </w:p>
        </w:tc>
        <w:tc>
          <w:tcPr>
            <w:tcW w:w="1000" w:type="dxa"/>
            <w:vAlign w:val="bottom"/>
            <w:tcBorders>
              <w:top w:val="single" w:sz="8" w:color="231F20"/>
              <w:bottom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7"/>
                <w:szCs w:val="17"/>
                <w:b w:val="1"/>
                <w:bCs w:val="1"/>
                <w:color w:val="231F20"/>
              </w:rPr>
              <w:t>AGAINST</w:t>
            </w:r>
          </w:p>
        </w:tc>
        <w:tc>
          <w:tcPr>
            <w:tcW w:w="1020" w:type="dxa"/>
            <w:vAlign w:val="bottom"/>
            <w:tcBorders>
              <w:top w:val="single" w:sz="8" w:color="231F20"/>
              <w:bottom w:val="single" w:sz="8" w:color="231F20"/>
              <w:right w:val="single" w:sz="8" w:color="231F20"/>
            </w:tcBorders>
          </w:tcPr>
          <w:p>
            <w:pPr>
              <w:ind w:left="140"/>
              <w:spacing w:after="0"/>
              <w:rPr>
                <w:sz w:val="20"/>
                <w:szCs w:val="20"/>
                <w:color w:val="auto"/>
              </w:rPr>
            </w:pPr>
            <w:r>
              <w:rPr>
                <w:rFonts w:ascii="Times New Roman" w:cs="Times New Roman" w:eastAsia="Times New Roman" w:hAnsi="Times New Roman"/>
                <w:sz w:val="17"/>
                <w:szCs w:val="17"/>
                <w:b w:val="1"/>
                <w:bCs w:val="1"/>
                <w:color w:val="231F20"/>
              </w:rPr>
              <w:t>ABSTAIN</w:t>
            </w:r>
          </w:p>
        </w:tc>
        <w:tc>
          <w:tcPr>
            <w:tcW w:w="0" w:type="dxa"/>
            <w:vAlign w:val="bottom"/>
          </w:tcPr>
          <w:p>
            <w:pPr>
              <w:spacing w:after="0"/>
              <w:rPr>
                <w:sz w:val="1"/>
                <w:szCs w:val="1"/>
                <w:color w:val="auto"/>
              </w:rPr>
            </w:pPr>
          </w:p>
        </w:tc>
      </w:tr>
      <w:tr>
        <w:trPr>
          <w:trHeight w:val="201"/>
        </w:trPr>
        <w:tc>
          <w:tcPr>
            <w:tcW w:w="580" w:type="dxa"/>
            <w:vAlign w:val="bottom"/>
            <w:tcBorders>
              <w:left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w w:val="93"/>
              </w:rPr>
              <w:t>1.</w:t>
            </w:r>
          </w:p>
        </w:tc>
        <w:tc>
          <w:tcPr>
            <w:tcW w:w="76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As an ordinary resolution, to receive, consider, and adopt the audited consolidated financial statements of the</w:t>
            </w:r>
          </w:p>
        </w:tc>
        <w:tc>
          <w:tcPr>
            <w:tcW w:w="1020" w:type="dxa"/>
            <w:vAlign w:val="bottom"/>
            <w:tcBorders>
              <w:right w:val="single" w:sz="8" w:color="231F20"/>
            </w:tcBorders>
          </w:tcPr>
          <w:p>
            <w:pPr>
              <w:spacing w:after="0"/>
              <w:rPr>
                <w:sz w:val="17"/>
                <w:szCs w:val="17"/>
                <w:color w:val="auto"/>
              </w:rPr>
            </w:pPr>
          </w:p>
        </w:tc>
        <w:tc>
          <w:tcPr>
            <w:tcW w:w="1000" w:type="dxa"/>
            <w:vAlign w:val="bottom"/>
            <w:tcBorders>
              <w:right w:val="single" w:sz="8" w:color="231F20"/>
            </w:tcBorders>
          </w:tcPr>
          <w:p>
            <w:pPr>
              <w:spacing w:after="0"/>
              <w:rPr>
                <w:sz w:val="17"/>
                <w:szCs w:val="17"/>
                <w:color w:val="auto"/>
              </w:rPr>
            </w:pPr>
          </w:p>
        </w:tc>
        <w:tc>
          <w:tcPr>
            <w:tcW w:w="10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Borders>
              <w:left w:val="single" w:sz="8" w:color="231F20"/>
              <w:bottom w:val="single" w:sz="8" w:color="231F20"/>
              <w:right w:val="single" w:sz="8" w:color="231F20"/>
            </w:tcBorders>
          </w:tcPr>
          <w:p>
            <w:pPr>
              <w:spacing w:after="0"/>
              <w:rPr>
                <w:sz w:val="19"/>
                <w:szCs w:val="19"/>
                <w:color w:val="auto"/>
              </w:rPr>
            </w:pPr>
          </w:p>
        </w:tc>
        <w:tc>
          <w:tcPr>
            <w:tcW w:w="7640" w:type="dxa"/>
            <w:vAlign w:val="bottom"/>
            <w:tcBorders>
              <w:bottom w:val="single" w:sz="8" w:color="231F20"/>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Company as of and for the year ended December 31, 2025 and the report of the auditor thereon.</w:t>
            </w:r>
          </w:p>
        </w:tc>
        <w:tc>
          <w:tcPr>
            <w:tcW w:w="1020" w:type="dxa"/>
            <w:vAlign w:val="bottom"/>
            <w:tcBorders>
              <w:bottom w:val="single" w:sz="8" w:color="231F20"/>
              <w:right w:val="single" w:sz="8" w:color="231F20"/>
            </w:tcBorders>
          </w:tcPr>
          <w:p>
            <w:pPr>
              <w:spacing w:after="0"/>
              <w:rPr>
                <w:sz w:val="19"/>
                <w:szCs w:val="19"/>
                <w:color w:val="auto"/>
              </w:rPr>
            </w:pPr>
          </w:p>
        </w:tc>
        <w:tc>
          <w:tcPr>
            <w:tcW w:w="1000" w:type="dxa"/>
            <w:vAlign w:val="bottom"/>
            <w:tcBorders>
              <w:bottom w:val="single" w:sz="8" w:color="231F20"/>
              <w:right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7"/>
                <w:szCs w:val="17"/>
                <w:color w:val="231F20"/>
              </w:rPr>
              <w:t>2.(a)</w:t>
            </w:r>
          </w:p>
        </w:tc>
        <w:tc>
          <w:tcPr>
            <w:tcW w:w="7640" w:type="dxa"/>
            <w:vAlign w:val="bottom"/>
            <w:tcBorders>
              <w:bottom w:val="single" w:sz="8" w:color="231F20"/>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(i)  As an ordinary resolution, to re-elect Mr. CHEN Liaohan as an executive Director.</w:t>
            </w:r>
          </w:p>
        </w:tc>
        <w:tc>
          <w:tcPr>
            <w:tcW w:w="1020" w:type="dxa"/>
            <w:vAlign w:val="bottom"/>
            <w:tcBorders>
              <w:bottom w:val="single" w:sz="8" w:color="231F20"/>
              <w:right w:val="single" w:sz="8" w:color="231F20"/>
            </w:tcBorders>
          </w:tcPr>
          <w:p>
            <w:pPr>
              <w:spacing w:after="0"/>
              <w:rPr>
                <w:sz w:val="19"/>
                <w:szCs w:val="19"/>
                <w:color w:val="auto"/>
              </w:rPr>
            </w:pPr>
          </w:p>
        </w:tc>
        <w:tc>
          <w:tcPr>
            <w:tcW w:w="1000" w:type="dxa"/>
            <w:vAlign w:val="bottom"/>
            <w:tcBorders>
              <w:bottom w:val="single" w:sz="8" w:color="231F20"/>
              <w:right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231F20"/>
              <w:right w:val="single" w:sz="8" w:color="231F20"/>
            </w:tcBorders>
          </w:tcPr>
          <w:p>
            <w:pPr>
              <w:spacing w:after="0"/>
              <w:rPr>
                <w:sz w:val="19"/>
                <w:szCs w:val="19"/>
                <w:color w:val="auto"/>
              </w:rPr>
            </w:pPr>
          </w:p>
        </w:tc>
        <w:tc>
          <w:tcPr>
            <w:tcW w:w="7640" w:type="dxa"/>
            <w:vAlign w:val="bottom"/>
            <w:tcBorders>
              <w:bottom w:val="single" w:sz="8" w:color="231F20"/>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(ii)  As an ordinary resolution, to re-elect Mr. QIU Changheng as an independent non-executive Director.</w:t>
            </w:r>
          </w:p>
        </w:tc>
        <w:tc>
          <w:tcPr>
            <w:tcW w:w="1020" w:type="dxa"/>
            <w:vAlign w:val="bottom"/>
            <w:tcBorders>
              <w:bottom w:val="single" w:sz="8" w:color="231F20"/>
              <w:right w:val="single" w:sz="8" w:color="231F20"/>
            </w:tcBorders>
          </w:tcPr>
          <w:p>
            <w:pPr>
              <w:spacing w:after="0"/>
              <w:rPr>
                <w:sz w:val="19"/>
                <w:szCs w:val="19"/>
                <w:color w:val="auto"/>
              </w:rPr>
            </w:pPr>
          </w:p>
        </w:tc>
        <w:tc>
          <w:tcPr>
            <w:tcW w:w="1000" w:type="dxa"/>
            <w:vAlign w:val="bottom"/>
            <w:tcBorders>
              <w:bottom w:val="single" w:sz="8" w:color="231F20"/>
              <w:right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Borders>
              <w:left w:val="single" w:sz="8" w:color="231F20"/>
              <w:bottom w:val="single" w:sz="8" w:color="231F20"/>
              <w:right w:val="single" w:sz="8" w:color="231F20"/>
            </w:tcBorders>
          </w:tcPr>
          <w:p>
            <w:pPr>
              <w:spacing w:after="0"/>
              <w:rPr>
                <w:sz w:val="19"/>
                <w:szCs w:val="19"/>
                <w:color w:val="auto"/>
              </w:rPr>
            </w:pPr>
          </w:p>
        </w:tc>
        <w:tc>
          <w:tcPr>
            <w:tcW w:w="7640" w:type="dxa"/>
            <w:vAlign w:val="bottom"/>
            <w:tcBorders>
              <w:bottom w:val="single" w:sz="8" w:color="231F20"/>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(iii) As an ordinary resolution, to re-elect Mr. YIP Pak Tung Jason as an independent non-executive Director.</w:t>
            </w:r>
          </w:p>
        </w:tc>
        <w:tc>
          <w:tcPr>
            <w:tcW w:w="1020" w:type="dxa"/>
            <w:vAlign w:val="bottom"/>
            <w:tcBorders>
              <w:bottom w:val="single" w:sz="8" w:color="231F20"/>
              <w:right w:val="single" w:sz="8" w:color="231F20"/>
            </w:tcBorders>
          </w:tcPr>
          <w:p>
            <w:pPr>
              <w:spacing w:after="0"/>
              <w:rPr>
                <w:sz w:val="19"/>
                <w:szCs w:val="19"/>
                <w:color w:val="auto"/>
              </w:rPr>
            </w:pPr>
          </w:p>
        </w:tc>
        <w:tc>
          <w:tcPr>
            <w:tcW w:w="1000" w:type="dxa"/>
            <w:vAlign w:val="bottom"/>
            <w:tcBorders>
              <w:bottom w:val="single" w:sz="8" w:color="231F20"/>
              <w:right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0" w:type="dxa"/>
            <w:vAlign w:val="bottom"/>
            <w:tcBorders>
              <w:left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w w:val="98"/>
              </w:rPr>
              <w:t>2.(b)</w:t>
            </w:r>
          </w:p>
        </w:tc>
        <w:tc>
          <w:tcPr>
            <w:tcW w:w="76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As an ordinary resolution, to authorize the Board or the Compensation Committee to fix the remuneration of</w:t>
            </w:r>
          </w:p>
        </w:tc>
        <w:tc>
          <w:tcPr>
            <w:tcW w:w="1020" w:type="dxa"/>
            <w:vAlign w:val="bottom"/>
            <w:tcBorders>
              <w:right w:val="single" w:sz="8" w:color="231F20"/>
            </w:tcBorders>
          </w:tcPr>
          <w:p>
            <w:pPr>
              <w:spacing w:after="0"/>
              <w:rPr>
                <w:sz w:val="17"/>
                <w:szCs w:val="17"/>
                <w:color w:val="auto"/>
              </w:rPr>
            </w:pPr>
          </w:p>
        </w:tc>
        <w:tc>
          <w:tcPr>
            <w:tcW w:w="1000" w:type="dxa"/>
            <w:vAlign w:val="bottom"/>
            <w:tcBorders>
              <w:right w:val="single" w:sz="8" w:color="231F20"/>
            </w:tcBorders>
          </w:tcPr>
          <w:p>
            <w:pPr>
              <w:spacing w:after="0"/>
              <w:rPr>
                <w:sz w:val="17"/>
                <w:szCs w:val="17"/>
                <w:color w:val="auto"/>
              </w:rPr>
            </w:pPr>
          </w:p>
        </w:tc>
        <w:tc>
          <w:tcPr>
            <w:tcW w:w="10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Borders>
              <w:left w:val="single" w:sz="8" w:color="231F20"/>
              <w:bottom w:val="single" w:sz="8" w:color="231F20"/>
              <w:right w:val="single" w:sz="8" w:color="231F20"/>
            </w:tcBorders>
          </w:tcPr>
          <w:p>
            <w:pPr>
              <w:spacing w:after="0"/>
              <w:rPr>
                <w:sz w:val="19"/>
                <w:szCs w:val="19"/>
                <w:color w:val="auto"/>
              </w:rPr>
            </w:pPr>
          </w:p>
        </w:tc>
        <w:tc>
          <w:tcPr>
            <w:tcW w:w="4940" w:type="dxa"/>
            <w:vAlign w:val="bottom"/>
            <w:tcBorders>
              <w:bottom w:val="single" w:sz="8" w:color="231F20"/>
            </w:tcBorders>
            <w:gridSpan w:val="2"/>
          </w:tcPr>
          <w:p>
            <w:pPr>
              <w:ind w:left="80"/>
              <w:spacing w:after="0"/>
              <w:rPr>
                <w:sz w:val="20"/>
                <w:szCs w:val="20"/>
                <w:color w:val="auto"/>
              </w:rPr>
            </w:pPr>
            <w:r>
              <w:rPr>
                <w:rFonts w:ascii="Times New Roman" w:cs="Times New Roman" w:eastAsia="Times New Roman" w:hAnsi="Times New Roman"/>
                <w:sz w:val="17"/>
                <w:szCs w:val="17"/>
                <w:color w:val="231F20"/>
              </w:rPr>
              <w:t>the Directors.</w:t>
            </w:r>
          </w:p>
        </w:tc>
        <w:tc>
          <w:tcPr>
            <w:tcW w:w="168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1000" w:type="dxa"/>
            <w:vAlign w:val="bottom"/>
            <w:tcBorders>
              <w:bottom w:val="single" w:sz="8" w:color="231F20"/>
              <w:right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0" w:type="dxa"/>
            <w:vAlign w:val="bottom"/>
            <w:tcBorders>
              <w:left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w w:val="93"/>
              </w:rPr>
              <w:t>3.</w:t>
            </w:r>
          </w:p>
        </w:tc>
        <w:tc>
          <w:tcPr>
            <w:tcW w:w="76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As an ordinary resolution, to grant a general mandate to the Directors to issue, allot, and deal with additional</w:t>
            </w:r>
          </w:p>
        </w:tc>
        <w:tc>
          <w:tcPr>
            <w:tcW w:w="1020" w:type="dxa"/>
            <w:vAlign w:val="bottom"/>
            <w:tcBorders>
              <w:right w:val="single" w:sz="8" w:color="231F20"/>
            </w:tcBorders>
          </w:tcPr>
          <w:p>
            <w:pPr>
              <w:spacing w:after="0"/>
              <w:rPr>
                <w:sz w:val="17"/>
                <w:szCs w:val="17"/>
                <w:color w:val="auto"/>
              </w:rPr>
            </w:pPr>
          </w:p>
        </w:tc>
        <w:tc>
          <w:tcPr>
            <w:tcW w:w="1000" w:type="dxa"/>
            <w:vAlign w:val="bottom"/>
            <w:tcBorders>
              <w:right w:val="single" w:sz="8" w:color="231F20"/>
            </w:tcBorders>
          </w:tcPr>
          <w:p>
            <w:pPr>
              <w:spacing w:after="0"/>
              <w:rPr>
                <w:sz w:val="17"/>
                <w:szCs w:val="17"/>
                <w:color w:val="auto"/>
              </w:rPr>
            </w:pPr>
          </w:p>
        </w:tc>
        <w:tc>
          <w:tcPr>
            <w:tcW w:w="10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tcBorders>
              <w:left w:val="single" w:sz="8" w:color="231F20"/>
              <w:right w:val="single" w:sz="8" w:color="231F20"/>
            </w:tcBorders>
          </w:tcPr>
          <w:p>
            <w:pPr>
              <w:spacing w:after="0"/>
              <w:rPr>
                <w:sz w:val="17"/>
                <w:szCs w:val="17"/>
                <w:color w:val="auto"/>
              </w:rPr>
            </w:pPr>
          </w:p>
        </w:tc>
        <w:tc>
          <w:tcPr>
            <w:tcW w:w="76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Class A Ordinary Shares and/or ADSs of the Company, or sell and/or transfer Class A Ordinary Shares out of</w:t>
            </w:r>
          </w:p>
        </w:tc>
        <w:tc>
          <w:tcPr>
            <w:tcW w:w="1020" w:type="dxa"/>
            <w:vAlign w:val="bottom"/>
            <w:tcBorders>
              <w:right w:val="single" w:sz="8" w:color="231F20"/>
            </w:tcBorders>
          </w:tcPr>
          <w:p>
            <w:pPr>
              <w:spacing w:after="0"/>
              <w:rPr>
                <w:sz w:val="17"/>
                <w:szCs w:val="17"/>
                <w:color w:val="auto"/>
              </w:rPr>
            </w:pPr>
          </w:p>
        </w:tc>
        <w:tc>
          <w:tcPr>
            <w:tcW w:w="1000" w:type="dxa"/>
            <w:vAlign w:val="bottom"/>
            <w:tcBorders>
              <w:right w:val="single" w:sz="8" w:color="231F20"/>
            </w:tcBorders>
          </w:tcPr>
          <w:p>
            <w:pPr>
              <w:spacing w:after="0"/>
              <w:rPr>
                <w:sz w:val="17"/>
                <w:szCs w:val="17"/>
                <w:color w:val="auto"/>
              </w:rPr>
            </w:pPr>
          </w:p>
        </w:tc>
        <w:tc>
          <w:tcPr>
            <w:tcW w:w="10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tcBorders>
              <w:left w:val="single" w:sz="8" w:color="231F20"/>
              <w:right w:val="single" w:sz="8" w:color="231F20"/>
            </w:tcBorders>
          </w:tcPr>
          <w:p>
            <w:pPr>
              <w:spacing w:after="0"/>
              <w:rPr>
                <w:sz w:val="17"/>
                <w:szCs w:val="17"/>
                <w:color w:val="auto"/>
              </w:rPr>
            </w:pPr>
          </w:p>
        </w:tc>
        <w:tc>
          <w:tcPr>
            <w:tcW w:w="76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w w:val="99"/>
              </w:rPr>
              <w:t>treasury that are held as treasury shares not exceeding 20% of the total number of issued Shares (excluding any</w:t>
            </w:r>
          </w:p>
        </w:tc>
        <w:tc>
          <w:tcPr>
            <w:tcW w:w="1020" w:type="dxa"/>
            <w:vAlign w:val="bottom"/>
            <w:tcBorders>
              <w:right w:val="single" w:sz="8" w:color="231F20"/>
            </w:tcBorders>
          </w:tcPr>
          <w:p>
            <w:pPr>
              <w:spacing w:after="0"/>
              <w:rPr>
                <w:sz w:val="17"/>
                <w:szCs w:val="17"/>
                <w:color w:val="auto"/>
              </w:rPr>
            </w:pPr>
          </w:p>
        </w:tc>
        <w:tc>
          <w:tcPr>
            <w:tcW w:w="1000" w:type="dxa"/>
            <w:vAlign w:val="bottom"/>
            <w:tcBorders>
              <w:right w:val="single" w:sz="8" w:color="231F20"/>
            </w:tcBorders>
          </w:tcPr>
          <w:p>
            <w:pPr>
              <w:spacing w:after="0"/>
              <w:rPr>
                <w:sz w:val="17"/>
                <w:szCs w:val="17"/>
                <w:color w:val="auto"/>
              </w:rPr>
            </w:pPr>
          </w:p>
        </w:tc>
        <w:tc>
          <w:tcPr>
            <w:tcW w:w="10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Borders>
              <w:left w:val="single" w:sz="8" w:color="231F20"/>
              <w:bottom w:val="single" w:sz="8" w:color="231F20"/>
              <w:right w:val="single" w:sz="8" w:color="231F20"/>
            </w:tcBorders>
          </w:tcPr>
          <w:p>
            <w:pPr>
              <w:spacing w:after="0"/>
              <w:rPr>
                <w:sz w:val="19"/>
                <w:szCs w:val="19"/>
                <w:color w:val="auto"/>
              </w:rPr>
            </w:pPr>
          </w:p>
        </w:tc>
        <w:tc>
          <w:tcPr>
            <w:tcW w:w="7640" w:type="dxa"/>
            <w:vAlign w:val="bottom"/>
            <w:tcBorders>
              <w:bottom w:val="single" w:sz="8" w:color="231F20"/>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treasury shares) of the Company as of the date of passing of this resolution.</w:t>
            </w:r>
          </w:p>
        </w:tc>
        <w:tc>
          <w:tcPr>
            <w:tcW w:w="1020" w:type="dxa"/>
            <w:vAlign w:val="bottom"/>
            <w:tcBorders>
              <w:bottom w:val="single" w:sz="8" w:color="231F20"/>
              <w:right w:val="single" w:sz="8" w:color="231F20"/>
            </w:tcBorders>
          </w:tcPr>
          <w:p>
            <w:pPr>
              <w:spacing w:after="0"/>
              <w:rPr>
                <w:sz w:val="19"/>
                <w:szCs w:val="19"/>
                <w:color w:val="auto"/>
              </w:rPr>
            </w:pPr>
          </w:p>
        </w:tc>
        <w:tc>
          <w:tcPr>
            <w:tcW w:w="1000" w:type="dxa"/>
            <w:vAlign w:val="bottom"/>
            <w:tcBorders>
              <w:bottom w:val="single" w:sz="8" w:color="231F20"/>
              <w:right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0" w:type="dxa"/>
            <w:vAlign w:val="bottom"/>
            <w:tcBorders>
              <w:left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w w:val="93"/>
              </w:rPr>
              <w:t>4.</w:t>
            </w:r>
          </w:p>
        </w:tc>
        <w:tc>
          <w:tcPr>
            <w:tcW w:w="76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w w:val="99"/>
              </w:rPr>
              <w:t>As an ordinary resolution, to grant a general mandate to the Directors to repurchase Shares and/or ADSs of the</w:t>
            </w:r>
          </w:p>
        </w:tc>
        <w:tc>
          <w:tcPr>
            <w:tcW w:w="1020" w:type="dxa"/>
            <w:vAlign w:val="bottom"/>
            <w:tcBorders>
              <w:right w:val="single" w:sz="8" w:color="231F20"/>
            </w:tcBorders>
          </w:tcPr>
          <w:p>
            <w:pPr>
              <w:spacing w:after="0"/>
              <w:rPr>
                <w:sz w:val="17"/>
                <w:szCs w:val="17"/>
                <w:color w:val="auto"/>
              </w:rPr>
            </w:pPr>
          </w:p>
        </w:tc>
        <w:tc>
          <w:tcPr>
            <w:tcW w:w="1000" w:type="dxa"/>
            <w:vAlign w:val="bottom"/>
            <w:tcBorders>
              <w:right w:val="single" w:sz="8" w:color="231F20"/>
            </w:tcBorders>
          </w:tcPr>
          <w:p>
            <w:pPr>
              <w:spacing w:after="0"/>
              <w:rPr>
                <w:sz w:val="17"/>
                <w:szCs w:val="17"/>
                <w:color w:val="auto"/>
              </w:rPr>
            </w:pPr>
          </w:p>
        </w:tc>
        <w:tc>
          <w:tcPr>
            <w:tcW w:w="10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tcBorders>
              <w:left w:val="single" w:sz="8" w:color="231F20"/>
              <w:right w:val="single" w:sz="8" w:color="231F20"/>
            </w:tcBorders>
          </w:tcPr>
          <w:p>
            <w:pPr>
              <w:spacing w:after="0"/>
              <w:rPr>
                <w:sz w:val="17"/>
                <w:szCs w:val="17"/>
                <w:color w:val="auto"/>
              </w:rPr>
            </w:pPr>
          </w:p>
        </w:tc>
        <w:tc>
          <w:tcPr>
            <w:tcW w:w="76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Company not exceeding 10% of the total number of issued Shares of the Company (excluding any treasury</w:t>
            </w:r>
          </w:p>
        </w:tc>
        <w:tc>
          <w:tcPr>
            <w:tcW w:w="1020" w:type="dxa"/>
            <w:vAlign w:val="bottom"/>
            <w:tcBorders>
              <w:right w:val="single" w:sz="8" w:color="231F20"/>
            </w:tcBorders>
          </w:tcPr>
          <w:p>
            <w:pPr>
              <w:spacing w:after="0"/>
              <w:rPr>
                <w:sz w:val="17"/>
                <w:szCs w:val="17"/>
                <w:color w:val="auto"/>
              </w:rPr>
            </w:pPr>
          </w:p>
        </w:tc>
        <w:tc>
          <w:tcPr>
            <w:tcW w:w="1000" w:type="dxa"/>
            <w:vAlign w:val="bottom"/>
            <w:tcBorders>
              <w:right w:val="single" w:sz="8" w:color="231F20"/>
            </w:tcBorders>
          </w:tcPr>
          <w:p>
            <w:pPr>
              <w:spacing w:after="0"/>
              <w:rPr>
                <w:sz w:val="17"/>
                <w:szCs w:val="17"/>
                <w:color w:val="auto"/>
              </w:rPr>
            </w:pPr>
          </w:p>
        </w:tc>
        <w:tc>
          <w:tcPr>
            <w:tcW w:w="10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Borders>
              <w:left w:val="single" w:sz="8" w:color="231F20"/>
              <w:bottom w:val="single" w:sz="8" w:color="231F20"/>
              <w:right w:val="single" w:sz="8" w:color="231F20"/>
            </w:tcBorders>
          </w:tcPr>
          <w:p>
            <w:pPr>
              <w:spacing w:after="0"/>
              <w:rPr>
                <w:sz w:val="19"/>
                <w:szCs w:val="19"/>
                <w:color w:val="auto"/>
              </w:rPr>
            </w:pPr>
          </w:p>
        </w:tc>
        <w:tc>
          <w:tcPr>
            <w:tcW w:w="4940" w:type="dxa"/>
            <w:vAlign w:val="bottom"/>
            <w:tcBorders>
              <w:bottom w:val="single" w:sz="8" w:color="231F20"/>
            </w:tcBorders>
            <w:gridSpan w:val="2"/>
          </w:tcPr>
          <w:p>
            <w:pPr>
              <w:ind w:left="80"/>
              <w:spacing w:after="0"/>
              <w:rPr>
                <w:sz w:val="20"/>
                <w:szCs w:val="20"/>
                <w:color w:val="auto"/>
              </w:rPr>
            </w:pPr>
            <w:r>
              <w:rPr>
                <w:rFonts w:ascii="Times New Roman" w:cs="Times New Roman" w:eastAsia="Times New Roman" w:hAnsi="Times New Roman"/>
                <w:sz w:val="17"/>
                <w:szCs w:val="17"/>
                <w:color w:val="231F20"/>
              </w:rPr>
              <w:t>shares) as of the date of passing of this resolution.</w:t>
            </w:r>
          </w:p>
        </w:tc>
        <w:tc>
          <w:tcPr>
            <w:tcW w:w="168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1000" w:type="dxa"/>
            <w:vAlign w:val="bottom"/>
            <w:tcBorders>
              <w:bottom w:val="single" w:sz="8" w:color="231F20"/>
              <w:right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0" w:type="dxa"/>
            <w:vAlign w:val="bottom"/>
            <w:tcBorders>
              <w:left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w w:val="93"/>
              </w:rPr>
              <w:t>5.</w:t>
            </w:r>
          </w:p>
        </w:tc>
        <w:tc>
          <w:tcPr>
            <w:tcW w:w="76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As an ordinary resolution, to extend the general mandate granted to the Directors to issue, allot, and deal with</w:t>
            </w:r>
          </w:p>
        </w:tc>
        <w:tc>
          <w:tcPr>
            <w:tcW w:w="1020" w:type="dxa"/>
            <w:vAlign w:val="bottom"/>
            <w:tcBorders>
              <w:right w:val="single" w:sz="8" w:color="231F20"/>
            </w:tcBorders>
          </w:tcPr>
          <w:p>
            <w:pPr>
              <w:spacing w:after="0"/>
              <w:rPr>
                <w:sz w:val="17"/>
                <w:szCs w:val="17"/>
                <w:color w:val="auto"/>
              </w:rPr>
            </w:pPr>
          </w:p>
        </w:tc>
        <w:tc>
          <w:tcPr>
            <w:tcW w:w="1000" w:type="dxa"/>
            <w:vAlign w:val="bottom"/>
            <w:tcBorders>
              <w:right w:val="single" w:sz="8" w:color="231F20"/>
            </w:tcBorders>
          </w:tcPr>
          <w:p>
            <w:pPr>
              <w:spacing w:after="0"/>
              <w:rPr>
                <w:sz w:val="17"/>
                <w:szCs w:val="17"/>
                <w:color w:val="auto"/>
              </w:rPr>
            </w:pPr>
          </w:p>
        </w:tc>
        <w:tc>
          <w:tcPr>
            <w:tcW w:w="10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tcBorders>
              <w:left w:val="single" w:sz="8" w:color="231F20"/>
              <w:right w:val="single" w:sz="8" w:color="231F20"/>
            </w:tcBorders>
          </w:tcPr>
          <w:p>
            <w:pPr>
              <w:spacing w:after="0"/>
              <w:rPr>
                <w:sz w:val="17"/>
                <w:szCs w:val="17"/>
                <w:color w:val="auto"/>
              </w:rPr>
            </w:pPr>
          </w:p>
        </w:tc>
        <w:tc>
          <w:tcPr>
            <w:tcW w:w="76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w w:val="99"/>
              </w:rPr>
              <w:t>additional Shares and/or ADSs, or sell and/or transfer additional Shares out of treasury that are held as treasury</w:t>
            </w:r>
          </w:p>
        </w:tc>
        <w:tc>
          <w:tcPr>
            <w:tcW w:w="1020" w:type="dxa"/>
            <w:vAlign w:val="bottom"/>
            <w:tcBorders>
              <w:right w:val="single" w:sz="8" w:color="231F20"/>
            </w:tcBorders>
          </w:tcPr>
          <w:p>
            <w:pPr>
              <w:spacing w:after="0"/>
              <w:rPr>
                <w:sz w:val="17"/>
                <w:szCs w:val="17"/>
                <w:color w:val="auto"/>
              </w:rPr>
            </w:pPr>
          </w:p>
        </w:tc>
        <w:tc>
          <w:tcPr>
            <w:tcW w:w="1000" w:type="dxa"/>
            <w:vAlign w:val="bottom"/>
            <w:tcBorders>
              <w:right w:val="single" w:sz="8" w:color="231F20"/>
            </w:tcBorders>
          </w:tcPr>
          <w:p>
            <w:pPr>
              <w:spacing w:after="0"/>
              <w:rPr>
                <w:sz w:val="17"/>
                <w:szCs w:val="17"/>
                <w:color w:val="auto"/>
              </w:rPr>
            </w:pPr>
          </w:p>
        </w:tc>
        <w:tc>
          <w:tcPr>
            <w:tcW w:w="10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tcBorders>
              <w:left w:val="single" w:sz="8" w:color="231F20"/>
              <w:right w:val="single" w:sz="8" w:color="231F20"/>
            </w:tcBorders>
          </w:tcPr>
          <w:p>
            <w:pPr>
              <w:spacing w:after="0"/>
              <w:rPr>
                <w:sz w:val="17"/>
                <w:szCs w:val="17"/>
                <w:color w:val="auto"/>
              </w:rPr>
            </w:pPr>
          </w:p>
        </w:tc>
        <w:tc>
          <w:tcPr>
            <w:tcW w:w="76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shares, in the capital of the Company by the aggregate number of the Shares and/or Shares underlying the</w:t>
            </w:r>
          </w:p>
        </w:tc>
        <w:tc>
          <w:tcPr>
            <w:tcW w:w="1020" w:type="dxa"/>
            <w:vAlign w:val="bottom"/>
            <w:tcBorders>
              <w:right w:val="single" w:sz="8" w:color="231F20"/>
            </w:tcBorders>
          </w:tcPr>
          <w:p>
            <w:pPr>
              <w:spacing w:after="0"/>
              <w:rPr>
                <w:sz w:val="17"/>
                <w:szCs w:val="17"/>
                <w:color w:val="auto"/>
              </w:rPr>
            </w:pPr>
          </w:p>
        </w:tc>
        <w:tc>
          <w:tcPr>
            <w:tcW w:w="1000" w:type="dxa"/>
            <w:vAlign w:val="bottom"/>
            <w:tcBorders>
              <w:right w:val="single" w:sz="8" w:color="231F20"/>
            </w:tcBorders>
          </w:tcPr>
          <w:p>
            <w:pPr>
              <w:spacing w:after="0"/>
              <w:rPr>
                <w:sz w:val="17"/>
                <w:szCs w:val="17"/>
                <w:color w:val="auto"/>
              </w:rPr>
            </w:pPr>
          </w:p>
        </w:tc>
        <w:tc>
          <w:tcPr>
            <w:tcW w:w="10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Borders>
              <w:left w:val="single" w:sz="8" w:color="231F20"/>
              <w:bottom w:val="single" w:sz="8" w:color="231F20"/>
              <w:right w:val="single" w:sz="8" w:color="231F20"/>
            </w:tcBorders>
          </w:tcPr>
          <w:p>
            <w:pPr>
              <w:spacing w:after="0"/>
              <w:rPr>
                <w:sz w:val="19"/>
                <w:szCs w:val="19"/>
                <w:color w:val="auto"/>
              </w:rPr>
            </w:pPr>
          </w:p>
        </w:tc>
        <w:tc>
          <w:tcPr>
            <w:tcW w:w="4940" w:type="dxa"/>
            <w:vAlign w:val="bottom"/>
            <w:tcBorders>
              <w:bottom w:val="single" w:sz="8" w:color="231F20"/>
            </w:tcBorders>
            <w:gridSpan w:val="2"/>
          </w:tcPr>
          <w:p>
            <w:pPr>
              <w:ind w:left="80"/>
              <w:spacing w:after="0"/>
              <w:rPr>
                <w:sz w:val="20"/>
                <w:szCs w:val="20"/>
                <w:color w:val="auto"/>
              </w:rPr>
            </w:pPr>
            <w:r>
              <w:rPr>
                <w:rFonts w:ascii="Times New Roman" w:cs="Times New Roman" w:eastAsia="Times New Roman" w:hAnsi="Times New Roman"/>
                <w:sz w:val="17"/>
                <w:szCs w:val="17"/>
                <w:color w:val="231F20"/>
              </w:rPr>
              <w:t>ADSs repurchased by the Company.</w:t>
            </w:r>
          </w:p>
        </w:tc>
        <w:tc>
          <w:tcPr>
            <w:tcW w:w="1680" w:type="dxa"/>
            <w:vAlign w:val="bottom"/>
            <w:tcBorders>
              <w:bottom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1000" w:type="dxa"/>
            <w:vAlign w:val="bottom"/>
            <w:tcBorders>
              <w:bottom w:val="single" w:sz="8" w:color="231F20"/>
              <w:right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0" w:type="dxa"/>
            <w:vAlign w:val="bottom"/>
            <w:tcBorders>
              <w:left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w w:val="93"/>
              </w:rPr>
              <w:t>6.</w:t>
            </w:r>
          </w:p>
        </w:tc>
        <w:tc>
          <w:tcPr>
            <w:tcW w:w="76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As an ordinary resolution, to re-appoint PricewaterhouseCoopers and PricewaterhouseCoopers Zhong Tian</w:t>
            </w:r>
          </w:p>
        </w:tc>
        <w:tc>
          <w:tcPr>
            <w:tcW w:w="1020" w:type="dxa"/>
            <w:vAlign w:val="bottom"/>
            <w:tcBorders>
              <w:right w:val="single" w:sz="8" w:color="231F20"/>
            </w:tcBorders>
          </w:tcPr>
          <w:p>
            <w:pPr>
              <w:spacing w:after="0"/>
              <w:rPr>
                <w:sz w:val="17"/>
                <w:szCs w:val="17"/>
                <w:color w:val="auto"/>
              </w:rPr>
            </w:pPr>
          </w:p>
        </w:tc>
        <w:tc>
          <w:tcPr>
            <w:tcW w:w="1000" w:type="dxa"/>
            <w:vAlign w:val="bottom"/>
            <w:tcBorders>
              <w:right w:val="single" w:sz="8" w:color="231F20"/>
            </w:tcBorders>
          </w:tcPr>
          <w:p>
            <w:pPr>
              <w:spacing w:after="0"/>
              <w:rPr>
                <w:sz w:val="17"/>
                <w:szCs w:val="17"/>
                <w:color w:val="auto"/>
              </w:rPr>
            </w:pPr>
          </w:p>
        </w:tc>
        <w:tc>
          <w:tcPr>
            <w:tcW w:w="10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0" w:type="dxa"/>
            <w:vAlign w:val="bottom"/>
            <w:tcBorders>
              <w:left w:val="single" w:sz="8" w:color="231F20"/>
              <w:right w:val="single" w:sz="8" w:color="231F20"/>
            </w:tcBorders>
          </w:tcPr>
          <w:p>
            <w:pPr>
              <w:spacing w:after="0"/>
              <w:rPr>
                <w:sz w:val="17"/>
                <w:szCs w:val="17"/>
                <w:color w:val="auto"/>
              </w:rPr>
            </w:pPr>
          </w:p>
        </w:tc>
        <w:tc>
          <w:tcPr>
            <w:tcW w:w="76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LLP as auditors of the Company to hold office until the conclusion of the next annual general meeting of the</w:t>
            </w:r>
          </w:p>
        </w:tc>
        <w:tc>
          <w:tcPr>
            <w:tcW w:w="1020" w:type="dxa"/>
            <w:vAlign w:val="bottom"/>
            <w:tcBorders>
              <w:right w:val="single" w:sz="8" w:color="231F20"/>
            </w:tcBorders>
          </w:tcPr>
          <w:p>
            <w:pPr>
              <w:spacing w:after="0"/>
              <w:rPr>
                <w:sz w:val="17"/>
                <w:szCs w:val="17"/>
                <w:color w:val="auto"/>
              </w:rPr>
            </w:pPr>
          </w:p>
        </w:tc>
        <w:tc>
          <w:tcPr>
            <w:tcW w:w="1000" w:type="dxa"/>
            <w:vAlign w:val="bottom"/>
            <w:tcBorders>
              <w:right w:val="single" w:sz="8" w:color="231F20"/>
            </w:tcBorders>
          </w:tcPr>
          <w:p>
            <w:pPr>
              <w:spacing w:after="0"/>
              <w:rPr>
                <w:sz w:val="17"/>
                <w:szCs w:val="17"/>
                <w:color w:val="auto"/>
              </w:rPr>
            </w:pPr>
          </w:p>
        </w:tc>
        <w:tc>
          <w:tcPr>
            <w:tcW w:w="102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tcBorders>
              <w:left w:val="single" w:sz="8" w:color="231F20"/>
              <w:bottom w:val="single" w:sz="8" w:color="231F20"/>
              <w:right w:val="single" w:sz="8" w:color="231F20"/>
            </w:tcBorders>
          </w:tcPr>
          <w:p>
            <w:pPr>
              <w:spacing w:after="0"/>
              <w:rPr>
                <w:sz w:val="19"/>
                <w:szCs w:val="19"/>
                <w:color w:val="auto"/>
              </w:rPr>
            </w:pPr>
          </w:p>
        </w:tc>
        <w:tc>
          <w:tcPr>
            <w:tcW w:w="7640" w:type="dxa"/>
            <w:vAlign w:val="bottom"/>
            <w:tcBorders>
              <w:bottom w:val="single" w:sz="8" w:color="231F20"/>
              <w:right w:val="single" w:sz="8" w:color="231F20"/>
            </w:tcBorders>
            <w:gridSpan w:val="4"/>
          </w:tcPr>
          <w:p>
            <w:pPr>
              <w:ind w:left="80"/>
              <w:spacing w:after="0"/>
              <w:rPr>
                <w:sz w:val="20"/>
                <w:szCs w:val="20"/>
                <w:color w:val="auto"/>
              </w:rPr>
            </w:pPr>
            <w:r>
              <w:rPr>
                <w:rFonts w:ascii="Times New Roman" w:cs="Times New Roman" w:eastAsia="Times New Roman" w:hAnsi="Times New Roman"/>
                <w:sz w:val="17"/>
                <w:szCs w:val="17"/>
                <w:color w:val="231F20"/>
              </w:rPr>
              <w:t>Company and to authorize the Board to fix their remuneration for the year ending December 31, 2026.</w:t>
            </w:r>
          </w:p>
        </w:tc>
        <w:tc>
          <w:tcPr>
            <w:tcW w:w="1020" w:type="dxa"/>
            <w:vAlign w:val="bottom"/>
            <w:tcBorders>
              <w:bottom w:val="single" w:sz="8" w:color="231F20"/>
              <w:right w:val="single" w:sz="8" w:color="231F20"/>
            </w:tcBorders>
          </w:tcPr>
          <w:p>
            <w:pPr>
              <w:spacing w:after="0"/>
              <w:rPr>
                <w:sz w:val="19"/>
                <w:szCs w:val="19"/>
                <w:color w:val="auto"/>
              </w:rPr>
            </w:pPr>
          </w:p>
        </w:tc>
        <w:tc>
          <w:tcPr>
            <w:tcW w:w="1000" w:type="dxa"/>
            <w:vAlign w:val="bottom"/>
            <w:tcBorders>
              <w:bottom w:val="single" w:sz="8" w:color="231F20"/>
              <w:right w:val="single" w:sz="8" w:color="231F20"/>
            </w:tcBorders>
          </w:tcPr>
          <w:p>
            <w:pPr>
              <w:spacing w:after="0"/>
              <w:rPr>
                <w:sz w:val="19"/>
                <w:szCs w:val="19"/>
                <w:color w:val="auto"/>
              </w:rPr>
            </w:pPr>
          </w:p>
        </w:tc>
        <w:tc>
          <w:tcPr>
            <w:tcW w:w="1020" w:type="dxa"/>
            <w:vAlign w:val="bottom"/>
            <w:tcBorders>
              <w:bottom w:val="single" w:sz="8" w:color="231F20"/>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Dated:</w:t>
            </w:r>
          </w:p>
        </w:tc>
        <w:tc>
          <w:tcPr>
            <w:tcW w:w="2660" w:type="dxa"/>
            <w:vAlign w:val="bottom"/>
            <w:tcBorders>
              <w:bottom w:val="single" w:sz="8" w:color="auto"/>
            </w:tcBorders>
          </w:tcPr>
          <w:p>
            <w:pPr>
              <w:spacing w:after="0"/>
              <w:rPr>
                <w:sz w:val="24"/>
                <w:szCs w:val="24"/>
                <w:color w:val="auto"/>
              </w:rPr>
            </w:pPr>
          </w:p>
        </w:tc>
        <w:tc>
          <w:tcPr>
            <w:tcW w:w="2280" w:type="dxa"/>
            <w:vAlign w:val="bottom"/>
            <w:vMerge w:val="restart"/>
          </w:tcPr>
          <w:p>
            <w:pPr>
              <w:jc w:val="right"/>
              <w:ind w:right="1777"/>
              <w:spacing w:after="0"/>
              <w:rPr>
                <w:sz w:val="20"/>
                <w:szCs w:val="20"/>
                <w:color w:val="auto"/>
              </w:rPr>
            </w:pPr>
            <w:r>
              <w:rPr>
                <w:rFonts w:ascii="Times New Roman" w:cs="Times New Roman" w:eastAsia="Times New Roman" w:hAnsi="Times New Roman"/>
                <w:sz w:val="17"/>
                <w:szCs w:val="17"/>
                <w:color w:val="auto"/>
                <w:w w:val="94"/>
              </w:rPr>
              <w:t>, 2026</w:t>
            </w:r>
          </w:p>
        </w:tc>
        <w:tc>
          <w:tcPr>
            <w:tcW w:w="3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auto"/>
              </w:rPr>
              <w:t>Signature(s)</w:t>
            </w:r>
            <w:r>
              <w:rPr>
                <w:rFonts w:ascii="Times New Roman" w:cs="Times New Roman" w:eastAsia="Times New Roman" w:hAnsi="Times New Roman"/>
                <w:sz w:val="27"/>
                <w:szCs w:val="27"/>
                <w:i w:val="1"/>
                <w:iCs w:val="1"/>
                <w:color w:val="auto"/>
                <w:vertAlign w:val="superscript"/>
              </w:rPr>
              <w:t>(Note 7)</w:t>
            </w:r>
            <w:r>
              <w:rPr>
                <w:rFonts w:ascii="Times New Roman" w:cs="Times New Roman" w:eastAsia="Times New Roman" w:hAnsi="Times New Roman"/>
                <w:sz w:val="17"/>
                <w:szCs w:val="17"/>
                <w:color w:val="auto"/>
              </w:rPr>
              <w:t>:</w:t>
            </w: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580" w:type="dxa"/>
            <w:vAlign w:val="bottom"/>
            <w:vMerge w:val="continue"/>
          </w:tcPr>
          <w:p>
            <w:pPr>
              <w:spacing w:after="0"/>
              <w:rPr>
                <w:sz w:val="3"/>
                <w:szCs w:val="3"/>
                <w:color w:val="auto"/>
              </w:rPr>
            </w:pPr>
          </w:p>
        </w:tc>
        <w:tc>
          <w:tcPr>
            <w:tcW w:w="2660" w:type="dxa"/>
            <w:vAlign w:val="bottom"/>
          </w:tcPr>
          <w:p>
            <w:pPr>
              <w:spacing w:after="0"/>
              <w:rPr>
                <w:sz w:val="3"/>
                <w:szCs w:val="3"/>
                <w:color w:val="auto"/>
              </w:rPr>
            </w:pPr>
          </w:p>
        </w:tc>
        <w:tc>
          <w:tcPr>
            <w:tcW w:w="2280" w:type="dxa"/>
            <w:vAlign w:val="bottom"/>
            <w:vMerge w:val="continue"/>
          </w:tcPr>
          <w:p>
            <w:pPr>
              <w:spacing w:after="0"/>
              <w:rPr>
                <w:sz w:val="3"/>
                <w:szCs w:val="3"/>
                <w:color w:val="auto"/>
              </w:rPr>
            </w:pPr>
          </w:p>
        </w:tc>
        <w:tc>
          <w:tcPr>
            <w:tcW w:w="3720" w:type="dxa"/>
            <w:vAlign w:val="bottom"/>
            <w:gridSpan w:val="3"/>
            <w:vMerge w:val="continue"/>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7"/>
        </w:trPr>
        <w:tc>
          <w:tcPr>
            <w:tcW w:w="5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color w:val="231F20"/>
        </w:rPr>
        <w:t>Notes:</w:t>
      </w:r>
    </w:p>
    <w:p>
      <w:pPr>
        <w:spacing w:after="0" w:line="23" w:lineRule="exact"/>
        <w:rPr>
          <w:sz w:val="20"/>
          <w:szCs w:val="20"/>
          <w:color w:val="auto"/>
        </w:rPr>
      </w:pPr>
    </w:p>
    <w:p>
      <w:pPr>
        <w:jc w:val="both"/>
        <w:ind w:left="580" w:hanging="580"/>
        <w:spacing w:after="0" w:line="245" w:lineRule="auto"/>
        <w:tabs>
          <w:tab w:leader="none" w:pos="580"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Please delete as appropriate and insert the number of shares to which this form of proxy relates. If no number is inserted, this form of proxy will be deemed to relate to all the shares of the Company registered in your name(s). If more than one proxy is appointed, the number of shares in respect of which each such proxy so appointed must be specified.</w:t>
      </w:r>
    </w:p>
    <w:p>
      <w:pPr>
        <w:ind w:left="580" w:hanging="580"/>
        <w:spacing w:after="0"/>
        <w:tabs>
          <w:tab w:leader="none" w:pos="580"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Full name(s) and address(es) to be inserted in </w:t>
      </w:r>
      <w:r>
        <w:rPr>
          <w:rFonts w:ascii="Times New Roman" w:cs="Times New Roman" w:eastAsia="Times New Roman" w:hAnsi="Times New Roman"/>
          <w:sz w:val="17"/>
          <w:szCs w:val="17"/>
          <w:b w:val="1"/>
          <w:bCs w:val="1"/>
          <w:color w:val="231F20"/>
        </w:rPr>
        <w:t>BLOCK CAPITALS</w:t>
      </w:r>
      <w:r>
        <w:rPr>
          <w:rFonts w:ascii="Times New Roman" w:cs="Times New Roman" w:eastAsia="Times New Roman" w:hAnsi="Times New Roman"/>
          <w:sz w:val="17"/>
          <w:szCs w:val="17"/>
          <w:color w:val="231F20"/>
        </w:rPr>
        <w:t>.</w:t>
      </w:r>
    </w:p>
    <w:p>
      <w:pPr>
        <w:spacing w:after="0" w:line="4" w:lineRule="exact"/>
        <w:rPr>
          <w:rFonts w:ascii="Times New Roman" w:cs="Times New Roman" w:eastAsia="Times New Roman" w:hAnsi="Times New Roman"/>
          <w:sz w:val="17"/>
          <w:szCs w:val="17"/>
          <w:color w:val="231F20"/>
        </w:rPr>
      </w:pPr>
    </w:p>
    <w:p>
      <w:pPr>
        <w:ind w:left="580" w:hanging="580"/>
        <w:spacing w:after="0"/>
        <w:tabs>
          <w:tab w:leader="none" w:pos="580"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Please insert the number of shares of the Company registered in your name(s) and delete as appropriate.</w:t>
      </w:r>
    </w:p>
    <w:p>
      <w:pPr>
        <w:spacing w:after="0" w:line="4" w:lineRule="exact"/>
        <w:rPr>
          <w:rFonts w:ascii="Times New Roman" w:cs="Times New Roman" w:eastAsia="Times New Roman" w:hAnsi="Times New Roman"/>
          <w:sz w:val="17"/>
          <w:szCs w:val="17"/>
          <w:color w:val="231F20"/>
        </w:rPr>
      </w:pPr>
    </w:p>
    <w:p>
      <w:pPr>
        <w:jc w:val="both"/>
        <w:ind w:left="580" w:hanging="580"/>
        <w:spacing w:after="0" w:line="245" w:lineRule="auto"/>
        <w:tabs>
          <w:tab w:leader="none" w:pos="580"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any proxy other than the chairman of the meeting is preferred, please strike out the words “the chairman of the meeting” and insert the name and address of the proxy desired in the space provided. Any shareholder of the Company entitled to attend and vote at the AGM is entitled to appoint proxy, and any shareholder of the Company who is the holder of two or more Shares and entitled to attend and vote at the AGM is able to appoint any number of proxies (who must be individuals) to attend and vote instead of him/her. A proxy need not be a shareholder of the Company.</w:t>
      </w:r>
    </w:p>
    <w:p>
      <w:pPr>
        <w:jc w:val="both"/>
        <w:ind w:left="580" w:hanging="580"/>
        <w:spacing w:after="0" w:line="200" w:lineRule="exact"/>
        <w:tabs>
          <w:tab w:leader="none" w:pos="580" w:val="left"/>
        </w:tabs>
        <w:numPr>
          <w:ilvl w:val="0"/>
          <w:numId w:val="4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b w:val="1"/>
          <w:bCs w:val="1"/>
          <w:color w:val="231F20"/>
        </w:rPr>
        <w:t>IMPORTANT: IF YOU WISH TO VOTE FOR A RESOLUTION, PLEASE TICK (“</w:t>
      </w:r>
      <w:r>
        <w:rPr>
          <w:rFonts w:ascii="MS PGothic" w:cs="MS PGothic" w:eastAsia="MS PGothic" w:hAnsi="MS PGothic"/>
          <w:sz w:val="16"/>
          <w:szCs w:val="16"/>
          <w:color w:val="231F20"/>
        </w:rPr>
        <w:t>✓</w:t>
      </w:r>
      <w:r>
        <w:rPr>
          <w:rFonts w:ascii="Times New Roman" w:cs="Times New Roman" w:eastAsia="Times New Roman" w:hAnsi="Times New Roman"/>
          <w:sz w:val="16"/>
          <w:szCs w:val="16"/>
          <w:b w:val="1"/>
          <w:bCs w:val="1"/>
          <w:color w:val="231F20"/>
        </w:rPr>
        <w:t>”) THE BOX MARKED “FOR.” IF YOU WISH TO VOTE AGAINST A RESOLUTION, PLEASE TICK (“</w:t>
      </w:r>
      <w:r>
        <w:rPr>
          <w:rFonts w:ascii="MS PGothic" w:cs="MS PGothic" w:eastAsia="MS PGothic" w:hAnsi="MS PGothic"/>
          <w:sz w:val="16"/>
          <w:szCs w:val="16"/>
          <w:color w:val="231F20"/>
        </w:rPr>
        <w:t>✓</w:t>
      </w:r>
      <w:r>
        <w:rPr>
          <w:rFonts w:ascii="Times New Roman" w:cs="Times New Roman" w:eastAsia="Times New Roman" w:hAnsi="Times New Roman"/>
          <w:sz w:val="16"/>
          <w:szCs w:val="16"/>
          <w:b w:val="1"/>
          <w:bCs w:val="1"/>
          <w:color w:val="231F20"/>
        </w:rPr>
        <w:t>”) THE BOX MARKED “AGAINST.” IF YOU WISH TO ABSTAIN FROM VOTING, PLEASE TICK (“</w:t>
      </w:r>
      <w:r>
        <w:rPr>
          <w:rFonts w:ascii="MS PGothic" w:cs="MS PGothic" w:eastAsia="MS PGothic" w:hAnsi="MS PGothic"/>
          <w:sz w:val="16"/>
          <w:szCs w:val="16"/>
          <w:color w:val="231F20"/>
        </w:rPr>
        <w:t>✓</w:t>
      </w:r>
      <w:r>
        <w:rPr>
          <w:rFonts w:ascii="Times New Roman" w:cs="Times New Roman" w:eastAsia="Times New Roman" w:hAnsi="Times New Roman"/>
          <w:sz w:val="16"/>
          <w:szCs w:val="16"/>
          <w:b w:val="1"/>
          <w:bCs w:val="1"/>
          <w:color w:val="231F20"/>
        </w:rPr>
        <w:t xml:space="preserve">”) THE BOX MARKED “ABSTAIN”. </w:t>
      </w:r>
      <w:r>
        <w:rPr>
          <w:rFonts w:ascii="Times New Roman" w:cs="Times New Roman" w:eastAsia="Times New Roman" w:hAnsi="Times New Roman"/>
          <w:sz w:val="16"/>
          <w:szCs w:val="16"/>
          <w:color w:val="231F20"/>
        </w:rPr>
        <w:t>If no direction is given, your proxy will vote or abstain at his/her discretion. Your proxy will also be entitled</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to vote at his/her discretion on any resolution properly put to the AGM other than those referred to in the notice convening the AGM. If you mark the box “abstain”, it will mean that your proxy will abstain from voting and, accordingly, your vote will not be counted either for or against the relevant resolution.</w:t>
      </w:r>
    </w:p>
    <w:p>
      <w:pPr>
        <w:spacing w:after="0" w:line="2" w:lineRule="exact"/>
        <w:rPr>
          <w:rFonts w:ascii="Times New Roman" w:cs="Times New Roman" w:eastAsia="Times New Roman" w:hAnsi="Times New Roman"/>
          <w:sz w:val="16"/>
          <w:szCs w:val="16"/>
          <w:color w:val="231F20"/>
        </w:rPr>
      </w:pPr>
    </w:p>
    <w:p>
      <w:pPr>
        <w:jc w:val="both"/>
        <w:ind w:left="580" w:hanging="580"/>
        <w:spacing w:after="0" w:line="245" w:lineRule="auto"/>
        <w:tabs>
          <w:tab w:leader="none" w:pos="580"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refer to the circular (the “</w:t>
      </w:r>
      <w:r>
        <w:rPr>
          <w:rFonts w:ascii="Times New Roman" w:cs="Times New Roman" w:eastAsia="Times New Roman" w:hAnsi="Times New Roman"/>
          <w:sz w:val="17"/>
          <w:szCs w:val="17"/>
          <w:b w:val="1"/>
          <w:bCs w:val="1"/>
          <w:color w:val="231F20"/>
        </w:rPr>
        <w:t>Circular</w:t>
      </w:r>
      <w:r>
        <w:rPr>
          <w:rFonts w:ascii="Times New Roman" w:cs="Times New Roman" w:eastAsia="Times New Roman" w:hAnsi="Times New Roman"/>
          <w:sz w:val="17"/>
          <w:szCs w:val="17"/>
          <w:color w:val="231F20"/>
        </w:rPr>
        <w:t>”) and notice of the AGM of the Company dated May 14, 2026. Unless otherwise indicated, the capitalized terms used in this notice shall have the same meaning as those defined in the Circular and the notice of the AGM. The description of the resolutions is by way of summary only. The full text appears in the notice of the AGM.</w:t>
      </w:r>
    </w:p>
    <w:p>
      <w:pPr>
        <w:jc w:val="both"/>
        <w:ind w:left="580" w:hanging="580"/>
        <w:spacing w:after="0" w:line="245" w:lineRule="auto"/>
        <w:tabs>
          <w:tab w:leader="none" w:pos="580"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This form of proxy must be signed by you or your attorney duly authorized in writing. In case of a corporation, the same must be either under its common seal or under the hand of an officer, attorney, or other person duly authorized. </w:t>
      </w:r>
      <w:r>
        <w:rPr>
          <w:rFonts w:ascii="Times New Roman" w:cs="Times New Roman" w:eastAsia="Times New Roman" w:hAnsi="Times New Roman"/>
          <w:sz w:val="17"/>
          <w:szCs w:val="17"/>
          <w:b w:val="1"/>
          <w:bCs w:val="1"/>
          <w:color w:val="231F20"/>
        </w:rPr>
        <w:t>ANY ALTERATION MADE TO THIS FORM OF PROXY MUST BE</w:t>
      </w:r>
    </w:p>
    <w:p>
      <w:pPr>
        <w:ind w:left="58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INITIALED BY THE PERSON WHO SIGNS IT.</w:t>
      </w:r>
    </w:p>
    <w:p>
      <w:pPr>
        <w:spacing w:after="0" w:line="4" w:lineRule="exact"/>
        <w:rPr>
          <w:rFonts w:ascii="Times New Roman" w:cs="Times New Roman" w:eastAsia="Times New Roman" w:hAnsi="Times New Roman"/>
          <w:sz w:val="17"/>
          <w:szCs w:val="17"/>
          <w:color w:val="231F20"/>
        </w:rPr>
      </w:pPr>
    </w:p>
    <w:p>
      <w:pPr>
        <w:jc w:val="both"/>
        <w:ind w:left="580" w:hanging="580"/>
        <w:spacing w:after="0" w:line="245" w:lineRule="auto"/>
        <w:tabs>
          <w:tab w:leader="none" w:pos="580"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Where there are joint registered holders of any share, any one of such persons may vote at the meeting, either personally or by proxy, in respect of such share as if he/she were solely entitled thereto; but if more than one of such joint holders be present at the meeting personally or by proxy, that one of the said persons so present being the most or, as the case may be, the more senior shall alone be entitled to vote in respect of the relevant joint holding and, for this purpose, seniority shall be determined by reference to the order in which the names of the joint holders stand on the register of members in respect of the relevant joint holding.</w:t>
      </w:r>
    </w:p>
    <w:p>
      <w:pPr>
        <w:jc w:val="both"/>
        <w:ind w:left="580" w:hanging="580"/>
        <w:spacing w:after="0" w:line="245" w:lineRule="auto"/>
        <w:tabs>
          <w:tab w:leader="none" w:pos="580"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order to be valid, this form of proxy, together with the power of attorney or other authority (if any) under which it is signed or a notarially certified copy thereof, must be deposited at the Company’s Hong Kong Share Registrar, Computershare Hong Kong Investor Services Limited (for both holders of Class A Ordinary Shares and holders of Class B Ordinary Shares), at 17M Floor, Hopewell Centre, 183 Queen’s Road East, Wan Chai, Hong Kong not less than 72 hours before the time appointed for the meeting or the adjourned meeting (as the case may be).</w:t>
      </w:r>
    </w:p>
    <w:p>
      <w:pPr>
        <w:ind w:left="580" w:hanging="580"/>
        <w:spacing w:after="0"/>
        <w:tabs>
          <w:tab w:leader="none" w:pos="580"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Completion and delivery of the form of proxy will not preclude you from attending and voting at the AGM or any adjournment thereof if you so wish.</w:t>
      </w:r>
    </w:p>
    <w:p>
      <w:pPr>
        <w:spacing w:after="0" w:line="4" w:lineRule="exact"/>
        <w:rPr>
          <w:rFonts w:ascii="Times New Roman" w:cs="Times New Roman" w:eastAsia="Times New Roman" w:hAnsi="Times New Roman"/>
          <w:sz w:val="17"/>
          <w:szCs w:val="17"/>
          <w:color w:val="231F20"/>
        </w:rPr>
      </w:pPr>
    </w:p>
    <w:p>
      <w:pPr>
        <w:jc w:val="both"/>
        <w:ind w:left="580" w:hanging="580"/>
        <w:spacing w:after="0" w:line="247" w:lineRule="auto"/>
        <w:tabs>
          <w:tab w:leader="none" w:pos="580"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Treasury shares, if any and registered under the name of the Company, shall have no voting rights at the general meeting(s) of the Company. For the avoidance of doubt, for the purpose of the Listing Rules, the Company shall, upon depositing any treasury shares in the CCASS, abstain from voting at any of its general meeting(s) in relation to those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714248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231F20"/>
        </w:rPr>
        <w:t>PERSONAL INFORMATION COLLECTION STATEMENT</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231F20"/>
        </w:rPr>
        <w:t>Your supply of your and your proxy’s (or proxies’) name(s) and address(es) is on a voluntary basis for the purpose of processing your request for the appointment of a proxy (or proxies) and your voting instructions for the AGM of the Company (the “</w:t>
      </w:r>
      <w:r>
        <w:rPr>
          <w:rFonts w:ascii="Times New Roman" w:cs="Times New Roman" w:eastAsia="Times New Roman" w:hAnsi="Times New Roman"/>
          <w:sz w:val="17"/>
          <w:szCs w:val="17"/>
          <w:b w:val="1"/>
          <w:bCs w:val="1"/>
          <w:color w:val="231F20"/>
        </w:rPr>
        <w:t>Purposes</w:t>
      </w:r>
      <w:r>
        <w:rPr>
          <w:rFonts w:ascii="Times New Roman" w:cs="Times New Roman" w:eastAsia="Times New Roman" w:hAnsi="Times New Roman"/>
          <w:sz w:val="17"/>
          <w:szCs w:val="17"/>
          <w:color w:val="231F20"/>
        </w:rPr>
        <w:t>”). We may transfer your and your proxy’s (or proxies’) name(s) and address(es) to our agent, contractor, or third party service provider who provides administrative, computer, and other services to us for use in connection with the Purposes and to such parties who are authorized by law to request the information or are otherwise relevant for the Purposes and need to receive the information. Your and your proxy’s (or proxies’) name(s) and address(es) will be retained for such period as may be necessary to fulfil the Purposes. Request for access to and/or correction of the relevant personal data can be made in accordance with the provisions of the Personal Data (Privacy) Ordinance and any such request should be in writing by mail to Computershare Hong Kong Investor Services Limited at the above address or by email to PrivacyOfficer@computershare.com.hk.</w:t>
      </w:r>
    </w:p>
    <w:p>
      <w:pPr>
        <w:spacing w:after="0" w:line="176" w:lineRule="exact"/>
        <w:rPr>
          <w:sz w:val="20"/>
          <w:szCs w:val="20"/>
          <w:color w:val="auto"/>
        </w:rPr>
      </w:pPr>
    </w:p>
    <w:p>
      <w:pPr>
        <w:ind w:left="460" w:hanging="460"/>
        <w:spacing w:after="0"/>
        <w:tabs>
          <w:tab w:leader="none" w:pos="460"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i w:val="1"/>
          <w:iCs w:val="1"/>
          <w:color w:val="231F20"/>
        </w:rPr>
        <w:t>For identification purpose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267970</wp:posOffset>
            </wp:positionV>
            <wp:extent cx="714248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42" w:name="page43"/>
    <w:bookmarkEnd w:id="42"/>
    <w:p>
      <w:pPr>
        <w:ind w:left="9260"/>
        <w:spacing w:after="0"/>
        <w:rPr>
          <w:sz w:val="20"/>
          <w:szCs w:val="20"/>
          <w:color w:val="auto"/>
        </w:rPr>
      </w:pPr>
      <w:r>
        <w:rPr>
          <w:rFonts w:ascii="Times New Roman" w:cs="Times New Roman" w:eastAsia="Times New Roman" w:hAnsi="Times New Roman"/>
          <w:sz w:val="16"/>
          <w:szCs w:val="16"/>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189230</wp:posOffset>
            </wp:positionV>
            <wp:extent cx="6769735" cy="90608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69735" cy="906081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385445</wp:posOffset>
            </wp:positionH>
            <wp:positionV relativeFrom="page">
              <wp:posOffset>88900</wp:posOffset>
            </wp:positionV>
            <wp:extent cx="6769735" cy="90608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69735" cy="90608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upperLetter"/>
      <w:start w:val="9"/>
    </w:lvl>
  </w:abstractNum>
  <w:abstractNum w:abstractNumId="1">
    <w:nsid w:val="6763845E"/>
    <w:multiLevelType w:val="hybridMultilevel"/>
    <w:lvl w:ilvl="0">
      <w:lvlJc w:val="left"/>
      <w:lvlText w:val="(%1)"/>
      <w:numFmt w:val="upperLetter"/>
      <w:start w:val="35"/>
    </w:lvl>
    <w:lvl w:ilvl="1">
      <w:lvlJc w:val="left"/>
      <w:lvlText w:val="%2"/>
      <w:numFmt w:val="decimal"/>
      <w:start w:val="1"/>
    </w:lvl>
    <w:lvl w:ilvl="2">
      <w:lvlJc w:val="left"/>
      <w:lvlText w:val="(%3)"/>
      <w:numFmt w:val="decimal"/>
      <w:start w:val="2"/>
    </w:lvl>
    <w:lvl w:ilvl="3">
      <w:lvlJc w:val="left"/>
      <w:lvlText w:val="(%4)"/>
      <w:numFmt w:val="decimal"/>
      <w:start w:val="3"/>
    </w:lvl>
    <w:lvl w:ilvl="4">
      <w:lvlJc w:val="left"/>
      <w:lvlText w:val="(%5)"/>
      <w:numFmt w:val="decimal"/>
      <w:start w:val="3"/>
    </w:lvl>
    <w:lvl w:ilvl="5">
      <w:lvlJc w:val="left"/>
      <w:lvlText w:val="(%6)"/>
      <w:numFmt w:val="decimal"/>
      <w:start w:val="5"/>
    </w:lvl>
    <w:lvl w:ilvl="6">
      <w:lvlJc w:val="left"/>
      <w:lvlText w:val="%7"/>
      <w:numFmt w:val="upperLetter"/>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1"/>
    </w:lvl>
    <w:lvl w:ilvl="1">
      <w:lvlJc w:val="left"/>
      <w:lvlText w:val="(%2)"/>
      <w:numFmt w:val="lowerLetter"/>
      <w:start w:val="1"/>
    </w:lvl>
  </w:abstractNum>
  <w:abstractNum w:abstractNumId="6">
    <w:nsid w:val="B03E0C6"/>
    <w:multiLevelType w:val="hybridMultilevel"/>
    <w:lvl w:ilvl="0">
      <w:lvlJc w:val="left"/>
      <w:lvlText w:val="%1."/>
      <w:numFmt w:val="decimal"/>
      <w:start w:val="2"/>
    </w:lvl>
    <w:lvl w:ilvl="1">
      <w:lvlJc w:val="left"/>
      <w:lvlText w:val="%2"/>
      <w:numFmt w:val="lowerLetter"/>
      <w:start w:val="1"/>
    </w:lvl>
  </w:abstractNum>
  <w:abstractNum w:abstractNumId="7">
    <w:nsid w:val="189A769B"/>
    <w:multiLevelType w:val="hybridMultilevel"/>
    <w:lvl w:ilvl="0">
      <w:lvlJc w:val="left"/>
      <w:lvlText w:val="%1."/>
      <w:numFmt w:val="decimal"/>
      <w:start w:val="3"/>
    </w:lvl>
  </w:abstractNum>
  <w:abstractNum w:abstractNumId="8">
    <w:nsid w:val="54E49EB4"/>
    <w:multiLevelType w:val="hybridMultilevel"/>
    <w:lvl w:ilvl="0">
      <w:lvlJc w:val="left"/>
      <w:lvlText w:val="%1."/>
      <w:numFmt w:val="decimal"/>
      <w:start w:val="4"/>
    </w:lvl>
  </w:abstractNum>
  <w:abstractNum w:abstractNumId="9">
    <w:nsid w:val="71F32454"/>
    <w:multiLevelType w:val="hybridMultilevel"/>
    <w:lvl w:ilvl="0">
      <w:lvlJc w:val="left"/>
      <w:lvlText w:val="%1."/>
      <w:numFmt w:val="decimal"/>
      <w:start w:val="5"/>
    </w:lvl>
  </w:abstractNum>
  <w:abstractNum w:abstractNumId="10">
    <w:nsid w:val="2CA88611"/>
    <w:multiLevelType w:val="hybridMultilevel"/>
    <w:lvl w:ilvl="0">
      <w:lvlJc w:val="left"/>
      <w:lvlText w:val="%1."/>
      <w:numFmt w:val="decimal"/>
      <w:start w:val="6"/>
    </w:lvl>
  </w:abstractNum>
  <w:abstractNum w:abstractNumId="11">
    <w:nsid w:val="836C40E"/>
    <w:multiLevelType w:val="hybridMultilevel"/>
    <w:lvl w:ilvl="0">
      <w:lvlJc w:val="left"/>
      <w:lvlText w:val="%1."/>
      <w:numFmt w:val="decimal"/>
      <w:start w:val="7"/>
    </w:lvl>
  </w:abstractNum>
  <w:abstractNum w:abstractNumId="12">
    <w:nsid w:val="2901D82"/>
    <w:multiLevelType w:val="hybridMultilevel"/>
    <w:lvl w:ilvl="0">
      <w:lvlJc w:val="left"/>
      <w:lvlText w:val="%1."/>
      <w:numFmt w:val="decimal"/>
      <w:start w:val="8"/>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2"/>
    </w:lvl>
  </w:abstractNum>
  <w:abstractNum w:abstractNumId="15">
    <w:nsid w:val="1E7FF521"/>
    <w:multiLevelType w:val="hybridMultilevel"/>
    <w:lvl w:ilvl="0">
      <w:lvlJc w:val="left"/>
      <w:lvlText w:val="%1."/>
      <w:numFmt w:val="decimal"/>
      <w:start w:val="3"/>
    </w:lvl>
  </w:abstractNum>
  <w:abstractNum w:abstractNumId="16">
    <w:nsid w:val="7C3DBD3D"/>
    <w:multiLevelType w:val="hybridMultilevel"/>
    <w:lvl w:ilvl="0">
      <w:lvlJc w:val="left"/>
      <w:lvlText w:val="%1."/>
      <w:numFmt w:val="decimal"/>
      <w:start w:val="4"/>
    </w:lvl>
  </w:abstractNum>
  <w:abstractNum w:abstractNumId="17">
    <w:nsid w:val="737B8DDC"/>
    <w:multiLevelType w:val="hybridMultilevel"/>
    <w:lvl w:ilvl="0">
      <w:lvlJc w:val="left"/>
      <w:lvlText w:val="(%1)"/>
      <w:numFmt w:val="lowerRoman"/>
      <w:start w:val="1"/>
    </w:lvl>
    <w:lvl w:ilvl="1">
      <w:lvlJc w:val="left"/>
      <w:lvlText w:val="\endash "/>
      <w:numFmt w:val="bullet"/>
      <w:start w:val="1"/>
    </w:lvl>
  </w:abstractNum>
  <w:abstractNum w:abstractNumId="18">
    <w:nsid w:val="6CEAF087"/>
    <w:multiLevelType w:val="hybridMultilevel"/>
    <w:lvl w:ilvl="0">
      <w:lvlJc w:val="left"/>
      <w:lvlText w:val="%1."/>
      <w:numFmt w:val="decimal"/>
      <w:start w:val="5"/>
    </w:lvl>
  </w:abstractNum>
  <w:abstractNum w:abstractNumId="19">
    <w:nsid w:val="22221A70"/>
    <w:multiLevelType w:val="hybridMultilevel"/>
    <w:lvl w:ilvl="0">
      <w:lvlJc w:val="left"/>
      <w:lvlText w:val="(%1)"/>
      <w:numFmt w:val="lowerLetter"/>
      <w:start w:val="2"/>
    </w:lvl>
  </w:abstractNum>
  <w:abstractNum w:abstractNumId="20">
    <w:nsid w:val="4516DDE9"/>
    <w:multiLevelType w:val="hybridMultilevel"/>
    <w:lvl w:ilvl="0">
      <w:lvlJc w:val="left"/>
      <w:lvlText w:val="%1."/>
      <w:numFmt w:val="decimal"/>
      <w:start w:val="6"/>
    </w:lvl>
  </w:abstractNum>
  <w:abstractNum w:abstractNumId="21">
    <w:nsid w:val="3006C83E"/>
    <w:multiLevelType w:val="hybridMultilevel"/>
    <w:lvl w:ilvl="0">
      <w:lvlJc w:val="left"/>
      <w:lvlText w:val="%1."/>
      <w:numFmt w:val="decimal"/>
      <w:start w:val="7"/>
    </w:lvl>
  </w:abstractNum>
  <w:abstractNum w:abstractNumId="22">
    <w:nsid w:val="614FD4A1"/>
    <w:multiLevelType w:val="hybridMultilevel"/>
    <w:lvl w:ilvl="0">
      <w:lvlJc w:val="left"/>
      <w:lvlText w:val="%1."/>
      <w:numFmt w:val="decimal"/>
      <w:start w:val="8"/>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2"/>
    </w:lvl>
  </w:abstractNum>
  <w:abstractNum w:abstractNumId="25">
    <w:nsid w:val="440BADFC"/>
    <w:multiLevelType w:val="hybridMultilevel"/>
    <w:lvl w:ilvl="0">
      <w:lvlJc w:val="left"/>
      <w:lvlText w:val="(%1)"/>
      <w:numFmt w:val="lowerRoman"/>
      <w:start w:val="5"/>
    </w:lvl>
    <w:lvl w:ilvl="1">
      <w:lvlJc w:val="left"/>
      <w:lvlText w:val="\endash "/>
      <w:numFmt w:val="bullet"/>
      <w:start w:val="1"/>
    </w:lvl>
  </w:abstractNum>
  <w:abstractNum w:abstractNumId="26">
    <w:nsid w:val="5072367"/>
    <w:multiLevelType w:val="hybridMultilevel"/>
    <w:lvl w:ilvl="0">
      <w:lvlJc w:val="left"/>
      <w:lvlText w:val="(%1)"/>
      <w:numFmt w:val="decimal"/>
      <w:start w:val="3"/>
    </w:lvl>
  </w:abstractNum>
  <w:abstractNum w:abstractNumId="27">
    <w:nsid w:val="3804823E"/>
    <w:multiLevelType w:val="hybridMultilevel"/>
    <w:lvl w:ilvl="0">
      <w:lvlJc w:val="left"/>
      <w:lvlText w:val="(%1)"/>
      <w:numFmt w:val="lowerRoman"/>
      <w:start w:val="5"/>
    </w:lvl>
    <w:lvl w:ilvl="1">
      <w:lvlJc w:val="left"/>
      <w:lvlText w:val="\endash "/>
      <w:numFmt w:val="bullet"/>
      <w:start w:val="1"/>
    </w:lvl>
  </w:abstractNum>
  <w:abstractNum w:abstractNumId="28">
    <w:nsid w:val="77465F0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Roman"/>
      <w:start w:val="2"/>
    </w:lvl>
    <w:lvl w:ilvl="4">
      <w:lvlJc w:val="left"/>
      <w:lvlText w:val="\endash "/>
      <w:numFmt w:val="bullet"/>
      <w:start w:val="1"/>
    </w:lvl>
  </w:abstractNum>
  <w:abstractNum w:abstractNumId="29">
    <w:nsid w:val="7724C67E"/>
    <w:multiLevelType w:val="hybridMultilevel"/>
    <w:lvl w:ilvl="0">
      <w:lvlJc w:val="left"/>
      <w:lvlText w:val="%1."/>
      <w:numFmt w:val="decimal"/>
      <w:start w:val="3"/>
    </w:lvl>
    <w:lvl w:ilvl="1">
      <w:lvlJc w:val="left"/>
      <w:lvlText w:val="(%2)"/>
      <w:numFmt w:val="lowerLetter"/>
      <w:start w:val="1"/>
    </w:lvl>
  </w:abstractNum>
  <w:abstractNum w:abstractNumId="30">
    <w:nsid w:val="5C482A97"/>
    <w:multiLevelType w:val="hybridMultilevel"/>
    <w:lvl w:ilvl="0">
      <w:lvlJc w:val="left"/>
      <w:lvlText w:val="(%1)"/>
      <w:numFmt w:val="lowerRoman"/>
      <w:start w:val="1"/>
    </w:lvl>
    <w:lvl w:ilvl="1">
      <w:lvlJc w:val="left"/>
      <w:lvlText w:val="\endash "/>
      <w:numFmt w:val="bullet"/>
      <w:start w:val="1"/>
    </w:lvl>
  </w:abstractNum>
  <w:abstractNum w:abstractNumId="31">
    <w:nsid w:val="2463B9EA"/>
    <w:multiLevelType w:val="hybridMultilevel"/>
    <w:lvl w:ilvl="0">
      <w:lvlJc w:val="left"/>
      <w:lvlText w:val="(%1)"/>
      <w:numFmt w:val="lowerRoman"/>
      <w:start w:val="4"/>
    </w:lvl>
  </w:abstractNum>
  <w:abstractNum w:abstractNumId="32">
    <w:nsid w:val="5E884ADC"/>
    <w:multiLevelType w:val="hybridMultilevel"/>
    <w:lvl w:ilvl="0">
      <w:lvlJc w:val="left"/>
      <w:lvlText w:val="(%1)"/>
      <w:numFmt w:val="lowerLetter"/>
      <w:start w:val="4"/>
    </w:lvl>
    <w:lvl w:ilvl="1">
      <w:lvlJc w:val="left"/>
      <w:lvlText w:val="(%2)"/>
      <w:numFmt w:val="lowerRoman"/>
      <w:start w:val="1"/>
    </w:lvl>
  </w:abstractNum>
  <w:abstractNum w:abstractNumId="33">
    <w:nsid w:val="51EAD36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endash "/>
      <w:numFmt w:val="bullet"/>
      <w:start w:val="1"/>
    </w:lvl>
  </w:abstractNum>
  <w:abstractNum w:abstractNumId="34">
    <w:nsid w:val="2D517796"/>
    <w:multiLevelType w:val="hybridMultilevel"/>
    <w:lvl w:ilvl="0">
      <w:lvlJc w:val="left"/>
      <w:lvlText w:val="%1."/>
      <w:numFmt w:val="decimal"/>
      <w:start w:val="6"/>
    </w:lvl>
  </w:abstractNum>
  <w:abstractNum w:abstractNumId="35">
    <w:nsid w:val="580BD78F"/>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Roman"/>
      <w:start w:val="2"/>
    </w:lvl>
    <w:lvl w:ilvl="4">
      <w:lvlJc w:val="left"/>
      <w:lvlText w:val="\endash "/>
      <w:numFmt w:val="bullet"/>
      <w:start w:val="1"/>
    </w:lvl>
  </w:abstractNum>
  <w:abstractNum w:abstractNumId="36">
    <w:nsid w:val="153EA43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4"/>
    </w:lvl>
  </w:abstractNum>
  <w:abstractNum w:abstractNumId="37">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8">
    <w:nsid w:val="70A64E2A"/>
    <w:multiLevelType w:val="hybridMultilevel"/>
    <w:lvl w:ilvl="0">
      <w:lvlJc w:val="left"/>
      <w:lvlText w:val="(%1)"/>
      <w:numFmt w:val="lowerRoman"/>
      <w:start w:val="2"/>
    </w:lvl>
    <w:lvl w:ilvl="1">
      <w:lvlJc w:val="left"/>
      <w:lvlText w:val="\endash "/>
      <w:numFmt w:val="bullet"/>
      <w:start w:val="1"/>
    </w:lvl>
  </w:abstractNum>
  <w:abstractNum w:abstractNumId="39">
    <w:nsid w:val="6A2342EC"/>
    <w:multiLevelType w:val="hybridMultilevel"/>
    <w:lvl w:ilvl="0">
      <w:lvlJc w:val="left"/>
      <w:lvlText w:val="(%1)"/>
      <w:numFmt w:val="lowerRoman"/>
      <w:start w:val="4"/>
    </w:lvl>
  </w:abstractNum>
  <w:abstractNum w:abstractNumId="40">
    <w:nsid w:val="2A487CB0"/>
    <w:multiLevelType w:val="hybridMultilevel"/>
    <w:lvl w:ilvl="0">
      <w:lvlJc w:val="left"/>
      <w:lvlText w:val="(%1)"/>
      <w:numFmt w:val="lowerLetter"/>
      <w:start w:val="4"/>
    </w:lvl>
    <w:lvl w:ilvl="1">
      <w:lvlJc w:val="left"/>
      <w:lvlText w:val="(%2)"/>
      <w:numFmt w:val="lowerRoman"/>
      <w:start w:val="1"/>
    </w:lvl>
  </w:abstractNum>
  <w:abstractNum w:abstractNumId="41">
    <w:nsid w:val="1D4ED43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endash "/>
      <w:numFmt w:val="bullet"/>
      <w:start w:val="1"/>
    </w:lvl>
  </w:abstractNum>
  <w:abstractNum w:abstractNumId="42">
    <w:nsid w:val="725A06FB"/>
    <w:multiLevelType w:val="hybridMultilevel"/>
    <w:lvl w:ilvl="0">
      <w:lvlJc w:val="left"/>
      <w:lvlText w:val="%1."/>
      <w:numFmt w:val="decimal"/>
      <w:start w:val="6"/>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2026-05-14T05:17:19Z</dcterms:created>
  <dcterms:modified xsi:type="dcterms:W3CDTF">2026-05-14T05:17:19Z</dcterms:modified>
</cp:coreProperties>
</file>