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32406B"/>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Registration No. 333-253575</w:t>
      </w:r>
    </w:p>
    <w:p>
      <w:pPr>
        <w:spacing w:after="0" w:line="124" w:lineRule="exact"/>
        <w:rPr>
          <w:sz w:val="24"/>
          <w:szCs w:val="24"/>
          <w:color w:val="auto"/>
        </w:rPr>
      </w:pPr>
    </w:p>
    <w:p>
      <w:pPr>
        <w:jc w:val="center"/>
        <w:ind w:right="-119"/>
        <w:spacing w:after="0"/>
        <w:rPr>
          <w:sz w:val="20"/>
          <w:szCs w:val="20"/>
          <w:color w:val="auto"/>
        </w:rPr>
      </w:pPr>
      <w:r>
        <w:rPr>
          <w:rFonts w:ascii="Arial" w:cs="Arial" w:eastAsia="Arial" w:hAnsi="Arial"/>
          <w:sz w:val="32"/>
          <w:szCs w:val="32"/>
          <w:i w:val="1"/>
          <w:iCs w:val="1"/>
          <w:color w:val="32406B"/>
        </w:rPr>
        <w:t>43,590,000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250190</wp:posOffset>
            </wp:positionV>
            <wp:extent cx="78867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867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43"/>
          <w:szCs w:val="43"/>
          <w:i w:val="1"/>
          <w:iCs w:val="1"/>
          <w:color w:val="32406B"/>
        </w:rPr>
        <w:t>Tuya Inc.</w:t>
      </w: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22"/>
          <w:szCs w:val="22"/>
          <w:i w:val="1"/>
          <w:iCs w:val="1"/>
          <w:color w:val="32406B"/>
        </w:rPr>
        <w:t>Representing 43,590,000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238760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both"/>
        <w:ind w:left="120" w:right="80"/>
        <w:spacing w:after="0"/>
        <w:rPr>
          <w:sz w:val="20"/>
          <w:szCs w:val="20"/>
          <w:color w:val="auto"/>
        </w:rPr>
      </w:pPr>
      <w:r>
        <w:rPr>
          <w:rFonts w:ascii="Arial" w:cs="Arial" w:eastAsia="Arial" w:hAnsi="Arial"/>
          <w:sz w:val="15"/>
          <w:szCs w:val="15"/>
          <w:b w:val="1"/>
          <w:bCs w:val="1"/>
          <w:i w:val="1"/>
          <w:iCs w:val="1"/>
          <w:color w:val="32406B"/>
        </w:rPr>
        <w:t>This is an initial public offering of American depositary shares, or ADSs, representing Class A ordinary shares of Tuya Inc. We are offering a total of 43,590,000 ADSs, each representing one Class A ordinary share, par value US$0.00005 per share. The underwriters may also purchase up to 6,538,500 additional ADSs within 30 days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120" w:right="400"/>
        <w:spacing w:after="0" w:line="255" w:lineRule="auto"/>
        <w:rPr>
          <w:sz w:val="20"/>
          <w:szCs w:val="20"/>
          <w:color w:val="auto"/>
        </w:rPr>
      </w:pPr>
      <w:r>
        <w:rPr>
          <w:rFonts w:ascii="Arial" w:cs="Arial" w:eastAsia="Arial" w:hAnsi="Arial"/>
          <w:sz w:val="15"/>
          <w:szCs w:val="15"/>
          <w:b w:val="1"/>
          <w:bCs w:val="1"/>
          <w:i w:val="1"/>
          <w:iCs w:val="1"/>
          <w:color w:val="32406B"/>
        </w:rPr>
        <w:t>Prior to this offering, there has been no public market for the ADSs. The ADSs representing our Class A ordinary shares have been approved for listing on the New York Stock Exchange under the symbol “TUYA.”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204470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left="120" w:right="60"/>
        <w:spacing w:after="0" w:line="270" w:lineRule="auto"/>
        <w:rPr>
          <w:sz w:val="20"/>
          <w:szCs w:val="20"/>
          <w:color w:val="auto"/>
        </w:rPr>
      </w:pPr>
      <w:r>
        <w:rPr>
          <w:rFonts w:ascii="Arial" w:cs="Arial" w:eastAsia="Arial" w:hAnsi="Arial"/>
          <w:sz w:val="13"/>
          <w:szCs w:val="13"/>
          <w:b w:val="1"/>
          <w:bCs w:val="1"/>
          <w:i w:val="1"/>
          <w:iCs w:val="1"/>
          <w:color w:val="32406B"/>
        </w:rPr>
        <w:t>Following the completion of this offering, our issued and outstanding share capital will consist of Class A ordinary shares and Class B ordinary shares. Mr. Xueji (Jerry) Wang, our Chief Executive Officer and director, and Mr. Liaohan (Leo) Chen, our director, will collectively beneficially own all of our issued Class B ordinary shares and will collectively be able to exercise 83.7% of the total voting power of our issued and outstanding share capital immediately following the completion of this offering, assuming the underwriters do not exercise their option to purchase additional ADSs. Holders of Class A ordinary shares and Class B ordinary shares have the same rights except for voting and conversion rights. Each Class A ordinary share is entitled to one vote and each Class B ordinary share is entitled to 15 votes.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 by a holder thereof to any non-affiliate to such holder, each of such Class B ordinary share will be automatically and immediately converted into one Class A ordinary share. See “Description of Share Capital.”</w:t>
      </w:r>
    </w:p>
    <w:p>
      <w:pPr>
        <w:spacing w:after="0" w:line="167" w:lineRule="exact"/>
        <w:rPr>
          <w:sz w:val="24"/>
          <w:szCs w:val="24"/>
          <w:color w:val="auto"/>
        </w:rPr>
      </w:pPr>
    </w:p>
    <w:p>
      <w:pPr>
        <w:ind w:left="120" w:right="40"/>
        <w:spacing w:after="0" w:line="274" w:lineRule="auto"/>
        <w:rPr>
          <w:sz w:val="20"/>
          <w:szCs w:val="20"/>
          <w:color w:val="auto"/>
        </w:rPr>
      </w:pPr>
      <w:r>
        <w:rPr>
          <w:rFonts w:ascii="Arial" w:cs="Arial" w:eastAsia="Arial" w:hAnsi="Arial"/>
          <w:sz w:val="13"/>
          <w:szCs w:val="13"/>
          <w:b w:val="1"/>
          <w:bCs w:val="1"/>
          <w:i w:val="1"/>
          <w:iCs w:val="1"/>
          <w:color w:val="32406B"/>
        </w:rPr>
        <w:t>Certain existing shareholders and their affiliates and third-party investors have subscribed for, and been allocated by the underwriters, an aggregate of 14,725,000 ADSs in this offering, including (i) 2,375,000 ADSs from our existing shareholder Tencent, (ii) 2,375,000 ADSs from Gaoling Fund, L.P. and YHG Investment, L.P., affiliates of our existing shareholder, or collectively Hillhouse Capital, and (iii) 9,975,000 ADSs from Canada Pension Plan Investment Board, one or more funds affiliated with Dragoneer Investment Group, LLC, GIC Private Limited, funds affiliated with Tiger Global Management, LLC, and/or their affiliates. The subscriptions for ADSs are at the initial public offering price and on the same terms as the other ADSs being offered in this offering. The number of ADSs subscribed by these investors represents approximately 33.8% of the ADSs being offered in this offering, assuming the underwriters do not exercise their option to purchase additional ADSs. For additional information,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120" w:right="420"/>
        <w:spacing w:after="0" w:line="255" w:lineRule="auto"/>
        <w:rPr>
          <w:sz w:val="20"/>
          <w:szCs w:val="20"/>
          <w:color w:val="auto"/>
        </w:rPr>
      </w:pPr>
      <w:r>
        <w:rPr>
          <w:rFonts w:ascii="Arial" w:cs="Arial" w:eastAsia="Arial" w:hAnsi="Arial"/>
          <w:sz w:val="15"/>
          <w:szCs w:val="15"/>
          <w:b w:val="1"/>
          <w:bCs w:val="1"/>
          <w:i w:val="1"/>
          <w:iCs w:val="1"/>
          <w:color w:val="32406B"/>
        </w:rPr>
        <w:t>Neither the United States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32406B"/>
        </w:rPr>
        <w:t>PRICE US$21.00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120" w:right="660"/>
        <w:spacing w:after="0" w:line="320" w:lineRule="auto"/>
        <w:rPr>
          <w:rFonts w:ascii="Arial" w:cs="Arial" w:eastAsia="Arial" w:hAnsi="Arial"/>
          <w:sz w:val="17"/>
          <w:szCs w:val="17"/>
          <w:b w:val="1"/>
          <w:bCs w:val="1"/>
          <w:i w:val="1"/>
          <w:iCs w:val="1"/>
          <w:color w:val="32406B"/>
        </w:rPr>
      </w:pPr>
      <w:r>
        <w:rPr>
          <w:rFonts w:ascii="Arial" w:cs="Arial" w:eastAsia="Arial" w:hAnsi="Arial"/>
          <w:sz w:val="17"/>
          <w:szCs w:val="17"/>
          <w:b w:val="1"/>
          <w:bCs w:val="1"/>
          <w:i w:val="1"/>
          <w:iCs w:val="1"/>
          <w:color w:val="32406B"/>
        </w:rPr>
        <w:t>We are an “emerging growth company” under the US federal securities laws and will be subject to reduced public company reporting requirements. Investing in the ADSs involves risks. See “</w:t>
      </w:r>
      <w:hyperlink w:anchor="page29">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i w:val="1"/>
          <w:iCs w:val="1"/>
          <w:color w:val="32406B"/>
        </w:rPr>
        <w:t>” beginning on page 22 of this prospectus.</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67"/>
        </w:trPr>
        <w:tc>
          <w:tcPr>
            <w:tcW w:w="8080" w:type="dxa"/>
            <w:vAlign w:val="bottom"/>
            <w:vMerge w:val="restart"/>
          </w:tcPr>
          <w:p>
            <w:pPr>
              <w:spacing w:after="0"/>
              <w:rPr>
                <w:sz w:val="20"/>
                <w:szCs w:val="20"/>
                <w:color w:val="auto"/>
              </w:rPr>
            </w:pPr>
            <w:r>
              <w:rPr>
                <w:rFonts w:ascii="Arial" w:cs="Arial" w:eastAsia="Arial" w:hAnsi="Arial"/>
                <w:sz w:val="15"/>
                <w:szCs w:val="15"/>
                <w:i w:val="1"/>
                <w:iCs w:val="1"/>
                <w:color w:val="32406B"/>
              </w:rPr>
              <w:t>Public offering price</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i w:val="1"/>
                <w:iCs w:val="1"/>
                <w:color w:val="32406B"/>
                <w:w w:val="89"/>
              </w:rPr>
              <w:t>Per ADS</w:t>
            </w:r>
          </w:p>
        </w:tc>
        <w:tc>
          <w:tcPr>
            <w:tcW w:w="0" w:type="dxa"/>
            <w:vAlign w:val="bottom"/>
          </w:tcPr>
          <w:p>
            <w:pPr>
              <w:spacing w:after="0"/>
              <w:rPr>
                <w:sz w:val="1"/>
                <w:szCs w:val="1"/>
                <w:color w:val="auto"/>
              </w:rPr>
            </w:pPr>
          </w:p>
        </w:tc>
      </w:tr>
      <w:tr>
        <w:trPr>
          <w:trHeight w:val="20"/>
        </w:trPr>
        <w:tc>
          <w:tcPr>
            <w:tcW w:w="8080" w:type="dxa"/>
            <w:vAlign w:val="bottom"/>
            <w:vMerge w:val="continue"/>
          </w:tcPr>
          <w:p>
            <w:pPr>
              <w:spacing w:after="0" w:line="20" w:lineRule="exact"/>
              <w:rPr>
                <w:sz w:val="1"/>
                <w:szCs w:val="1"/>
                <w:color w:val="auto"/>
              </w:rPr>
            </w:pPr>
          </w:p>
        </w:tc>
        <w:tc>
          <w:tcPr>
            <w:tcW w:w="520" w:type="dxa"/>
            <w:vAlign w:val="bottom"/>
            <w:shd w:val="clear" w:color="auto" w:fill="32406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vMerge w:val="continue"/>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5"/>
                <w:szCs w:val="15"/>
                <w:i w:val="1"/>
                <w:iCs w:val="1"/>
                <w:color w:val="32406B"/>
              </w:rPr>
              <w:t>US$21.00</w:t>
            </w:r>
          </w:p>
        </w:tc>
        <w:tc>
          <w:tcPr>
            <w:tcW w:w="0" w:type="dxa"/>
            <w:vAlign w:val="bottom"/>
          </w:tcPr>
          <w:p>
            <w:pPr>
              <w:spacing w:after="0"/>
              <w:rPr>
                <w:sz w:val="1"/>
                <w:szCs w:val="1"/>
                <w:color w:val="auto"/>
              </w:rPr>
            </w:pPr>
          </w:p>
        </w:tc>
      </w:tr>
      <w:tr>
        <w:trPr>
          <w:trHeight w:val="162"/>
        </w:trPr>
        <w:tc>
          <w:tcPr>
            <w:tcW w:w="8080" w:type="dxa"/>
            <w:vAlign w:val="bottom"/>
          </w:tcPr>
          <w:p>
            <w:pPr>
              <w:spacing w:after="0" w:line="162" w:lineRule="exact"/>
              <w:rPr>
                <w:sz w:val="20"/>
                <w:szCs w:val="20"/>
                <w:color w:val="auto"/>
              </w:rPr>
            </w:pPr>
            <w:r>
              <w:rPr>
                <w:rFonts w:ascii="Arial" w:cs="Arial" w:eastAsia="Arial" w:hAnsi="Arial"/>
                <w:sz w:val="15"/>
                <w:szCs w:val="15"/>
                <w:i w:val="1"/>
                <w:iCs w:val="1"/>
                <w:color w:val="32406B"/>
              </w:rPr>
              <w:t xml:space="preserve">Underwriting discounts and commissions </w:t>
            </w:r>
            <w:r>
              <w:rPr>
                <w:rFonts w:ascii="Arial" w:cs="Arial" w:eastAsia="Arial" w:hAnsi="Arial"/>
                <w:sz w:val="13"/>
                <w:szCs w:val="13"/>
                <w:i w:val="1"/>
                <w:iCs w:val="1"/>
                <w:color w:val="32406B"/>
              </w:rPr>
              <w:t>(1)</w:t>
            </w: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i w:val="1"/>
                <w:iCs w:val="1"/>
                <w:color w:val="32406B"/>
              </w:rPr>
              <w:t>US$0.84</w:t>
            </w:r>
          </w:p>
        </w:tc>
        <w:tc>
          <w:tcPr>
            <w:tcW w:w="0" w:type="dxa"/>
            <w:vAlign w:val="bottom"/>
          </w:tcPr>
          <w:p>
            <w:pPr>
              <w:spacing w:after="0"/>
              <w:rPr>
                <w:sz w:val="1"/>
                <w:szCs w:val="1"/>
                <w:color w:val="auto"/>
              </w:rPr>
            </w:pPr>
          </w:p>
        </w:tc>
      </w:tr>
      <w:tr>
        <w:trPr>
          <w:trHeight w:val="194"/>
        </w:trPr>
        <w:tc>
          <w:tcPr>
            <w:tcW w:w="8080" w:type="dxa"/>
            <w:vAlign w:val="bottom"/>
          </w:tcPr>
          <w:p>
            <w:pPr>
              <w:spacing w:after="0"/>
              <w:rPr>
                <w:sz w:val="20"/>
                <w:szCs w:val="20"/>
                <w:color w:val="auto"/>
              </w:rPr>
            </w:pPr>
            <w:r>
              <w:rPr>
                <w:rFonts w:ascii="Arial" w:cs="Arial" w:eastAsia="Arial" w:hAnsi="Arial"/>
                <w:sz w:val="15"/>
                <w:szCs w:val="15"/>
                <w:i w:val="1"/>
                <w:iCs w:val="1"/>
                <w:color w:val="32406B"/>
              </w:rPr>
              <w:t>Proceeds, before expenses, to us</w:t>
            </w:r>
          </w:p>
        </w:tc>
        <w:tc>
          <w:tcPr>
            <w:tcW w:w="700" w:type="dxa"/>
            <w:vAlign w:val="bottom"/>
            <w:gridSpan w:val="2"/>
          </w:tcPr>
          <w:p>
            <w:pPr>
              <w:jc w:val="right"/>
              <w:spacing w:after="0"/>
              <w:rPr>
                <w:sz w:val="20"/>
                <w:szCs w:val="20"/>
                <w:color w:val="auto"/>
              </w:rPr>
            </w:pPr>
            <w:r>
              <w:rPr>
                <w:rFonts w:ascii="Arial" w:cs="Arial" w:eastAsia="Arial" w:hAnsi="Arial"/>
                <w:sz w:val="15"/>
                <w:szCs w:val="15"/>
                <w:i w:val="1"/>
                <w:iCs w:val="1"/>
                <w:color w:val="32406B"/>
              </w:rPr>
              <w:t>US$20.16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5"/>
          <w:szCs w:val="15"/>
          <w:i w:val="1"/>
          <w:iCs w:val="1"/>
          <w:color w:val="32406B"/>
        </w:rPr>
      </w:pPr>
      <w:r>
        <w:rPr>
          <w:rFonts w:ascii="Arial" w:cs="Arial" w:eastAsia="Arial" w:hAnsi="Arial"/>
          <w:sz w:val="15"/>
          <w:szCs w:val="15"/>
          <w:i w:val="1"/>
          <w:iCs w:val="1"/>
          <w:color w:val="32406B"/>
        </w:rPr>
        <w:t>For a description of the compensation payable to the underwriters, see “Underwriting.”</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32406B"/>
        </w:rPr>
        <w:t>The underwriters expect to deliver the ADSs against payment in U.S. dollars in New York, New York on 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
        <w:spacing w:after="0"/>
        <w:tabs>
          <w:tab w:leader="none" w:pos="6164" w:val="left"/>
        </w:tabs>
        <w:rPr>
          <w:sz w:val="20"/>
          <w:szCs w:val="20"/>
          <w:color w:val="auto"/>
        </w:rPr>
      </w:pPr>
      <w:r>
        <w:rPr>
          <w:rFonts w:ascii="Arial" w:cs="Arial" w:eastAsia="Arial" w:hAnsi="Arial"/>
          <w:sz w:val="25"/>
          <w:szCs w:val="25"/>
          <w:i w:val="1"/>
          <w:iCs w:val="1"/>
          <w:color w:val="32406B"/>
        </w:rPr>
        <w:t>MORGAN STANLEY</w:t>
      </w:r>
      <w:r>
        <w:rPr>
          <w:sz w:val="20"/>
          <w:szCs w:val="20"/>
          <w:color w:val="auto"/>
        </w:rPr>
        <w:tab/>
      </w:r>
      <w:r>
        <w:rPr>
          <w:rFonts w:ascii="Arial" w:cs="Arial" w:eastAsia="Arial" w:hAnsi="Arial"/>
          <w:sz w:val="22"/>
          <w:szCs w:val="22"/>
          <w:i w:val="1"/>
          <w:iCs w:val="1"/>
          <w:color w:val="32406B"/>
        </w:rPr>
        <w:t>BofA Securities</w:t>
      </w:r>
    </w:p>
    <w:p>
      <w:pPr>
        <w:spacing w:after="0" w:line="255" w:lineRule="exact"/>
        <w:rPr>
          <w:sz w:val="20"/>
          <w:szCs w:val="20"/>
          <w:color w:val="auto"/>
        </w:rPr>
      </w:pPr>
    </w:p>
    <w:p>
      <w:pPr>
        <w:ind w:left="2084"/>
        <w:spacing w:after="0"/>
        <w:tabs>
          <w:tab w:leader="none" w:pos="8084" w:val="left"/>
        </w:tabs>
        <w:rPr>
          <w:sz w:val="20"/>
          <w:szCs w:val="20"/>
          <w:color w:val="auto"/>
        </w:rPr>
      </w:pPr>
      <w:r>
        <w:rPr>
          <w:rFonts w:ascii="Arial" w:cs="Arial" w:eastAsia="Arial" w:hAnsi="Arial"/>
          <w:sz w:val="18"/>
          <w:szCs w:val="18"/>
          <w:i w:val="1"/>
          <w:iCs w:val="1"/>
          <w:color w:val="32406B"/>
        </w:rPr>
        <w:t>TIGER BROKERS</w:t>
      </w:r>
      <w:r>
        <w:rPr>
          <w:sz w:val="20"/>
          <w:szCs w:val="20"/>
          <w:color w:val="auto"/>
        </w:rPr>
        <w:tab/>
      </w:r>
      <w:r>
        <w:rPr>
          <w:rFonts w:ascii="Arial" w:cs="Arial" w:eastAsia="Arial" w:hAnsi="Arial"/>
          <w:sz w:val="17"/>
          <w:szCs w:val="17"/>
          <w:i w:val="1"/>
          <w:iCs w:val="1"/>
          <w:color w:val="32406B"/>
        </w:rPr>
        <w:t>CMBI</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32406B"/>
        </w:rPr>
        <w:t>The date of this prospectus is March 17, 2021</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4"/>
          <w:szCs w:val="14"/>
          <w:b w:val="1"/>
          <w:bCs w:val="1"/>
          <w:i w:val="1"/>
          <w:iCs w:val="1"/>
          <w:u w:val="single" w:color="auto"/>
          <w:color w:val="32406B"/>
        </w:rPr>
        <w:t>Total</w:t>
      </w:r>
    </w:p>
    <w:p>
      <w:pPr>
        <w:spacing w:after="0" w:line="18" w:lineRule="exact"/>
        <w:rPr>
          <w:sz w:val="20"/>
          <w:szCs w:val="20"/>
          <w:color w:val="auto"/>
        </w:rPr>
      </w:pPr>
    </w:p>
    <w:p>
      <w:pPr>
        <w:jc w:val="right"/>
        <w:ind w:right="80"/>
        <w:spacing w:after="0"/>
        <w:rPr>
          <w:sz w:val="20"/>
          <w:szCs w:val="20"/>
          <w:color w:val="auto"/>
        </w:rPr>
      </w:pPr>
      <w:r>
        <w:rPr>
          <w:rFonts w:ascii="Arial" w:cs="Arial" w:eastAsia="Arial" w:hAnsi="Arial"/>
          <w:sz w:val="13"/>
          <w:szCs w:val="13"/>
          <w:i w:val="1"/>
          <w:iCs w:val="1"/>
          <w:color w:val="32406B"/>
        </w:rPr>
        <w:t>US$915,390,000</w:t>
      </w:r>
    </w:p>
    <w:p>
      <w:pPr>
        <w:spacing w:after="0" w:line="13" w:lineRule="exact"/>
        <w:rPr>
          <w:sz w:val="20"/>
          <w:szCs w:val="20"/>
          <w:color w:val="auto"/>
        </w:rPr>
      </w:pPr>
    </w:p>
    <w:p>
      <w:pPr>
        <w:jc w:val="right"/>
        <w:ind w:right="80"/>
        <w:spacing w:after="0"/>
        <w:rPr>
          <w:sz w:val="20"/>
          <w:szCs w:val="20"/>
          <w:color w:val="auto"/>
        </w:rPr>
      </w:pPr>
      <w:r>
        <w:rPr>
          <w:rFonts w:ascii="Arial" w:cs="Arial" w:eastAsia="Arial" w:hAnsi="Arial"/>
          <w:sz w:val="14"/>
          <w:szCs w:val="14"/>
          <w:i w:val="1"/>
          <w:iCs w:val="1"/>
          <w:color w:val="32406B"/>
        </w:rPr>
        <w:t>US$36,615,600</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3"/>
          <w:szCs w:val="13"/>
          <w:i w:val="1"/>
          <w:iCs w:val="1"/>
          <w:color w:val="32406B"/>
        </w:rPr>
        <w:t>US$878,774,400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5"/>
          <w:szCs w:val="25"/>
          <w:i w:val="1"/>
          <w:iCs w:val="1"/>
          <w:color w:val="32406B"/>
        </w:rPr>
        <w:t>CICC</w:t>
      </w:r>
    </w:p>
    <w:p>
      <w:pPr>
        <w:sectPr>
          <w:pgSz w:w="11900" w:h="16838" w:orient="portrait"/>
          <w:cols w:equalWidth="0" w:num="2">
            <w:col w:w="9204" w:space="720"/>
            <w:col w:w="1100"/>
          </w:cols>
          <w:pgMar w:left="436" w:top="364" w:right="4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8092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0924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8092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0924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8092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0924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79381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79381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gridSpan w:val="4"/>
            <w:vMerge w:val="restart"/>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Summary</w:t>
              </w:r>
            </w:hyperlink>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406B"/>
                <w:w w:val="89"/>
              </w:rPr>
              <w:t>Page</w:t>
            </w:r>
          </w:p>
        </w:tc>
        <w:tc>
          <w:tcPr>
            <w:tcW w:w="5200" w:type="dxa"/>
            <w:vAlign w:val="bottom"/>
            <w:vMerge w:val="restart"/>
          </w:tcPr>
          <w:p>
            <w:pPr>
              <w:ind w:left="20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Regulation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32406B"/>
                <w:w w:val="83"/>
              </w:rPr>
              <w:t>Page</w:t>
            </w:r>
          </w:p>
        </w:tc>
        <w:tc>
          <w:tcPr>
            <w:tcW w:w="0" w:type="dxa"/>
            <w:vAlign w:val="bottom"/>
          </w:tcPr>
          <w:p>
            <w:pPr>
              <w:spacing w:after="0"/>
              <w:rPr>
                <w:sz w:val="1"/>
                <w:szCs w:val="1"/>
                <w:color w:val="auto"/>
              </w:rPr>
            </w:pPr>
          </w:p>
        </w:tc>
      </w:tr>
      <w:tr>
        <w:trPr>
          <w:trHeight w:val="195"/>
        </w:trPr>
        <w:tc>
          <w:tcPr>
            <w:tcW w:w="4880" w:type="dxa"/>
            <w:vAlign w:val="bottom"/>
            <w:gridSpan w:val="4"/>
            <w:vMerge w:val="continue"/>
          </w:tcPr>
          <w:p>
            <w:pPr>
              <w:spacing w:after="0"/>
              <w:rPr>
                <w:sz w:val="16"/>
                <w:szCs w:val="16"/>
                <w:color w:val="auto"/>
              </w:rPr>
            </w:pPr>
          </w:p>
        </w:tc>
        <w:tc>
          <w:tcPr>
            <w:tcW w:w="320" w:type="dxa"/>
            <w:vAlign w:val="bottom"/>
            <w:tcBorders>
              <w:top w:val="single" w:sz="8" w:color="32406B"/>
            </w:tcBorders>
          </w:tcPr>
          <w:p>
            <w:pPr>
              <w:jc w:val="right"/>
              <w:spacing w:after="0" w:line="195" w:lineRule="exact"/>
              <w:rPr>
                <w:sz w:val="20"/>
                <w:szCs w:val="20"/>
                <w:color w:val="auto"/>
              </w:rPr>
            </w:pPr>
            <w:r>
              <w:rPr>
                <w:rFonts w:ascii="Arial" w:cs="Arial" w:eastAsia="Arial" w:hAnsi="Arial"/>
                <w:sz w:val="18"/>
                <w:szCs w:val="18"/>
                <w:color w:val="32406B"/>
              </w:rPr>
              <w:t>1</w:t>
            </w:r>
          </w:p>
        </w:tc>
        <w:tc>
          <w:tcPr>
            <w:tcW w:w="22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320" w:type="dxa"/>
            <w:vAlign w:val="bottom"/>
            <w:tcBorders>
              <w:top w:val="single" w:sz="8" w:color="32406B"/>
            </w:tcBorders>
          </w:tcPr>
          <w:p>
            <w:pPr>
              <w:jc w:val="right"/>
              <w:spacing w:after="0" w:line="195" w:lineRule="exact"/>
              <w:rPr>
                <w:sz w:val="20"/>
                <w:szCs w:val="20"/>
                <w:color w:val="auto"/>
              </w:rPr>
            </w:pPr>
            <w:r>
              <w:rPr>
                <w:rFonts w:ascii="Arial" w:cs="Arial" w:eastAsia="Arial" w:hAnsi="Arial"/>
                <w:sz w:val="18"/>
                <w:szCs w:val="18"/>
                <w:color w:val="32406B"/>
                <w:w w:val="99"/>
              </w:rPr>
              <w:t>150</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22</w:t>
            </w:r>
          </w:p>
        </w:tc>
        <w:tc>
          <w:tcPr>
            <w:tcW w:w="5200" w:type="dxa"/>
            <w:vAlign w:val="bottom"/>
          </w:tcPr>
          <w:p>
            <w:pPr>
              <w:ind w:left="20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Management</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162</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w w:val="97"/>
              </w:rPr>
            </w:pPr>
            <w:hyperlink w:anchor="page82">
              <w:r>
                <w:rPr>
                  <w:rFonts w:ascii="Arial" w:cs="Arial" w:eastAsia="Arial" w:hAnsi="Arial"/>
                  <w:sz w:val="18"/>
                  <w:szCs w:val="18"/>
                  <w:u w:val="single" w:color="auto"/>
                  <w:color w:val="0000EE"/>
                  <w:w w:val="97"/>
                </w:rPr>
                <w:t>Cautionary Statement Regarding Forward-Looking Statements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75</w:t>
            </w:r>
          </w:p>
        </w:tc>
        <w:tc>
          <w:tcPr>
            <w:tcW w:w="5200" w:type="dxa"/>
            <w:vAlign w:val="bottom"/>
          </w:tcPr>
          <w:p>
            <w:pPr>
              <w:ind w:left="200"/>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Principal Shareholders</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170</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Use of Proceeds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76</w:t>
            </w:r>
          </w:p>
        </w:tc>
        <w:tc>
          <w:tcPr>
            <w:tcW w:w="5200" w:type="dxa"/>
            <w:vAlign w:val="bottom"/>
          </w:tcPr>
          <w:p>
            <w:pPr>
              <w:ind w:left="200"/>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Related Party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173</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Dividend Policy</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77</w:t>
            </w:r>
          </w:p>
        </w:tc>
        <w:tc>
          <w:tcPr>
            <w:tcW w:w="5200" w:type="dxa"/>
            <w:vAlign w:val="bottom"/>
          </w:tcPr>
          <w:p>
            <w:pPr>
              <w:ind w:left="200"/>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Description of Share Capital</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174</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Capitalization</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78</w:t>
            </w:r>
          </w:p>
        </w:tc>
        <w:tc>
          <w:tcPr>
            <w:tcW w:w="5200" w:type="dxa"/>
            <w:vAlign w:val="bottom"/>
          </w:tcPr>
          <w:p>
            <w:pPr>
              <w:ind w:left="200"/>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Description of American Depositary Shares</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187</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Dilution</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80</w:t>
            </w:r>
          </w:p>
        </w:tc>
        <w:tc>
          <w:tcPr>
            <w:tcW w:w="5200" w:type="dxa"/>
            <w:vAlign w:val="bottom"/>
          </w:tcPr>
          <w:p>
            <w:pPr>
              <w:ind w:left="20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Shares Eligible for Future Sale</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195</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Enforceability of Civil Liabilities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82</w:t>
            </w:r>
          </w:p>
        </w:tc>
        <w:tc>
          <w:tcPr>
            <w:tcW w:w="5200" w:type="dxa"/>
            <w:vAlign w:val="bottom"/>
          </w:tcPr>
          <w:p>
            <w:pPr>
              <w:ind w:left="20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Taxation</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197</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Our History and Corporate Structure</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84</w:t>
            </w:r>
          </w:p>
        </w:tc>
        <w:tc>
          <w:tcPr>
            <w:tcW w:w="5200" w:type="dxa"/>
            <w:vAlign w:val="bottom"/>
          </w:tcPr>
          <w:p>
            <w:pPr>
              <w:ind w:left="200"/>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Underwriting</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203</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Selected Consolidated Operating and Financial Data</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88</w:t>
            </w:r>
          </w:p>
        </w:tc>
        <w:tc>
          <w:tcPr>
            <w:tcW w:w="5200" w:type="dxa"/>
            <w:vAlign w:val="bottom"/>
          </w:tcPr>
          <w:p>
            <w:pPr>
              <w:ind w:left="20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Expenses Relating to this Offering</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214</w:t>
            </w:r>
          </w:p>
        </w:tc>
        <w:tc>
          <w:tcPr>
            <w:tcW w:w="0" w:type="dxa"/>
            <w:vAlign w:val="bottom"/>
          </w:tcPr>
          <w:p>
            <w:pPr>
              <w:spacing w:after="0"/>
              <w:rPr>
                <w:sz w:val="1"/>
                <w:szCs w:val="1"/>
                <w:color w:val="auto"/>
              </w:rPr>
            </w:pPr>
          </w:p>
        </w:tc>
      </w:tr>
      <w:tr>
        <w:trPr>
          <w:trHeight w:val="190"/>
        </w:trPr>
        <w:tc>
          <w:tcPr>
            <w:tcW w:w="4880" w:type="dxa"/>
            <w:vAlign w:val="bottom"/>
            <w:gridSpan w:val="4"/>
          </w:tcPr>
          <w:p>
            <w:pPr>
              <w:spacing w:after="0" w:line="190" w:lineRule="exact"/>
              <w:rPr>
                <w:rFonts w:ascii="Arial" w:cs="Arial" w:eastAsia="Arial" w:hAnsi="Arial"/>
                <w:sz w:val="18"/>
                <w:szCs w:val="18"/>
                <w:color w:val="0000EE"/>
                <w:w w:val="98"/>
              </w:rPr>
            </w:pPr>
            <w:hyperlink w:anchor="page98">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0" w:type="dxa"/>
            <w:vAlign w:val="bottom"/>
          </w:tcPr>
          <w:p>
            <w:pPr>
              <w:ind w:left="200"/>
              <w:spacing w:after="0" w:line="190" w:lineRule="exact"/>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Legal Matters</w:t>
              </w:r>
            </w:hyperlink>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32406B"/>
                <w:w w:val="99"/>
              </w:rPr>
              <w:t>215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and Results of Operations</w:t>
              </w:r>
            </w:hyperlink>
          </w:p>
        </w:tc>
        <w:tc>
          <w:tcPr>
            <w:tcW w:w="340" w:type="dxa"/>
            <w:vAlign w:val="bottom"/>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32406B"/>
              </w:rPr>
              <w:t>91</w:t>
            </w:r>
          </w:p>
        </w:tc>
        <w:tc>
          <w:tcPr>
            <w:tcW w:w="5200" w:type="dxa"/>
            <w:vAlign w:val="bottom"/>
          </w:tcPr>
          <w:p>
            <w:pPr>
              <w:ind w:left="200"/>
              <w:spacing w:after="0" w:line="196" w:lineRule="exact"/>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216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gridSpan w:val="4"/>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Industry Overview</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121</w:t>
            </w:r>
          </w:p>
        </w:tc>
        <w:tc>
          <w:tcPr>
            <w:tcW w:w="5200" w:type="dxa"/>
            <w:vAlign w:val="bottom"/>
          </w:tcPr>
          <w:p>
            <w:pPr>
              <w:ind w:left="200"/>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Where You Can Find Additional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217</w:t>
            </w:r>
          </w:p>
        </w:tc>
        <w:tc>
          <w:tcPr>
            <w:tcW w:w="0" w:type="dxa"/>
            <w:vAlign w:val="bottom"/>
          </w:tcPr>
          <w:p>
            <w:pPr>
              <w:spacing w:after="0"/>
              <w:rPr>
                <w:sz w:val="1"/>
                <w:szCs w:val="1"/>
                <w:color w:val="auto"/>
              </w:rPr>
            </w:pPr>
          </w:p>
        </w:tc>
      </w:tr>
      <w:tr>
        <w:trPr>
          <w:trHeight w:val="230"/>
        </w:trPr>
        <w:tc>
          <w:tcPr>
            <w:tcW w:w="4880" w:type="dxa"/>
            <w:vAlign w:val="bottom"/>
            <w:gridSpan w:val="4"/>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Business</w:t>
              </w:r>
            </w:hyperlink>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32406B"/>
              </w:rPr>
              <w:t>127</w:t>
            </w:r>
          </w:p>
        </w:tc>
        <w:tc>
          <w:tcPr>
            <w:tcW w:w="5200" w:type="dxa"/>
            <w:vAlign w:val="bottom"/>
          </w:tcPr>
          <w:p>
            <w:pPr>
              <w:ind w:left="20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Index to the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32406B"/>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316865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32406B"/>
        </w:rPr>
        <w:t>Unless otherwise indicated or the context otherwise requires, all references in this prospectus to “Tuya Inc.” or the “Company,” “we,” “our,” “ours,” “us” or similar terms refer to Tuya Inc., together with its subsidiaries, and, in the context of describing our operations and consolidated financial information, its consolidated variable interest entity, or VIE.</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32406B"/>
        </w:rPr>
        <w:t>We have not authorized anyone to provide any information other than that contained in this prospectus or in any free writing prospectus prepared by or on behalf of us or to which we may have referred you. We take no responsibility for, and can provide no assurance as to the reliability of, any other information that others may give you. We and the underwriters have not authorized any other person to provide you with different or additional information. Neither we nor the underwriters are making an offer to sell the ordinary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ADSs representing our Class A ordinary shares. Our business, financial condition, results of operations and prospects may have changed since the date on the front cover of this prospectus.</w:t>
      </w:r>
    </w:p>
    <w:p>
      <w:pPr>
        <w:spacing w:after="0" w:line="174" w:lineRule="exact"/>
        <w:rPr>
          <w:sz w:val="20"/>
          <w:szCs w:val="20"/>
          <w:color w:val="auto"/>
        </w:rPr>
      </w:pPr>
    </w:p>
    <w:p>
      <w:pPr>
        <w:ind w:left="120" w:right="360" w:firstLine="440"/>
        <w:spacing w:after="0" w:line="266" w:lineRule="auto"/>
        <w:rPr>
          <w:sz w:val="20"/>
          <w:szCs w:val="20"/>
          <w:color w:val="auto"/>
        </w:rPr>
      </w:pPr>
      <w:r>
        <w:rPr>
          <w:rFonts w:ascii="Arial" w:cs="Arial" w:eastAsia="Arial" w:hAnsi="Arial"/>
          <w:sz w:val="18"/>
          <w:szCs w:val="18"/>
          <w:b w:val="1"/>
          <w:bCs w:val="1"/>
          <w:color w:val="32406B"/>
        </w:rPr>
        <w:t>Until April 11, 2021 (the 25th day after the date of this prospectus), all dealers that buy, sell or trade the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i</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38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4538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32406B"/>
        </w:rPr>
        <w:t>PROSPECTUS SUMMARY</w:t>
      </w:r>
    </w:p>
    <w:p>
      <w:pPr>
        <w:spacing w:after="0" w:line="229" w:lineRule="exact"/>
        <w:rPr>
          <w:sz w:val="20"/>
          <w:szCs w:val="20"/>
          <w:color w:val="auto"/>
        </w:rPr>
      </w:pPr>
    </w:p>
    <w:p>
      <w:pPr>
        <w:ind w:left="300" w:right="80" w:firstLine="426"/>
        <w:spacing w:after="0" w:line="301" w:lineRule="auto"/>
        <w:rPr>
          <w:sz w:val="20"/>
          <w:szCs w:val="20"/>
          <w:color w:val="auto"/>
        </w:rPr>
      </w:pPr>
      <w:r>
        <w:rPr>
          <w:rFonts w:ascii="Arial" w:cs="Arial" w:eastAsia="Arial" w:hAnsi="Arial"/>
          <w:sz w:val="16"/>
          <w:szCs w:val="16"/>
          <w:i w:val="1"/>
          <w:iCs w:val="1"/>
          <w:color w:val="32406B"/>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the ADSs discussed under “Risk Factors,” “Business,” and information contained in “Management’s Discussion and Analysis of Financial Condition and Results of Operations” before deciding whether to buy the ADSs.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Mission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Our mission is to build an IoT developer ecosystem and to enable everything to be smart.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Culture</w:t>
      </w:r>
    </w:p>
    <w:p>
      <w:pPr>
        <w:spacing w:after="0" w:line="121" w:lineRule="exact"/>
        <w:rPr>
          <w:sz w:val="20"/>
          <w:szCs w:val="20"/>
          <w:color w:val="auto"/>
        </w:rPr>
      </w:pPr>
    </w:p>
    <w:p>
      <w:pPr>
        <w:ind w:left="300" w:right="120" w:firstLine="426"/>
        <w:spacing w:after="0" w:line="273" w:lineRule="auto"/>
        <w:rPr>
          <w:sz w:val="20"/>
          <w:szCs w:val="20"/>
          <w:color w:val="auto"/>
        </w:rPr>
      </w:pPr>
      <w:r>
        <w:rPr>
          <w:rFonts w:ascii="Arial" w:cs="Arial" w:eastAsia="Arial" w:hAnsi="Arial"/>
          <w:sz w:val="17"/>
          <w:szCs w:val="17"/>
          <w:color w:val="32406B"/>
        </w:rPr>
        <w:t>We are a team of engineers and entrepreneurs with rich experience in software, cloud and enterprise services. Together as a team, we have a vision that in the era of Internet of Things, or IoT, every “thing” will be connected seamlessly to unleash enormous commercial opportunities through software and to create value for users. We founded Tuya based upon the principles of team spirit, innovation and unlimited courage. We firmly believe that success comes for those who share a common pursuit to change the world for the better, those who are reformers to constantly generate groundbreaking ideas, and those who are brave enough to face the challenges and turn these ideas into reality. These beliefs underpin all the work we do and are the foundation of our corporate culture.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32406B"/>
        </w:rPr>
        <w:t>We have pioneered a purpose-built IoT cloud platform that delivers a full suite of offerings, including Platform-as-a-Service, or PaaS, and Software-as-a-Service, or SaaS, to businesses and developers. IoT is fundamentally changing the world and creating enormous business opportunities. Our IoT PaaS offering enables businesses and developers to quickly and cost-effectively develop, launch, manage and monetize software-enabled devices and services. Our Industry SaaS offering enables businesses to easily and securely deploy, connect, and manage large numbers and different types of smart devices. We also offer businesses, developers and end users a wide range of cloud-based value-added services to improve their ability to develop and manage IoT experiences.</w:t>
      </w:r>
    </w:p>
    <w:p>
      <w:pPr>
        <w:spacing w:after="0" w:line="192"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32406B"/>
        </w:rPr>
        <w:t>Through our IoT cloud platform, we have enabled developers to activate a vibrant IoT ecosystem of brands, OEMs, partners and end users to engage and communicate through a broad range of smart devices.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32406B"/>
        </w:rPr>
        <w:t>1</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6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32406B"/>
        </w:rPr>
        <w:t>We had over 5,000 customers in 2020, primarily including brands, original equipment manufacturers or OEMs, industry operators and system integrators. For the same period, our IoT PaaS empowered over 2,700 brands to develop their smart devices, including leading brands such as Calex, Philips and Schneider Electric. Our IoT PaaS currently enables businesses and developers to develop smart devices in more than 1,100 categories sold across over 220 countries and regions globally. In 2020, we powered over 116.5 million smart devices, making us the largest IoT PaaS business in the global market of IoT PaaS in terms of the volume of smart devices powered, according to CIC. As of December 31, 2020, there were approximately 204.3 million smart devices powered by Tuya. We are also attracting an increasing number of Industry SaaS customers. We have also established a large and active community of over 262,000 IoT device and software developers as of December 31, 2020. Our IoT cloud platform is currently capable of processing over 84 billion cloud requests and over 122 million AI voice interactions daily. Today, smart devices powered by Tuya are available in over 100,000 stores all over the world.</w:t>
      </w:r>
    </w:p>
    <w:p>
      <w:pPr>
        <w:spacing w:after="0" w:line="18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32406B"/>
        </w:rPr>
        <w:t>IoT provides the opportunity of connecting every thing and every person. This offers a growth opportunity similar to that of the mobile internet. Today, billions of smartphone users run their lives on millions of apps. The mobile internet revolution is made possible by ubiquitous high speed connectivity, local capabilities in computing, storage and networking, and most importantly a software experience that transforms business operations and user interaction. We believe IoT will follow a similar evolution enabled by connectivity, computing, software and software development tools. The IoT developers are key to unlocking the IoT growth opportunity. As developers create more smart devices and IoT services, they need a software platform that enables them to develop efficiently and manage the complexities of the full development cycle.</w:t>
      </w:r>
    </w:p>
    <w:p>
      <w:pPr>
        <w:spacing w:after="0" w:line="164"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color w:val="32406B"/>
        </w:rPr>
        <w:t>We are the software platform for the IoT era. Traditionally, businesses offered static, disconnected devices that limited their ability to establish and maintain long-term relationships with their end users. We have built a neutral, comprehensive, cloud-native and developer-friendly platform, where businesses and developers can develop software applications that turn traditional devices into connected and active devices, engage with end users throughout the product lifecycle, and create new revenue opportunities.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2</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32406B"/>
        </w:rPr>
        <w:t>Our products enable customers across a broad range of industry verticals, such as smart home, smart business, healthcare, education and agriculture. Our multi-cloud platform allows customers to switch among major cloud infrastructure providers, such as Amazon Web Services, Microsoft Azure and Tencent Cloud, and integrates mainstream third-party technologies, such as Amazon Alexa, Google Assistant and Samsung SmartThings, to make smart devices more intelligent.</w:t>
      </w:r>
    </w:p>
    <w:p>
      <w:pPr>
        <w:spacing w:after="0" w:line="187"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32406B"/>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 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w:t>
      </w:r>
    </w:p>
    <w:p>
      <w:pPr>
        <w:spacing w:after="0" w:line="195"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32406B"/>
        </w:rPr>
        <w:t>We help our customers succeed and we benefit from their growth through our consumption-based revenue model as we deploy IoT PaaS to more smart devices developed by our customers. We had 188 premium IoT PaaS customers, defined as IoT PaaS customers who individually contributed more than US$100,000 of revenue during the immediately preceding 12-month periods, as of December 31, 2020. In 2020, our premium IoT PaaS customers contributed approximately 87% of our revenues generated from IoT PaaS. Our dollar-based net expansion rate of IoT PaaS was 181% for the trailing 12-month period ended December 31, 2020, indicating strong growth within our existing customer base.</w:t>
      </w:r>
    </w:p>
    <w:p>
      <w:pPr>
        <w:spacing w:after="0" w:line="161"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32406B"/>
        </w:rPr>
        <w:t>We also provide Industry SaaS in select verticals to directly help businesses deliver a full IoT experience, driving efficiency, cost saving and productivity. For example, our Smart Hotel SaaS solution allows hotel managers to monitor from a single control point different aspects of hotel services, such as housekeeping, guest traffic control, property surveillance and maintenance. Our Smart Consumer Security SaaS solution enables home and business owners to monitor multiple smart consumer security devices, such as sensors and motion detectors, to enhance security and provide better control over their properties.</w:t>
      </w:r>
    </w:p>
    <w:p>
      <w:pPr>
        <w:spacing w:after="0" w:line="188"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32406B"/>
        </w:rPr>
        <w:t>Our business has scaled rapidly in recent periods. For 2020, our revenue grew to US$179.9 million, representing an increase of 70% over the same period in 2019. We generated net loss of US$70.5 million and US$66.9 million in 2019 and 2020, respectively.</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The Internet of Things Era</w:t>
      </w:r>
    </w:p>
    <w:p>
      <w:pPr>
        <w:spacing w:after="0" w:line="117"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32406B"/>
        </w:rPr>
        <w:t>Internet of Things—the concept of connecting physical devices to a large, interconnected network—is profoundly transforming the way individuals interact with the physical world and changing how device companies develop products.</w:t>
      </w:r>
    </w:p>
    <w:p>
      <w:pPr>
        <w:spacing w:after="0" w:line="170" w:lineRule="exact"/>
        <w:rPr>
          <w:sz w:val="20"/>
          <w:szCs w:val="20"/>
          <w:color w:val="auto"/>
        </w:rPr>
      </w:pPr>
    </w:p>
    <w:p>
      <w:pPr>
        <w:ind w:left="300" w:right="340" w:firstLine="426"/>
        <w:spacing w:after="0" w:line="301" w:lineRule="auto"/>
        <w:rPr>
          <w:sz w:val="20"/>
          <w:szCs w:val="20"/>
          <w:color w:val="auto"/>
        </w:rPr>
      </w:pPr>
      <w:r>
        <w:rPr>
          <w:rFonts w:ascii="Arial" w:cs="Arial" w:eastAsia="Arial" w:hAnsi="Arial"/>
          <w:sz w:val="16"/>
          <w:szCs w:val="16"/>
          <w:color w:val="32406B"/>
        </w:rPr>
        <w:t>In the past decade, the mobile internet transformed people’s way of life. There was a convergence of operating systems and application development tools for smartphones, which drove a vibrant ecosystem of phones, users, developers and applications. Today there are billions of smartphone users and millions of mobile apps. These mobile apps enabled people to socialize online, consume local services and conduct their lives from a smartphone. The concept of “Social, Local, Mobile”, or SoLoMo, has created trillion dollars of value in mobile internet.</w:t>
      </w:r>
    </w:p>
    <w:p>
      <w:pPr>
        <w:spacing w:after="0" w:line="157"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32406B"/>
        </w:rPr>
        <w:t>The IoT era transcends the mobile internet, with SoLoMo evolving to “Assistant, Space, Things”, generating a massive opportunity for value creation by businesses.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3</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8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The Growing Importance of a Software Experience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With favorable technology drivers, users want a software experience in IoT, and businesses need to deliver it.</w:t>
      </w:r>
    </w:p>
    <w:p>
      <w:pPr>
        <w:spacing w:after="0" w:line="131" w:lineRule="exact"/>
        <w:rPr>
          <w:sz w:val="20"/>
          <w:szCs w:val="20"/>
          <w:color w:val="auto"/>
        </w:rPr>
      </w:pPr>
    </w:p>
    <w:p>
      <w:pPr>
        <w:ind w:left="1240" w:right="320" w:hanging="523"/>
        <w:spacing w:after="0" w:line="259" w:lineRule="auto"/>
        <w:tabs>
          <w:tab w:leader="none" w:pos="1240" w:val="left"/>
        </w:tabs>
        <w:numPr>
          <w:ilvl w:val="0"/>
          <w:numId w:val="2"/>
        </w:numPr>
        <w:rPr>
          <w:rFonts w:ascii="Arial" w:cs="Arial" w:eastAsia="Arial" w:hAnsi="Arial"/>
          <w:sz w:val="18"/>
          <w:szCs w:val="18"/>
          <w:color w:val="32406B"/>
        </w:rPr>
      </w:pPr>
      <w:r>
        <w:rPr>
          <w:rFonts w:ascii="Arial" w:cs="Arial" w:eastAsia="Arial" w:hAnsi="Arial"/>
          <w:sz w:val="18"/>
          <w:szCs w:val="18"/>
          <w:i w:val="1"/>
          <w:iCs w:val="1"/>
          <w:color w:val="32406B"/>
        </w:rPr>
        <w:t xml:space="preserve">Consumers expect a software-like experience. </w:t>
      </w:r>
      <w:r>
        <w:rPr>
          <w:rFonts w:ascii="Arial" w:cs="Arial" w:eastAsia="Arial" w:hAnsi="Arial"/>
          <w:sz w:val="18"/>
          <w:szCs w:val="18"/>
          <w:color w:val="32406B"/>
        </w:rPr>
        <w:t>Traditionally, consumer devices were largely designed with physical and manual</w:t>
      </w:r>
      <w:r>
        <w:rPr>
          <w:rFonts w:ascii="Arial" w:cs="Arial" w:eastAsia="Arial" w:hAnsi="Arial"/>
          <w:sz w:val="18"/>
          <w:szCs w:val="18"/>
          <w:i w:val="1"/>
          <w:iCs w:val="1"/>
          <w:color w:val="32406B"/>
        </w:rPr>
        <w:t xml:space="preserve"> </w:t>
      </w:r>
      <w:r>
        <w:rPr>
          <w:rFonts w:ascii="Arial" w:cs="Arial" w:eastAsia="Arial" w:hAnsi="Arial"/>
          <w:sz w:val="18"/>
          <w:szCs w:val="18"/>
          <w:color w:val="32406B"/>
        </w:rPr>
        <w:t>interfaces. Consumers are accustomed to software-like experiences to program, control and interact with their devices in the most convenient ways. Recently, voice-enabled devices supported by Amazon Alexa, Google Assistant, Samsung SmartThings or other virtual assistants that further simplify interaction have proliferated rapidly.</w:t>
      </w:r>
    </w:p>
    <w:p>
      <w:pPr>
        <w:spacing w:after="0" w:line="92" w:lineRule="exact"/>
        <w:rPr>
          <w:rFonts w:ascii="Arial" w:cs="Arial" w:eastAsia="Arial" w:hAnsi="Arial"/>
          <w:sz w:val="18"/>
          <w:szCs w:val="18"/>
          <w:color w:val="32406B"/>
        </w:rPr>
      </w:pPr>
    </w:p>
    <w:p>
      <w:pPr>
        <w:ind w:left="1240" w:right="80" w:hanging="523"/>
        <w:spacing w:after="0" w:line="257" w:lineRule="auto"/>
        <w:tabs>
          <w:tab w:leader="none" w:pos="1240" w:val="left"/>
        </w:tabs>
        <w:numPr>
          <w:ilvl w:val="0"/>
          <w:numId w:val="2"/>
        </w:numPr>
        <w:rPr>
          <w:rFonts w:ascii="Arial" w:cs="Arial" w:eastAsia="Arial" w:hAnsi="Arial"/>
          <w:sz w:val="18"/>
          <w:szCs w:val="18"/>
          <w:color w:val="32406B"/>
        </w:rPr>
      </w:pPr>
      <w:r>
        <w:rPr>
          <w:rFonts w:ascii="Arial" w:cs="Arial" w:eastAsia="Arial" w:hAnsi="Arial"/>
          <w:sz w:val="18"/>
          <w:szCs w:val="18"/>
          <w:i w:val="1"/>
          <w:iCs w:val="1"/>
          <w:color w:val="32406B"/>
        </w:rPr>
        <w:t xml:space="preserve">Product companies must transform into software companies. </w:t>
      </w:r>
      <w:r>
        <w:rPr>
          <w:rFonts w:ascii="Arial" w:cs="Arial" w:eastAsia="Arial" w:hAnsi="Arial"/>
          <w:sz w:val="18"/>
          <w:szCs w:val="18"/>
          <w:color w:val="32406B"/>
        </w:rPr>
        <w:t>As consumer preferences evolve, product companies recognize the need</w:t>
      </w:r>
      <w:r>
        <w:rPr>
          <w:rFonts w:ascii="Arial" w:cs="Arial" w:eastAsia="Arial" w:hAnsi="Arial"/>
          <w:sz w:val="18"/>
          <w:szCs w:val="18"/>
          <w:i w:val="1"/>
          <w:iCs w:val="1"/>
          <w:color w:val="32406B"/>
        </w:rPr>
        <w:t xml:space="preserve"> </w:t>
      </w:r>
      <w:r>
        <w:rPr>
          <w:rFonts w:ascii="Arial" w:cs="Arial" w:eastAsia="Arial" w:hAnsi="Arial"/>
          <w:sz w:val="18"/>
          <w:szCs w:val="18"/>
          <w:color w:val="32406B"/>
        </w:rPr>
        <w:t>to deliver a differentiated experience by software-enabling their products. This enables product companies to transform into software companies. Products that are software enabled and internet connected allow branded product companies to gain valuable insights through feedback based on multi-dimensional data collected by the devices, and to offer and enhance user experience from improved product design and algorithms.</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Challenges in Delivering IoT and Software Experience</w:t>
      </w:r>
    </w:p>
    <w:p>
      <w:pPr>
        <w:spacing w:after="0" w:line="117"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32406B"/>
        </w:rPr>
        <w:t>Businesses and developers still face a number of challenges in delivering software-enabled IoT offerings, which also affect the end user experience:</w:t>
      </w:r>
    </w:p>
    <w:p>
      <w:pPr>
        <w:spacing w:after="0" w:line="76" w:lineRule="exact"/>
        <w:rPr>
          <w:sz w:val="20"/>
          <w:szCs w:val="20"/>
          <w:color w:val="auto"/>
        </w:rPr>
      </w:pPr>
    </w:p>
    <w:p>
      <w:pPr>
        <w:ind w:left="1240" w:right="100" w:hanging="523"/>
        <w:spacing w:after="0" w:line="286" w:lineRule="auto"/>
        <w:tabs>
          <w:tab w:leader="none" w:pos="1240" w:val="left"/>
        </w:tabs>
        <w:numPr>
          <w:ilvl w:val="0"/>
          <w:numId w:val="3"/>
        </w:numPr>
        <w:rPr>
          <w:rFonts w:ascii="Arial" w:cs="Arial" w:eastAsia="Arial" w:hAnsi="Arial"/>
          <w:sz w:val="17"/>
          <w:szCs w:val="17"/>
          <w:color w:val="32406B"/>
        </w:rPr>
      </w:pPr>
      <w:r>
        <w:rPr>
          <w:rFonts w:ascii="Arial" w:cs="Arial" w:eastAsia="Arial" w:hAnsi="Arial"/>
          <w:sz w:val="17"/>
          <w:szCs w:val="17"/>
          <w:i w:val="1"/>
          <w:iCs w:val="1"/>
          <w:color w:val="32406B"/>
        </w:rPr>
        <w:t xml:space="preserve">Lack of development talent and capabilities. </w:t>
      </w:r>
      <w:r>
        <w:rPr>
          <w:rFonts w:ascii="Arial" w:cs="Arial" w:eastAsia="Arial" w:hAnsi="Arial"/>
          <w:sz w:val="17"/>
          <w:szCs w:val="17"/>
          <w:color w:val="32406B"/>
        </w:rPr>
        <w:t>Both device and software development require new capabilities to support the design,</w:t>
      </w:r>
      <w:r>
        <w:rPr>
          <w:rFonts w:ascii="Arial" w:cs="Arial" w:eastAsia="Arial" w:hAnsi="Arial"/>
          <w:sz w:val="17"/>
          <w:szCs w:val="17"/>
          <w:i w:val="1"/>
          <w:iCs w:val="1"/>
          <w:color w:val="32406B"/>
        </w:rPr>
        <w:t xml:space="preserve"> </w:t>
      </w:r>
      <w:r>
        <w:rPr>
          <w:rFonts w:ascii="Arial" w:cs="Arial" w:eastAsia="Arial" w:hAnsi="Arial"/>
          <w:sz w:val="17"/>
          <w:szCs w:val="17"/>
          <w:color w:val="32406B"/>
        </w:rPr>
        <w:t>release and management of software-enabled products. Such technology expertise—especially the knowledge, experience and talents necessary to support software deployed across millions of devices—is in short supply.</w:t>
      </w:r>
    </w:p>
    <w:p>
      <w:pPr>
        <w:spacing w:after="0" w:line="70" w:lineRule="exact"/>
        <w:rPr>
          <w:rFonts w:ascii="Arial" w:cs="Arial" w:eastAsia="Arial" w:hAnsi="Arial"/>
          <w:sz w:val="17"/>
          <w:szCs w:val="17"/>
          <w:color w:val="32406B"/>
        </w:rPr>
      </w:pPr>
    </w:p>
    <w:p>
      <w:pPr>
        <w:ind w:left="1240" w:right="180" w:hanging="523"/>
        <w:spacing w:after="0" w:line="259" w:lineRule="auto"/>
        <w:tabs>
          <w:tab w:leader="none" w:pos="1240" w:val="left"/>
        </w:tabs>
        <w:numPr>
          <w:ilvl w:val="0"/>
          <w:numId w:val="3"/>
        </w:numPr>
        <w:rPr>
          <w:rFonts w:ascii="Arial" w:cs="Arial" w:eastAsia="Arial" w:hAnsi="Arial"/>
          <w:sz w:val="18"/>
          <w:szCs w:val="18"/>
          <w:color w:val="32406B"/>
        </w:rPr>
      </w:pPr>
      <w:r>
        <w:rPr>
          <w:rFonts w:ascii="Arial" w:cs="Arial" w:eastAsia="Arial" w:hAnsi="Arial"/>
          <w:sz w:val="18"/>
          <w:szCs w:val="18"/>
          <w:i w:val="1"/>
          <w:iCs w:val="1"/>
          <w:color w:val="32406B"/>
        </w:rPr>
        <w:t xml:space="preserve">Cost and complexity to develop platform, tools and applications. </w:t>
      </w:r>
      <w:r>
        <w:rPr>
          <w:rFonts w:ascii="Arial" w:cs="Arial" w:eastAsia="Arial" w:hAnsi="Arial"/>
          <w:sz w:val="18"/>
          <w:szCs w:val="18"/>
          <w:color w:val="32406B"/>
        </w:rPr>
        <w:t>For product companies and developers, significant investments are</w:t>
      </w:r>
      <w:r>
        <w:rPr>
          <w:rFonts w:ascii="Arial" w:cs="Arial" w:eastAsia="Arial" w:hAnsi="Arial"/>
          <w:sz w:val="18"/>
          <w:szCs w:val="18"/>
          <w:i w:val="1"/>
          <w:iCs w:val="1"/>
          <w:color w:val="32406B"/>
        </w:rPr>
        <w:t xml:space="preserve"> </w:t>
      </w:r>
      <w:r>
        <w:rPr>
          <w:rFonts w:ascii="Arial" w:cs="Arial" w:eastAsia="Arial" w:hAnsi="Arial"/>
          <w:sz w:val="18"/>
          <w:szCs w:val="18"/>
          <w:color w:val="32406B"/>
        </w:rPr>
        <w:t>required to develop an IoT offering, ranging from developing scalable platform software or middleware as well as easy-to-use developer tools, all the way to designing and testing customer-facing applications. Rigorous requirements on security, compliance, scalability and interoperability bring additional cost and complexity.</w:t>
      </w:r>
    </w:p>
    <w:p>
      <w:pPr>
        <w:spacing w:after="0" w:line="92" w:lineRule="exact"/>
        <w:rPr>
          <w:rFonts w:ascii="Arial" w:cs="Arial" w:eastAsia="Arial" w:hAnsi="Arial"/>
          <w:sz w:val="18"/>
          <w:szCs w:val="18"/>
          <w:color w:val="32406B"/>
        </w:rPr>
      </w:pPr>
    </w:p>
    <w:p>
      <w:pPr>
        <w:ind w:left="1240" w:right="580" w:hanging="523"/>
        <w:spacing w:after="0" w:line="263" w:lineRule="auto"/>
        <w:tabs>
          <w:tab w:leader="none" w:pos="1240" w:val="left"/>
        </w:tabs>
        <w:numPr>
          <w:ilvl w:val="0"/>
          <w:numId w:val="3"/>
        </w:numPr>
        <w:rPr>
          <w:rFonts w:ascii="Arial" w:cs="Arial" w:eastAsia="Arial" w:hAnsi="Arial"/>
          <w:sz w:val="18"/>
          <w:szCs w:val="18"/>
          <w:color w:val="32406B"/>
        </w:rPr>
      </w:pPr>
      <w:r>
        <w:rPr>
          <w:rFonts w:ascii="Arial" w:cs="Arial" w:eastAsia="Arial" w:hAnsi="Arial"/>
          <w:sz w:val="18"/>
          <w:szCs w:val="18"/>
          <w:i w:val="1"/>
          <w:iCs w:val="1"/>
          <w:color w:val="32406B"/>
        </w:rPr>
        <w:t xml:space="preserve">Long time-to-market. </w:t>
      </w:r>
      <w:r>
        <w:rPr>
          <w:rFonts w:ascii="Arial" w:cs="Arial" w:eastAsia="Arial" w:hAnsi="Arial"/>
          <w:sz w:val="18"/>
          <w:szCs w:val="18"/>
          <w:color w:val="32406B"/>
        </w:rPr>
        <w:t>There is an immediate need for brands and OEMs to deliver software-enabled experiences for traditional</w:t>
      </w:r>
      <w:r>
        <w:rPr>
          <w:rFonts w:ascii="Arial" w:cs="Arial" w:eastAsia="Arial" w:hAnsi="Arial"/>
          <w:sz w:val="18"/>
          <w:szCs w:val="18"/>
          <w:i w:val="1"/>
          <w:iCs w:val="1"/>
          <w:color w:val="32406B"/>
        </w:rPr>
        <w:t xml:space="preserve"> </w:t>
      </w:r>
      <w:r>
        <w:rPr>
          <w:rFonts w:ascii="Arial" w:cs="Arial" w:eastAsia="Arial" w:hAnsi="Arial"/>
          <w:sz w:val="18"/>
          <w:szCs w:val="18"/>
          <w:color w:val="32406B"/>
        </w:rPr>
        <w:t>products. Undergoing such a transformation on their own or even integrating piecemeal offerings to tailor this, leads to long development cycles and often loss of market share.</w:t>
      </w:r>
    </w:p>
    <w:p>
      <w:pPr>
        <w:spacing w:after="0" w:line="89" w:lineRule="exact"/>
        <w:rPr>
          <w:rFonts w:ascii="Arial" w:cs="Arial" w:eastAsia="Arial" w:hAnsi="Arial"/>
          <w:sz w:val="18"/>
          <w:szCs w:val="18"/>
          <w:color w:val="32406B"/>
        </w:rPr>
      </w:pPr>
    </w:p>
    <w:p>
      <w:pPr>
        <w:ind w:left="1240" w:right="100" w:hanging="523"/>
        <w:spacing w:after="0" w:line="296" w:lineRule="auto"/>
        <w:tabs>
          <w:tab w:leader="none" w:pos="1240" w:val="left"/>
        </w:tabs>
        <w:numPr>
          <w:ilvl w:val="0"/>
          <w:numId w:val="3"/>
        </w:numPr>
        <w:rPr>
          <w:rFonts w:ascii="Arial" w:cs="Arial" w:eastAsia="Arial" w:hAnsi="Arial"/>
          <w:sz w:val="16"/>
          <w:szCs w:val="16"/>
          <w:color w:val="32406B"/>
        </w:rPr>
      </w:pPr>
      <w:r>
        <w:rPr>
          <w:rFonts w:ascii="Arial" w:cs="Arial" w:eastAsia="Arial" w:hAnsi="Arial"/>
          <w:sz w:val="16"/>
          <w:szCs w:val="16"/>
          <w:i w:val="1"/>
          <w:iCs w:val="1"/>
          <w:color w:val="32406B"/>
        </w:rPr>
        <w:t xml:space="preserve">Lack of standardized, easy-to-use infrastructure and tools for developers. </w:t>
      </w:r>
      <w:r>
        <w:rPr>
          <w:rFonts w:ascii="Arial" w:cs="Arial" w:eastAsia="Arial" w:hAnsi="Arial"/>
          <w:sz w:val="16"/>
          <w:szCs w:val="16"/>
          <w:color w:val="32406B"/>
        </w:rPr>
        <w:t>Developers for smart devices and IoT software often face a</w:t>
      </w:r>
      <w:r>
        <w:rPr>
          <w:rFonts w:ascii="Arial" w:cs="Arial" w:eastAsia="Arial" w:hAnsi="Arial"/>
          <w:sz w:val="16"/>
          <w:szCs w:val="16"/>
          <w:i w:val="1"/>
          <w:iCs w:val="1"/>
          <w:color w:val="32406B"/>
        </w:rPr>
        <w:t xml:space="preserve"> </w:t>
      </w:r>
      <w:r>
        <w:rPr>
          <w:rFonts w:ascii="Arial" w:cs="Arial" w:eastAsia="Arial" w:hAnsi="Arial"/>
          <w:sz w:val="16"/>
          <w:szCs w:val="16"/>
          <w:color w:val="32406B"/>
        </w:rPr>
        <w:t>lack of widely established standards given the industry is relatively nascent. It can take tremendous effort to develop common software infrastructure with a large variety of application programming interfaces, or APIs, that might not be compatible with each other or to migrate a set of developed software and data from one cloud provider to another. This common software infrastructure is often difficult for application developers to build and scale to support evolving application requirements.</w:t>
      </w:r>
    </w:p>
    <w:p>
      <w:pPr>
        <w:spacing w:after="0" w:line="66" w:lineRule="exact"/>
        <w:rPr>
          <w:rFonts w:ascii="Arial" w:cs="Arial" w:eastAsia="Arial" w:hAnsi="Arial"/>
          <w:sz w:val="16"/>
          <w:szCs w:val="16"/>
          <w:color w:val="32406B"/>
        </w:rPr>
      </w:pPr>
    </w:p>
    <w:p>
      <w:pPr>
        <w:ind w:left="1240" w:right="60" w:hanging="523"/>
        <w:spacing w:after="0" w:line="257" w:lineRule="auto"/>
        <w:tabs>
          <w:tab w:leader="none" w:pos="1240" w:val="left"/>
        </w:tabs>
        <w:numPr>
          <w:ilvl w:val="0"/>
          <w:numId w:val="3"/>
        </w:numPr>
        <w:rPr>
          <w:rFonts w:ascii="Arial" w:cs="Arial" w:eastAsia="Arial" w:hAnsi="Arial"/>
          <w:sz w:val="18"/>
          <w:szCs w:val="18"/>
          <w:color w:val="32406B"/>
        </w:rPr>
      </w:pPr>
      <w:r>
        <w:rPr>
          <w:rFonts w:ascii="Arial" w:cs="Arial" w:eastAsia="Arial" w:hAnsi="Arial"/>
          <w:sz w:val="18"/>
          <w:szCs w:val="18"/>
          <w:i w:val="1"/>
          <w:iCs w:val="1"/>
          <w:color w:val="32406B"/>
        </w:rPr>
        <w:t xml:space="preserve">Inconsistent user experience. </w:t>
      </w:r>
      <w:r>
        <w:rPr>
          <w:rFonts w:ascii="Arial" w:cs="Arial" w:eastAsia="Arial" w:hAnsi="Arial"/>
          <w:sz w:val="18"/>
          <w:szCs w:val="18"/>
          <w:color w:val="32406B"/>
        </w:rPr>
        <w:t>End users are largely accustomed to the unified experience provided by the iOS and Android systems in</w:t>
      </w:r>
      <w:r>
        <w:rPr>
          <w:rFonts w:ascii="Arial" w:cs="Arial" w:eastAsia="Arial" w:hAnsi="Arial"/>
          <w:sz w:val="18"/>
          <w:szCs w:val="18"/>
          <w:i w:val="1"/>
          <w:iCs w:val="1"/>
          <w:color w:val="32406B"/>
        </w:rPr>
        <w:t xml:space="preserve"> </w:t>
      </w:r>
      <w:r>
        <w:rPr>
          <w:rFonts w:ascii="Arial" w:cs="Arial" w:eastAsia="Arial" w:hAnsi="Arial"/>
          <w:sz w:val="18"/>
          <w:szCs w:val="18"/>
          <w:color w:val="32406B"/>
        </w:rPr>
        <w:t>mobile internet, where they can have intuitive and standardized interaction with applications on their smartphones. Currently, many smart devices lack that level of consistencies in software experience. End users might have to switch between different applications and user interfaces to control different devices, and cannot share data between them. Such friction and confusion can deter them from acquiring more smart devices and services.</w:t>
      </w:r>
    </w:p>
    <w:p>
      <w:pPr>
        <w:spacing w:after="0" w:line="18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32406B"/>
        </w:rPr>
        <w:t>These significant challenges have created the need for an IoT platform that takes care of the complexities of developing, launching, supporting and growing IoT software, so businesses and developers can leverage full-stack infrastructure and tools to develop devices and software applications with ease.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32406B"/>
        </w:rPr>
        <w:t>4</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The Tuya Solution—An IoT Cloud Platform</w:t>
      </w:r>
    </w:p>
    <w:p>
      <w:pPr>
        <w:spacing w:after="0" w:line="117" w:lineRule="exact"/>
        <w:rPr>
          <w:sz w:val="20"/>
          <w:szCs w:val="20"/>
          <w:color w:val="auto"/>
        </w:rPr>
      </w:pPr>
    </w:p>
    <w:p>
      <w:pPr>
        <w:jc w:val="both"/>
        <w:ind w:left="300" w:right="380" w:firstLine="426"/>
        <w:spacing w:after="0" w:line="296" w:lineRule="auto"/>
        <w:rPr>
          <w:sz w:val="20"/>
          <w:szCs w:val="20"/>
          <w:color w:val="auto"/>
        </w:rPr>
      </w:pPr>
      <w:r>
        <w:rPr>
          <w:rFonts w:ascii="Arial" w:cs="Arial" w:eastAsia="Arial" w:hAnsi="Arial"/>
          <w:sz w:val="16"/>
          <w:szCs w:val="16"/>
          <w:color w:val="32406B"/>
        </w:rPr>
        <w:t>We have pioneered an IoT cloud platform that empowers businesses and developers to transform from offering traditional products into providing software-enabled smart devices and IoT services that extend beyond the point of sale. Customers leverage our IoT cloud platform to quickly and cost-effectively launch, manage and monetize their software-enabled devices and services. We deliver a one-stop, developer-first, cloud-agnostic platform with broad use cases that allows our customers to digitalize their businesses and transform the experience of their end users. Through our platform we have established a thriving ecosystem of brands, OEMs, developers, partners and end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32406B"/>
        </w:rPr>
        <w:t>The foundation of our solution is Tuya IoT Cloud infrastructure, our unified underlying cloud infrastructure that provides a rich set of infrastructure capabilities and developer tools.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Based upon Tuya IoT Cloud infrastructure, we offer the following products and services:</w:t>
      </w:r>
    </w:p>
    <w:p>
      <w:pPr>
        <w:spacing w:after="0" w:line="131" w:lineRule="exact"/>
        <w:rPr>
          <w:sz w:val="20"/>
          <w:szCs w:val="20"/>
          <w:color w:val="auto"/>
        </w:rPr>
      </w:pPr>
    </w:p>
    <w:p>
      <w:pPr>
        <w:ind w:left="1240" w:right="20" w:hanging="523"/>
        <w:spacing w:after="0" w:line="272" w:lineRule="auto"/>
        <w:tabs>
          <w:tab w:leader="none" w:pos="1240" w:val="left"/>
        </w:tabs>
        <w:numPr>
          <w:ilvl w:val="0"/>
          <w:numId w:val="4"/>
        </w:numPr>
        <w:rPr>
          <w:rFonts w:ascii="Arial" w:cs="Arial" w:eastAsia="Arial" w:hAnsi="Arial"/>
          <w:sz w:val="17"/>
          <w:szCs w:val="17"/>
          <w:color w:val="32406B"/>
        </w:rPr>
      </w:pPr>
      <w:r>
        <w:rPr>
          <w:rFonts w:ascii="Arial" w:cs="Arial" w:eastAsia="Arial" w:hAnsi="Arial"/>
          <w:sz w:val="17"/>
          <w:szCs w:val="17"/>
          <w:i w:val="1"/>
          <w:iCs w:val="1"/>
          <w:color w:val="32406B"/>
        </w:rPr>
        <w:t xml:space="preserve">IoT PaaS. </w:t>
      </w:r>
      <w:r>
        <w:rPr>
          <w:rFonts w:ascii="Arial" w:cs="Arial" w:eastAsia="Arial" w:hAnsi="Arial"/>
          <w:sz w:val="17"/>
          <w:szCs w:val="17"/>
          <w:color w:val="32406B"/>
        </w:rPr>
        <w:t>Our IoT PaaS combines</w:t>
      </w:r>
      <w:r>
        <w:rPr>
          <w:rFonts w:ascii="Arial" w:cs="Arial" w:eastAsia="Arial" w:hAnsi="Arial"/>
          <w:sz w:val="17"/>
          <w:szCs w:val="17"/>
          <w:i w:val="1"/>
          <w:iCs w:val="1"/>
          <w:color w:val="32406B"/>
        </w:rPr>
        <w:t xml:space="preserve"> cloud-based connectivity and basic IoT services</w:t>
      </w:r>
      <w:r>
        <w:rPr>
          <w:rFonts w:ascii="Arial" w:cs="Arial" w:eastAsia="Arial" w:hAnsi="Arial"/>
          <w:sz w:val="17"/>
          <w:szCs w:val="17"/>
          <w:color w:val="32406B"/>
        </w:rPr>
        <w:t>,</w:t>
      </w:r>
      <w:r>
        <w:rPr>
          <w:rFonts w:ascii="Arial" w:cs="Arial" w:eastAsia="Arial" w:hAnsi="Arial"/>
          <w:sz w:val="17"/>
          <w:szCs w:val="17"/>
          <w:i w:val="1"/>
          <w:iCs w:val="1"/>
          <w:color w:val="32406B"/>
        </w:rPr>
        <w:t xml:space="preserve"> edge capabilities</w:t>
      </w:r>
      <w:r>
        <w:rPr>
          <w:rFonts w:ascii="Arial" w:cs="Arial" w:eastAsia="Arial" w:hAnsi="Arial"/>
          <w:sz w:val="17"/>
          <w:szCs w:val="17"/>
          <w:color w:val="32406B"/>
        </w:rPr>
        <w:t>,</w:t>
      </w:r>
      <w:r>
        <w:rPr>
          <w:rFonts w:ascii="Arial" w:cs="Arial" w:eastAsia="Arial" w:hAnsi="Arial"/>
          <w:sz w:val="17"/>
          <w:szCs w:val="17"/>
          <w:i w:val="1"/>
          <w:iCs w:val="1"/>
          <w:color w:val="32406B"/>
        </w:rPr>
        <w:t xml:space="preserve"> app development and device optimization solutions</w:t>
      </w:r>
      <w:r>
        <w:rPr>
          <w:rFonts w:ascii="Arial" w:cs="Arial" w:eastAsia="Arial" w:hAnsi="Arial"/>
          <w:sz w:val="17"/>
          <w:szCs w:val="17"/>
          <w:color w:val="32406B"/>
        </w:rPr>
        <w:t>, which we believe are the most fundamental elements of enabling a product with IoT. Our IoT PaaS can be</w:t>
      </w:r>
      <w:r>
        <w:rPr>
          <w:rFonts w:ascii="Arial" w:cs="Arial" w:eastAsia="Arial" w:hAnsi="Arial"/>
          <w:sz w:val="17"/>
          <w:szCs w:val="17"/>
          <w:i w:val="1"/>
          <w:iCs w:val="1"/>
          <w:color w:val="32406B"/>
        </w:rPr>
        <w:t xml:space="preserve"> </w:t>
      </w:r>
      <w:r>
        <w:rPr>
          <w:rFonts w:ascii="Arial" w:cs="Arial" w:eastAsia="Arial" w:hAnsi="Arial"/>
          <w:sz w:val="17"/>
          <w:szCs w:val="17"/>
          <w:color w:val="32406B"/>
        </w:rPr>
        <w:t>seamlessly deployed on public or private cloud infrastructures such as Amazon Web Services, Microsoft Azure and Tencent Cloud. Our IoT PaaS transforms traditional products smoothly into IoT-enabled products with computing, storage and networking capabilities on the “edge”, laying the foundation for a low code or no code development environment. We also provide a rich set of developer tools and cloud-based services for customers to personalize or develop IoT applications that connect to our IoT cloud platform and manage their smart devices for a broad range of use cases.</w:t>
      </w:r>
    </w:p>
    <w:p>
      <w:pPr>
        <w:spacing w:after="0" w:line="82" w:lineRule="exact"/>
        <w:rPr>
          <w:rFonts w:ascii="Arial" w:cs="Arial" w:eastAsia="Arial" w:hAnsi="Arial"/>
          <w:sz w:val="17"/>
          <w:szCs w:val="17"/>
          <w:color w:val="32406B"/>
        </w:rPr>
      </w:pPr>
    </w:p>
    <w:p>
      <w:pPr>
        <w:ind w:left="1240" w:hanging="523"/>
        <w:spacing w:after="0" w:line="301" w:lineRule="auto"/>
        <w:tabs>
          <w:tab w:leader="none" w:pos="1240" w:val="left"/>
        </w:tabs>
        <w:numPr>
          <w:ilvl w:val="0"/>
          <w:numId w:val="4"/>
        </w:numPr>
        <w:rPr>
          <w:rFonts w:ascii="Arial" w:cs="Arial" w:eastAsia="Arial" w:hAnsi="Arial"/>
          <w:sz w:val="16"/>
          <w:szCs w:val="16"/>
          <w:color w:val="32406B"/>
        </w:rPr>
      </w:pPr>
      <w:r>
        <w:rPr>
          <w:rFonts w:ascii="Arial" w:cs="Arial" w:eastAsia="Arial" w:hAnsi="Arial"/>
          <w:sz w:val="16"/>
          <w:szCs w:val="16"/>
          <w:i w:val="1"/>
          <w:iCs w:val="1"/>
          <w:color w:val="32406B"/>
        </w:rPr>
        <w:t xml:space="preserve">Industry SaaS. </w:t>
      </w:r>
      <w:r>
        <w:rPr>
          <w:rFonts w:ascii="Arial" w:cs="Arial" w:eastAsia="Arial" w:hAnsi="Arial"/>
          <w:sz w:val="16"/>
          <w:szCs w:val="16"/>
          <w:color w:val="32406B"/>
        </w:rPr>
        <w:t>We offer Industry SaaS, vertical-focused software solutions for a growing number of industry verticals. Businesses,</w:t>
      </w:r>
      <w:r>
        <w:rPr>
          <w:rFonts w:ascii="Arial" w:cs="Arial" w:eastAsia="Arial" w:hAnsi="Arial"/>
          <w:sz w:val="16"/>
          <w:szCs w:val="16"/>
          <w:i w:val="1"/>
          <w:iCs w:val="1"/>
          <w:color w:val="32406B"/>
        </w:rPr>
        <w:t xml:space="preserve"> </w:t>
      </w:r>
      <w:r>
        <w:rPr>
          <w:rFonts w:ascii="Arial" w:cs="Arial" w:eastAsia="Arial" w:hAnsi="Arial"/>
          <w:sz w:val="16"/>
          <w:szCs w:val="16"/>
          <w:color w:val="32406B"/>
        </w:rPr>
        <w:t>such as hotel operators or property managers, leverage our SaaS solutions to intelligently manage their operations based on connected smart devices, thereby improving operating efficiency and optimizing costs. Our SaaS offerings are fully integrated with our IoT cloud infrastructure, device management apps and user apps, for customers to use in a plug-and-play manner.</w:t>
      </w:r>
    </w:p>
    <w:p>
      <w:pPr>
        <w:spacing w:after="0" w:line="62" w:lineRule="exact"/>
        <w:rPr>
          <w:rFonts w:ascii="Arial" w:cs="Arial" w:eastAsia="Arial" w:hAnsi="Arial"/>
          <w:sz w:val="16"/>
          <w:szCs w:val="16"/>
          <w:color w:val="32406B"/>
        </w:rPr>
      </w:pPr>
    </w:p>
    <w:p>
      <w:pPr>
        <w:ind w:left="1240" w:right="60" w:hanging="523"/>
        <w:spacing w:after="0" w:line="263" w:lineRule="auto"/>
        <w:tabs>
          <w:tab w:leader="none" w:pos="1240" w:val="left"/>
        </w:tabs>
        <w:numPr>
          <w:ilvl w:val="0"/>
          <w:numId w:val="4"/>
        </w:numPr>
        <w:rPr>
          <w:rFonts w:ascii="Arial" w:cs="Arial" w:eastAsia="Arial" w:hAnsi="Arial"/>
          <w:sz w:val="18"/>
          <w:szCs w:val="18"/>
          <w:color w:val="32406B"/>
        </w:rPr>
      </w:pPr>
      <w:r>
        <w:rPr>
          <w:rFonts w:ascii="Arial" w:cs="Arial" w:eastAsia="Arial" w:hAnsi="Arial"/>
          <w:sz w:val="18"/>
          <w:szCs w:val="18"/>
          <w:i w:val="1"/>
          <w:iCs w:val="1"/>
          <w:color w:val="32406B"/>
        </w:rPr>
        <w:t xml:space="preserve">Cloud-based value-added services and others. </w:t>
      </w:r>
      <w:r>
        <w:rPr>
          <w:rFonts w:ascii="Arial" w:cs="Arial" w:eastAsia="Arial" w:hAnsi="Arial"/>
          <w:sz w:val="18"/>
          <w:szCs w:val="18"/>
          <w:color w:val="32406B"/>
        </w:rPr>
        <w:t>We have started to roll out a variety of services both to business customers and directly</w:t>
      </w:r>
      <w:r>
        <w:rPr>
          <w:rFonts w:ascii="Arial" w:cs="Arial" w:eastAsia="Arial" w:hAnsi="Arial"/>
          <w:sz w:val="18"/>
          <w:szCs w:val="18"/>
          <w:i w:val="1"/>
          <w:iCs w:val="1"/>
          <w:color w:val="32406B"/>
        </w:rPr>
        <w:t xml:space="preserve"> </w:t>
      </w:r>
      <w:r>
        <w:rPr>
          <w:rFonts w:ascii="Arial" w:cs="Arial" w:eastAsia="Arial" w:hAnsi="Arial"/>
          <w:sz w:val="18"/>
          <w:szCs w:val="18"/>
          <w:color w:val="32406B"/>
        </w:rPr>
        <w:t>to the end users of Tuya-powered smart devices. We offer AI-powered virtual assistants and data analytics to business customers. We also offer a wide and expanding range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5</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8"/>
          <w:szCs w:val="18"/>
          <w:color w:val="32406B"/>
        </w:rPr>
        <w:t>cloud-based services directly to end users including IoT data storage, push messaging and content services.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The Benefits of Our IoT Cloud Platform</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The key benefits to our business customers include:</w:t>
      </w:r>
    </w:p>
    <w:p>
      <w:pPr>
        <w:spacing w:after="0" w:line="131" w:lineRule="exact"/>
        <w:rPr>
          <w:sz w:val="20"/>
          <w:szCs w:val="20"/>
          <w:color w:val="auto"/>
        </w:rPr>
      </w:pPr>
    </w:p>
    <w:p>
      <w:pPr>
        <w:ind w:left="1240" w:right="20" w:hanging="523"/>
        <w:spacing w:after="0" w:line="279" w:lineRule="auto"/>
        <w:tabs>
          <w:tab w:leader="none" w:pos="1240" w:val="left"/>
        </w:tabs>
        <w:numPr>
          <w:ilvl w:val="0"/>
          <w:numId w:val="5"/>
        </w:numPr>
        <w:rPr>
          <w:rFonts w:ascii="Arial" w:cs="Arial" w:eastAsia="Arial" w:hAnsi="Arial"/>
          <w:sz w:val="17"/>
          <w:szCs w:val="17"/>
          <w:color w:val="32406B"/>
        </w:rPr>
      </w:pPr>
      <w:r>
        <w:rPr>
          <w:rFonts w:ascii="Arial" w:cs="Arial" w:eastAsia="Arial" w:hAnsi="Arial"/>
          <w:sz w:val="17"/>
          <w:szCs w:val="17"/>
          <w:i w:val="1"/>
          <w:iCs w:val="1"/>
          <w:color w:val="32406B"/>
        </w:rPr>
        <w:t xml:space="preserve">Scalable development talent and capabilities. </w:t>
      </w:r>
      <w:r>
        <w:rPr>
          <w:rFonts w:ascii="Arial" w:cs="Arial" w:eastAsia="Arial" w:hAnsi="Arial"/>
          <w:sz w:val="17"/>
          <w:szCs w:val="17"/>
          <w:color w:val="32406B"/>
        </w:rPr>
        <w:t>Product companies that use our IoT cloud platform become more efficient in utilizing</w:t>
      </w:r>
      <w:r>
        <w:rPr>
          <w:rFonts w:ascii="Arial" w:cs="Arial" w:eastAsia="Arial" w:hAnsi="Arial"/>
          <w:sz w:val="17"/>
          <w:szCs w:val="17"/>
          <w:i w:val="1"/>
          <w:iCs w:val="1"/>
          <w:color w:val="32406B"/>
        </w:rPr>
        <w:t xml:space="preserve"> </w:t>
      </w:r>
      <w:r>
        <w:rPr>
          <w:rFonts w:ascii="Arial" w:cs="Arial" w:eastAsia="Arial" w:hAnsi="Arial"/>
          <w:sz w:val="17"/>
          <w:szCs w:val="17"/>
          <w:color w:val="32406B"/>
        </w:rPr>
        <w:t>in-house resources dedicated to developing IoT software, and focus their talent on core business competences in product development instead of building their IoT software development platform and tools from scratch. We continue to expand features offered on our platform which enable our business customers to maintain IoT cloud services or codes more easily.</w:t>
      </w:r>
    </w:p>
    <w:p>
      <w:pPr>
        <w:spacing w:after="0" w:line="76" w:lineRule="exact"/>
        <w:rPr>
          <w:rFonts w:ascii="Arial" w:cs="Arial" w:eastAsia="Arial" w:hAnsi="Arial"/>
          <w:sz w:val="17"/>
          <w:szCs w:val="17"/>
          <w:color w:val="32406B"/>
        </w:rPr>
      </w:pPr>
    </w:p>
    <w:p>
      <w:pPr>
        <w:ind w:left="1240" w:right="340" w:hanging="523"/>
        <w:spacing w:after="0" w:line="286" w:lineRule="auto"/>
        <w:tabs>
          <w:tab w:leader="none" w:pos="1240" w:val="left"/>
        </w:tabs>
        <w:numPr>
          <w:ilvl w:val="0"/>
          <w:numId w:val="5"/>
        </w:numPr>
        <w:rPr>
          <w:rFonts w:ascii="Arial" w:cs="Arial" w:eastAsia="Arial" w:hAnsi="Arial"/>
          <w:sz w:val="17"/>
          <w:szCs w:val="17"/>
          <w:color w:val="32406B"/>
        </w:rPr>
      </w:pPr>
      <w:r>
        <w:rPr>
          <w:rFonts w:ascii="Arial" w:cs="Arial" w:eastAsia="Arial" w:hAnsi="Arial"/>
          <w:sz w:val="17"/>
          <w:szCs w:val="17"/>
          <w:i w:val="1"/>
          <w:iCs w:val="1"/>
          <w:color w:val="32406B"/>
        </w:rPr>
        <w:t xml:space="preserve">Reduction in cost and complexity. </w:t>
      </w:r>
      <w:r>
        <w:rPr>
          <w:rFonts w:ascii="Arial" w:cs="Arial" w:eastAsia="Arial" w:hAnsi="Arial"/>
          <w:sz w:val="17"/>
          <w:szCs w:val="17"/>
          <w:color w:val="32406B"/>
        </w:rPr>
        <w:t>Businesses using our IoT cloud platform can save on the heavy investment in setting up and</w:t>
      </w:r>
      <w:r>
        <w:rPr>
          <w:rFonts w:ascii="Arial" w:cs="Arial" w:eastAsia="Arial" w:hAnsi="Arial"/>
          <w:sz w:val="17"/>
          <w:szCs w:val="17"/>
          <w:i w:val="1"/>
          <w:iCs w:val="1"/>
          <w:color w:val="32406B"/>
        </w:rPr>
        <w:t xml:space="preserve"> </w:t>
      </w:r>
      <w:r>
        <w:rPr>
          <w:rFonts w:ascii="Arial" w:cs="Arial" w:eastAsia="Arial" w:hAnsi="Arial"/>
          <w:sz w:val="17"/>
          <w:szCs w:val="17"/>
          <w:color w:val="32406B"/>
        </w:rPr>
        <w:t>maintaining complex IT infrastructure. They are able to outsource complex IoT infrastructure requirements to us while we enable them to adopt the latest technologies with purpose-built capabilities for security, compliance and interoperability.</w:t>
      </w:r>
    </w:p>
    <w:p>
      <w:pPr>
        <w:spacing w:after="0" w:line="70" w:lineRule="exact"/>
        <w:rPr>
          <w:rFonts w:ascii="Arial" w:cs="Arial" w:eastAsia="Arial" w:hAnsi="Arial"/>
          <w:sz w:val="17"/>
          <w:szCs w:val="17"/>
          <w:color w:val="32406B"/>
        </w:rPr>
      </w:pPr>
    </w:p>
    <w:p>
      <w:pPr>
        <w:ind w:left="1240" w:hanging="523"/>
        <w:spacing w:after="0" w:line="263" w:lineRule="auto"/>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i w:val="1"/>
          <w:iCs w:val="1"/>
          <w:color w:val="32406B"/>
        </w:rPr>
        <w:t xml:space="preserve">Short time-to-market. </w:t>
      </w:r>
      <w:r>
        <w:rPr>
          <w:rFonts w:ascii="Arial" w:cs="Arial" w:eastAsia="Arial" w:hAnsi="Arial"/>
          <w:sz w:val="18"/>
          <w:szCs w:val="18"/>
          <w:color w:val="32406B"/>
        </w:rPr>
        <w:t>With our IoT cloud platform, businesses can launch smart devices and corresponding software applications with</w:t>
      </w:r>
      <w:r>
        <w:rPr>
          <w:rFonts w:ascii="Arial" w:cs="Arial" w:eastAsia="Arial" w:hAnsi="Arial"/>
          <w:sz w:val="18"/>
          <w:szCs w:val="18"/>
          <w:i w:val="1"/>
          <w:iCs w:val="1"/>
          <w:color w:val="32406B"/>
        </w:rPr>
        <w:t xml:space="preserve"> </w:t>
      </w:r>
      <w:r>
        <w:rPr>
          <w:rFonts w:ascii="Arial" w:cs="Arial" w:eastAsia="Arial" w:hAnsi="Arial"/>
          <w:sz w:val="18"/>
          <w:szCs w:val="18"/>
          <w:color w:val="32406B"/>
        </w:rPr>
        <w:t>faster time-to-market, often within weeks or days, saving up to 90% of the time and uncertainty from developing a full stack for product releases, according to CIC.</w:t>
      </w:r>
    </w:p>
    <w:p>
      <w:pPr>
        <w:spacing w:after="0" w:line="89" w:lineRule="exact"/>
        <w:rPr>
          <w:rFonts w:ascii="Arial" w:cs="Arial" w:eastAsia="Arial" w:hAnsi="Arial"/>
          <w:sz w:val="18"/>
          <w:szCs w:val="18"/>
          <w:color w:val="32406B"/>
        </w:rPr>
      </w:pPr>
    </w:p>
    <w:p>
      <w:pPr>
        <w:ind w:left="1240" w:right="140" w:hanging="523"/>
        <w:spacing w:after="0" w:line="311" w:lineRule="auto"/>
        <w:tabs>
          <w:tab w:leader="none" w:pos="1240" w:val="left"/>
        </w:tabs>
        <w:numPr>
          <w:ilvl w:val="0"/>
          <w:numId w:val="5"/>
        </w:numPr>
        <w:rPr>
          <w:rFonts w:ascii="Arial" w:cs="Arial" w:eastAsia="Arial" w:hAnsi="Arial"/>
          <w:sz w:val="16"/>
          <w:szCs w:val="16"/>
          <w:color w:val="32406B"/>
        </w:rPr>
      </w:pPr>
      <w:r>
        <w:rPr>
          <w:rFonts w:ascii="Arial" w:cs="Arial" w:eastAsia="Arial" w:hAnsi="Arial"/>
          <w:sz w:val="16"/>
          <w:szCs w:val="16"/>
          <w:i w:val="1"/>
          <w:iCs w:val="1"/>
          <w:color w:val="32406B"/>
        </w:rPr>
        <w:t xml:space="preserve">Long-term customer engagement. </w:t>
      </w:r>
      <w:r>
        <w:rPr>
          <w:rFonts w:ascii="Arial" w:cs="Arial" w:eastAsia="Arial" w:hAnsi="Arial"/>
          <w:sz w:val="16"/>
          <w:szCs w:val="16"/>
          <w:color w:val="32406B"/>
        </w:rPr>
        <w:t>More authorized user interaction and deeper user insight allow product companies to build a long-last relationship with their end users. We strategically enable businesses to conduct targeted marketing, e-commerce, and customer service beyond point of sale so that they can maintain improved customer relationships throughout the product lifecycle.</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The key benefits to developers on our IoT cloud platform include:</w:t>
      </w:r>
    </w:p>
    <w:p>
      <w:pPr>
        <w:spacing w:after="0" w:line="131" w:lineRule="exact"/>
        <w:rPr>
          <w:sz w:val="20"/>
          <w:szCs w:val="20"/>
          <w:color w:val="auto"/>
        </w:rPr>
      </w:pPr>
    </w:p>
    <w:p>
      <w:pPr>
        <w:ind w:left="1240" w:right="200" w:hanging="523"/>
        <w:spacing w:after="0" w:line="279" w:lineRule="auto"/>
        <w:tabs>
          <w:tab w:leader="none" w:pos="1240" w:val="left"/>
        </w:tabs>
        <w:numPr>
          <w:ilvl w:val="0"/>
          <w:numId w:val="6"/>
        </w:numPr>
        <w:rPr>
          <w:rFonts w:ascii="Arial" w:cs="Arial" w:eastAsia="Arial" w:hAnsi="Arial"/>
          <w:sz w:val="17"/>
          <w:szCs w:val="17"/>
          <w:color w:val="32406B"/>
        </w:rPr>
      </w:pPr>
      <w:r>
        <w:rPr>
          <w:rFonts w:ascii="Arial" w:cs="Arial" w:eastAsia="Arial" w:hAnsi="Arial"/>
          <w:sz w:val="17"/>
          <w:szCs w:val="17"/>
          <w:i w:val="1"/>
          <w:iCs w:val="1"/>
          <w:color w:val="32406B"/>
        </w:rPr>
        <w:t xml:space="preserve">Neutral and highly compatible infrastructure. </w:t>
      </w:r>
      <w:r>
        <w:rPr>
          <w:rFonts w:ascii="Arial" w:cs="Arial" w:eastAsia="Arial" w:hAnsi="Arial"/>
          <w:sz w:val="17"/>
          <w:szCs w:val="17"/>
          <w:color w:val="32406B"/>
        </w:rPr>
        <w:t>Developers can develop software for multiple environments as our platform is cloud-and communication protocol-agnostic with comprehensive APIs and partnership with leading global technology providers. Such infrastructure enables device and software developers to create a standardized base across their product portfolio, and even allows their products to be able to connect other third party devices applying the same standards.</w:t>
      </w:r>
    </w:p>
    <w:p>
      <w:pPr>
        <w:spacing w:after="0" w:line="76" w:lineRule="exact"/>
        <w:rPr>
          <w:rFonts w:ascii="Arial" w:cs="Arial" w:eastAsia="Arial" w:hAnsi="Arial"/>
          <w:sz w:val="17"/>
          <w:szCs w:val="17"/>
          <w:color w:val="32406B"/>
        </w:rPr>
      </w:pPr>
    </w:p>
    <w:p>
      <w:pPr>
        <w:ind w:left="1240" w:right="160" w:hanging="523"/>
        <w:spacing w:after="0" w:line="301" w:lineRule="auto"/>
        <w:tabs>
          <w:tab w:leader="none" w:pos="1240" w:val="left"/>
        </w:tabs>
        <w:numPr>
          <w:ilvl w:val="0"/>
          <w:numId w:val="6"/>
        </w:numPr>
        <w:rPr>
          <w:rFonts w:ascii="Arial" w:cs="Arial" w:eastAsia="Arial" w:hAnsi="Arial"/>
          <w:sz w:val="16"/>
          <w:szCs w:val="16"/>
          <w:color w:val="32406B"/>
        </w:rPr>
      </w:pPr>
      <w:r>
        <w:rPr>
          <w:rFonts w:ascii="Arial" w:cs="Arial" w:eastAsia="Arial" w:hAnsi="Arial"/>
          <w:sz w:val="16"/>
          <w:szCs w:val="16"/>
          <w:i w:val="1"/>
          <w:iCs w:val="1"/>
          <w:color w:val="32406B"/>
        </w:rPr>
        <w:t xml:space="preserve">Low-code or no-code development tools. </w:t>
      </w:r>
      <w:r>
        <w:rPr>
          <w:rFonts w:ascii="Arial" w:cs="Arial" w:eastAsia="Arial" w:hAnsi="Arial"/>
          <w:sz w:val="16"/>
          <w:szCs w:val="16"/>
          <w:color w:val="32406B"/>
        </w:rPr>
        <w:t>We significantly reduce the threshold for software development. Product companies can</w:t>
      </w:r>
      <w:r>
        <w:rPr>
          <w:rFonts w:ascii="Arial" w:cs="Arial" w:eastAsia="Arial" w:hAnsi="Arial"/>
          <w:sz w:val="16"/>
          <w:szCs w:val="16"/>
          <w:i w:val="1"/>
          <w:iCs w:val="1"/>
          <w:color w:val="32406B"/>
        </w:rPr>
        <w:t xml:space="preserve"> </w:t>
      </w:r>
      <w:r>
        <w:rPr>
          <w:rFonts w:ascii="Arial" w:cs="Arial" w:eastAsia="Arial" w:hAnsi="Arial"/>
          <w:sz w:val="16"/>
          <w:szCs w:val="16"/>
          <w:color w:val="32406B"/>
        </w:rPr>
        <w:t>easily and quickly design, develop and launch scalable software-enabled smart devices through our intuitive, visual programming interfaces that enable rich software functionality to be developed with little or no programming expertise. At the same time, our rich set of development solutions make it easy for advanced developers to create applications efficiently with differentiated outcome.</w:t>
      </w:r>
    </w:p>
    <w:p>
      <w:pPr>
        <w:spacing w:after="0" w:line="62" w:lineRule="exact"/>
        <w:rPr>
          <w:rFonts w:ascii="Arial" w:cs="Arial" w:eastAsia="Arial" w:hAnsi="Arial"/>
          <w:sz w:val="16"/>
          <w:szCs w:val="16"/>
          <w:color w:val="32406B"/>
        </w:rPr>
      </w:pPr>
    </w:p>
    <w:p>
      <w:pPr>
        <w:ind w:left="1240" w:right="360" w:hanging="523"/>
        <w:spacing w:after="0" w:line="263" w:lineRule="auto"/>
        <w:tabs>
          <w:tab w:leader="none" w:pos="1240" w:val="left"/>
        </w:tabs>
        <w:numPr>
          <w:ilvl w:val="0"/>
          <w:numId w:val="6"/>
        </w:numPr>
        <w:rPr>
          <w:rFonts w:ascii="Arial" w:cs="Arial" w:eastAsia="Arial" w:hAnsi="Arial"/>
          <w:sz w:val="18"/>
          <w:szCs w:val="18"/>
          <w:color w:val="32406B"/>
        </w:rPr>
      </w:pPr>
      <w:r>
        <w:rPr>
          <w:rFonts w:ascii="Arial" w:cs="Arial" w:eastAsia="Arial" w:hAnsi="Arial"/>
          <w:sz w:val="18"/>
          <w:szCs w:val="18"/>
          <w:i w:val="1"/>
          <w:iCs w:val="1"/>
          <w:color w:val="32406B"/>
        </w:rPr>
        <w:t xml:space="preserve">Powerful data analytics. </w:t>
      </w:r>
      <w:r>
        <w:rPr>
          <w:rFonts w:ascii="Arial" w:cs="Arial" w:eastAsia="Arial" w:hAnsi="Arial"/>
          <w:sz w:val="18"/>
          <w:szCs w:val="18"/>
          <w:color w:val="32406B"/>
        </w:rPr>
        <w:t>Developers can tap the deep insight from aggregated data generated by the devices connected to our IoT</w:t>
      </w:r>
      <w:r>
        <w:rPr>
          <w:rFonts w:ascii="Arial" w:cs="Arial" w:eastAsia="Arial" w:hAnsi="Arial"/>
          <w:sz w:val="18"/>
          <w:szCs w:val="18"/>
          <w:i w:val="1"/>
          <w:iCs w:val="1"/>
          <w:color w:val="32406B"/>
        </w:rPr>
        <w:t xml:space="preserve"> </w:t>
      </w:r>
      <w:r>
        <w:rPr>
          <w:rFonts w:ascii="Arial" w:cs="Arial" w:eastAsia="Arial" w:hAnsi="Arial"/>
          <w:sz w:val="18"/>
          <w:szCs w:val="18"/>
          <w:color w:val="32406B"/>
        </w:rPr>
        <w:t>cloud platform to understand user feedback, improve product design, as well as personalize the end user experience, even across brands and product companies.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The key benefits to end users include:</w:t>
      </w:r>
    </w:p>
    <w:p>
      <w:pPr>
        <w:spacing w:after="0" w:line="131" w:lineRule="exact"/>
        <w:rPr>
          <w:sz w:val="20"/>
          <w:szCs w:val="20"/>
          <w:color w:val="auto"/>
        </w:rPr>
      </w:pPr>
    </w:p>
    <w:p>
      <w:pPr>
        <w:ind w:left="1240" w:hanging="523"/>
        <w:spacing w:after="0" w:line="259" w:lineRule="auto"/>
        <w:tabs>
          <w:tab w:leader="none" w:pos="1240" w:val="left"/>
        </w:tabs>
        <w:numPr>
          <w:ilvl w:val="0"/>
          <w:numId w:val="7"/>
        </w:numPr>
        <w:rPr>
          <w:rFonts w:ascii="Arial" w:cs="Arial" w:eastAsia="Arial" w:hAnsi="Arial"/>
          <w:sz w:val="18"/>
          <w:szCs w:val="18"/>
          <w:color w:val="32406B"/>
        </w:rPr>
      </w:pPr>
      <w:r>
        <w:rPr>
          <w:rFonts w:ascii="Arial" w:cs="Arial" w:eastAsia="Arial" w:hAnsi="Arial"/>
          <w:sz w:val="18"/>
          <w:szCs w:val="18"/>
          <w:i w:val="1"/>
          <w:iCs w:val="1"/>
          <w:color w:val="32406B"/>
        </w:rPr>
        <w:t xml:space="preserve">Unified and consistent user experience across products and brands. </w:t>
      </w:r>
      <w:r>
        <w:rPr>
          <w:rFonts w:ascii="Arial" w:cs="Arial" w:eastAsia="Arial" w:hAnsi="Arial"/>
          <w:sz w:val="18"/>
          <w:szCs w:val="18"/>
          <w:color w:val="32406B"/>
        </w:rPr>
        <w:t>Our IoT cloud platform empowers end users to interact with</w:t>
      </w:r>
      <w:r>
        <w:rPr>
          <w:rFonts w:ascii="Arial" w:cs="Arial" w:eastAsia="Arial" w:hAnsi="Arial"/>
          <w:sz w:val="18"/>
          <w:szCs w:val="18"/>
          <w:i w:val="1"/>
          <w:iCs w:val="1"/>
          <w:color w:val="32406B"/>
        </w:rPr>
        <w:t xml:space="preserve"> </w:t>
      </w:r>
      <w:r>
        <w:rPr>
          <w:rFonts w:ascii="Arial" w:cs="Arial" w:eastAsia="Arial" w:hAnsi="Arial"/>
          <w:sz w:val="18"/>
          <w:szCs w:val="18"/>
          <w:color w:val="32406B"/>
        </w:rPr>
        <w:t>multiple products from multiple brands in their environment through one user interface that is simple, highly intuitive and frictionless, instead of switching between different apps for different brands and devices. Such experience extends to many aspects of their lives, from security, healthiness and entertainment to productivity and energy saving.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32406B"/>
        </w:rPr>
        <w:t>6</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80" w:hanging="523"/>
        <w:spacing w:after="0" w:line="342" w:lineRule="auto"/>
        <w:tabs>
          <w:tab w:leader="none" w:pos="1240" w:val="left"/>
        </w:tabs>
        <w:numPr>
          <w:ilvl w:val="0"/>
          <w:numId w:val="8"/>
        </w:numPr>
        <w:rPr>
          <w:rFonts w:ascii="Arial" w:cs="Arial" w:eastAsia="Arial" w:hAnsi="Arial"/>
          <w:sz w:val="16"/>
          <w:szCs w:val="16"/>
          <w:color w:val="32406B"/>
        </w:rPr>
      </w:pPr>
      <w:r>
        <w:rPr>
          <w:rFonts w:ascii="Arial" w:cs="Arial" w:eastAsia="Arial" w:hAnsi="Arial"/>
          <w:sz w:val="16"/>
          <w:szCs w:val="16"/>
          <w:i w:val="1"/>
          <w:iCs w:val="1"/>
          <w:color w:val="32406B"/>
        </w:rPr>
        <w:t xml:space="preserve">Products with software services at a reasonable price. </w:t>
      </w:r>
      <w:r>
        <w:rPr>
          <w:rFonts w:ascii="Arial" w:cs="Arial" w:eastAsia="Arial" w:hAnsi="Arial"/>
          <w:sz w:val="16"/>
          <w:szCs w:val="16"/>
          <w:color w:val="32406B"/>
        </w:rPr>
        <w:t>Consumers will not need to share significant upfront costs of platform and</w:t>
      </w:r>
      <w:r>
        <w:rPr>
          <w:rFonts w:ascii="Arial" w:cs="Arial" w:eastAsia="Arial" w:hAnsi="Arial"/>
          <w:sz w:val="16"/>
          <w:szCs w:val="16"/>
          <w:i w:val="1"/>
          <w:iCs w:val="1"/>
          <w:color w:val="32406B"/>
        </w:rPr>
        <w:t xml:space="preserve"> </w:t>
      </w:r>
      <w:r>
        <w:rPr>
          <w:rFonts w:ascii="Arial" w:cs="Arial" w:eastAsia="Arial" w:hAnsi="Arial"/>
          <w:sz w:val="16"/>
          <w:szCs w:val="16"/>
          <w:color w:val="32406B"/>
        </w:rPr>
        <w:t>software development, and enjoy smarter and more powerful smart devices and value-added services at a reasonable price.</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Market Opportunity</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32406B"/>
        </w:rPr>
        <w:t>We believe that as organizations transition from traditional product companies to digital businesses with software-enabled IoT products, a significant amount of IT spend will be allocated to IoT enablement. We provide these organizations a neutral, comprehensive and scalable platform with an open ecosystem. According to CIC, we are one of the earliest in the industry to provide full stack IoT solutions spanning the perception, network, cloud and application layers. Our vision is to become the largest platform to enable IoT products and services across the globe. Our technology and products address use cases in the large markets of IoT PaaS as well as IoT SaaS, which includes application software and analytics software spend on IoT. According to CIC, the worldwide IoT PaaS total addressable market is forecasted to grow from US$72.2 billion in 2019 to US$171.7 billion by 2024, representing a CAGR of 18.9%. China represents 26.2% and 28.9% of this market in 2019 and 2024, respectively. According to IDC, the worldwide IoT software total addressable market is forecasted to grow from US$129.2 billion in 2019 to US$237.0 billion by 2024, representing a CAGR of 12.9%. China represents 16.6% and 18.1% of this market in 2019 and 2024, respectively.</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Competitive Strengths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Pioneer and Global Leader of IoT Cloud</w:t>
      </w:r>
    </w:p>
    <w:p>
      <w:pPr>
        <w:spacing w:after="0" w:line="117"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32406B"/>
        </w:rPr>
        <w:t>Our first-mover advantage, scale and expertise allow us to partner with our customers to help them develop software that differentiates their products, thereby gaining significant IoT mindshare with our customers.</w:t>
      </w:r>
    </w:p>
    <w:p>
      <w:pPr>
        <w:spacing w:after="0" w:line="76" w:lineRule="exact"/>
        <w:rPr>
          <w:sz w:val="20"/>
          <w:szCs w:val="20"/>
          <w:color w:val="auto"/>
        </w:rPr>
      </w:pPr>
    </w:p>
    <w:p>
      <w:pPr>
        <w:ind w:left="1240" w:right="20" w:hanging="523"/>
        <w:spacing w:after="0" w:line="275" w:lineRule="auto"/>
        <w:tabs>
          <w:tab w:leader="none" w:pos="1240" w:val="left"/>
        </w:tabs>
        <w:numPr>
          <w:ilvl w:val="0"/>
          <w:numId w:val="9"/>
        </w:numPr>
        <w:rPr>
          <w:rFonts w:ascii="Arial" w:cs="Arial" w:eastAsia="Arial" w:hAnsi="Arial"/>
          <w:sz w:val="17"/>
          <w:szCs w:val="17"/>
          <w:color w:val="32406B"/>
        </w:rPr>
      </w:pPr>
      <w:r>
        <w:rPr>
          <w:rFonts w:ascii="Arial" w:cs="Arial" w:eastAsia="Arial" w:hAnsi="Arial"/>
          <w:sz w:val="17"/>
          <w:szCs w:val="17"/>
          <w:i w:val="1"/>
          <w:iCs w:val="1"/>
          <w:color w:val="32406B"/>
        </w:rPr>
        <w:t xml:space="preserve">Market disruptor and established leader. </w:t>
      </w:r>
      <w:r>
        <w:rPr>
          <w:rFonts w:ascii="Arial" w:cs="Arial" w:eastAsia="Arial" w:hAnsi="Arial"/>
          <w:sz w:val="17"/>
          <w:szCs w:val="17"/>
          <w:color w:val="32406B"/>
        </w:rPr>
        <w:t>As a pioneer in IoT cloud platform that integrates both PaaS and SaaS, we enable businesses</w:t>
      </w:r>
      <w:r>
        <w:rPr>
          <w:rFonts w:ascii="Arial" w:cs="Arial" w:eastAsia="Arial" w:hAnsi="Arial"/>
          <w:sz w:val="17"/>
          <w:szCs w:val="17"/>
          <w:i w:val="1"/>
          <w:iCs w:val="1"/>
          <w:color w:val="32406B"/>
        </w:rPr>
        <w:t xml:space="preserve"> </w:t>
      </w:r>
      <w:r>
        <w:rPr>
          <w:rFonts w:ascii="Arial" w:cs="Arial" w:eastAsia="Arial" w:hAnsi="Arial"/>
          <w:sz w:val="17"/>
          <w:szCs w:val="17"/>
          <w:color w:val="32406B"/>
        </w:rPr>
        <w:t>to transform traditional devices into software-enabled products. Our IoT PaaS currently enables businesses and developers to develop smart devices in more than 1,100 categories sold across over 220 countries and regions globally. We have also nurtured a large and active community of over 262,000 IoT device and software developers as of December 31, 2020. Today, smart devices powered by Tuya are available in over 100,000 stores all over the world.</w:t>
      </w:r>
    </w:p>
    <w:p>
      <w:pPr>
        <w:spacing w:after="0" w:line="81" w:lineRule="exact"/>
        <w:rPr>
          <w:rFonts w:ascii="Arial" w:cs="Arial" w:eastAsia="Arial" w:hAnsi="Arial"/>
          <w:sz w:val="17"/>
          <w:szCs w:val="17"/>
          <w:color w:val="32406B"/>
        </w:rPr>
      </w:pPr>
    </w:p>
    <w:p>
      <w:pPr>
        <w:jc w:val="both"/>
        <w:ind w:left="1240" w:right="640" w:hanging="523"/>
        <w:spacing w:after="0" w:line="263" w:lineRule="auto"/>
        <w:tabs>
          <w:tab w:leader="none" w:pos="1240" w:val="left"/>
        </w:tabs>
        <w:numPr>
          <w:ilvl w:val="0"/>
          <w:numId w:val="9"/>
        </w:numPr>
        <w:rPr>
          <w:rFonts w:ascii="Arial" w:cs="Arial" w:eastAsia="Arial" w:hAnsi="Arial"/>
          <w:sz w:val="18"/>
          <w:szCs w:val="18"/>
          <w:color w:val="32406B"/>
        </w:rPr>
      </w:pPr>
      <w:r>
        <w:rPr>
          <w:rFonts w:ascii="Arial" w:cs="Arial" w:eastAsia="Arial" w:hAnsi="Arial"/>
          <w:sz w:val="18"/>
          <w:szCs w:val="18"/>
          <w:i w:val="1"/>
          <w:iCs w:val="1"/>
          <w:color w:val="32406B"/>
        </w:rPr>
        <w:t xml:space="preserve">Massive scale of operation. </w:t>
      </w:r>
      <w:r>
        <w:rPr>
          <w:rFonts w:ascii="Arial" w:cs="Arial" w:eastAsia="Arial" w:hAnsi="Arial"/>
          <w:sz w:val="18"/>
          <w:szCs w:val="18"/>
          <w:color w:val="32406B"/>
        </w:rPr>
        <w:t>Our IoT cloud platform is currently capable of processing over 84 billion cloud requests and over</w:t>
      </w:r>
      <w:r>
        <w:rPr>
          <w:rFonts w:ascii="Arial" w:cs="Arial" w:eastAsia="Arial" w:hAnsi="Arial"/>
          <w:sz w:val="18"/>
          <w:szCs w:val="18"/>
          <w:i w:val="1"/>
          <w:iCs w:val="1"/>
          <w:color w:val="32406B"/>
        </w:rPr>
        <w:t xml:space="preserve"> </w:t>
      </w:r>
      <w:r>
        <w:rPr>
          <w:rFonts w:ascii="Arial" w:cs="Arial" w:eastAsia="Arial" w:hAnsi="Arial"/>
          <w:sz w:val="18"/>
          <w:szCs w:val="18"/>
          <w:color w:val="32406B"/>
        </w:rPr>
        <w:t>122 million AI voice interactions daily, allowing us to better understand our customers and continuously improve our service capabilities.</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Open and End-to-end IoT Cloud Platform</w:t>
      </w:r>
    </w:p>
    <w:p>
      <w:pPr>
        <w:spacing w:after="0" w:line="117" w:lineRule="exact"/>
        <w:rPr>
          <w:sz w:val="20"/>
          <w:szCs w:val="20"/>
          <w:color w:val="auto"/>
        </w:rPr>
      </w:pPr>
    </w:p>
    <w:p>
      <w:pPr>
        <w:ind w:left="300" w:right="540" w:firstLine="426"/>
        <w:spacing w:after="0" w:line="308" w:lineRule="auto"/>
        <w:rPr>
          <w:sz w:val="20"/>
          <w:szCs w:val="20"/>
          <w:color w:val="auto"/>
        </w:rPr>
      </w:pPr>
      <w:r>
        <w:rPr>
          <w:rFonts w:ascii="Arial" w:cs="Arial" w:eastAsia="Arial" w:hAnsi="Arial"/>
          <w:sz w:val="17"/>
          <w:szCs w:val="17"/>
          <w:color w:val="32406B"/>
        </w:rPr>
        <w:t>We have built an open and fully integrated IoT cloud platform that provides businesses and developers across the world with lifecycle services and enable them to build and manage applications effectively by taking care of the remaining complexity.</w:t>
      </w:r>
    </w:p>
    <w:p>
      <w:pPr>
        <w:spacing w:after="0" w:line="52" w:lineRule="exact"/>
        <w:rPr>
          <w:sz w:val="20"/>
          <w:szCs w:val="20"/>
          <w:color w:val="auto"/>
        </w:rPr>
      </w:pPr>
    </w:p>
    <w:p>
      <w:pPr>
        <w:jc w:val="both"/>
        <w:ind w:left="1240" w:hanging="523"/>
        <w:spacing w:after="0" w:line="311" w:lineRule="auto"/>
        <w:tabs>
          <w:tab w:leader="none" w:pos="1240" w:val="left"/>
        </w:tabs>
        <w:numPr>
          <w:ilvl w:val="0"/>
          <w:numId w:val="10"/>
        </w:numPr>
        <w:rPr>
          <w:rFonts w:ascii="Arial" w:cs="Arial" w:eastAsia="Arial" w:hAnsi="Arial"/>
          <w:sz w:val="16"/>
          <w:szCs w:val="16"/>
          <w:color w:val="32406B"/>
        </w:rPr>
      </w:pPr>
      <w:r>
        <w:rPr>
          <w:rFonts w:ascii="Arial" w:cs="Arial" w:eastAsia="Arial" w:hAnsi="Arial"/>
          <w:sz w:val="16"/>
          <w:szCs w:val="16"/>
          <w:i w:val="1"/>
          <w:iCs w:val="1"/>
          <w:color w:val="32406B"/>
        </w:rPr>
        <w:t xml:space="preserve">Cloud agnostic. </w:t>
      </w:r>
      <w:r>
        <w:rPr>
          <w:rFonts w:ascii="Arial" w:cs="Arial" w:eastAsia="Arial" w:hAnsi="Arial"/>
          <w:sz w:val="16"/>
          <w:szCs w:val="16"/>
          <w:color w:val="32406B"/>
        </w:rPr>
        <w:t>Our multi-cloud architecture does not depend on any single cloud service provider. It seamlessly integrates into major</w:t>
      </w:r>
      <w:r>
        <w:rPr>
          <w:rFonts w:ascii="Arial" w:cs="Arial" w:eastAsia="Arial" w:hAnsi="Arial"/>
          <w:sz w:val="16"/>
          <w:szCs w:val="16"/>
          <w:i w:val="1"/>
          <w:iCs w:val="1"/>
          <w:color w:val="32406B"/>
        </w:rPr>
        <w:t xml:space="preserve"> </w:t>
      </w:r>
      <w:r>
        <w:rPr>
          <w:rFonts w:ascii="Arial" w:cs="Arial" w:eastAsia="Arial" w:hAnsi="Arial"/>
          <w:sz w:val="16"/>
          <w:szCs w:val="16"/>
          <w:color w:val="32406B"/>
        </w:rPr>
        <w:t>global cloud infrastructure such as Amazon Web Services, Microsoft Azure and Tencent Cloud. We enable global developers to easily transfer their completed and in-process software applications from one to another with low compliance risk and regulation friction.</w:t>
      </w:r>
    </w:p>
    <w:p>
      <w:pPr>
        <w:spacing w:after="0" w:line="54" w:lineRule="exact"/>
        <w:rPr>
          <w:rFonts w:ascii="Arial" w:cs="Arial" w:eastAsia="Arial" w:hAnsi="Arial"/>
          <w:sz w:val="16"/>
          <w:szCs w:val="16"/>
          <w:color w:val="32406B"/>
        </w:rPr>
      </w:pPr>
    </w:p>
    <w:p>
      <w:pPr>
        <w:ind w:left="1240" w:right="20" w:hanging="523"/>
        <w:spacing w:after="0" w:line="279" w:lineRule="auto"/>
        <w:tabs>
          <w:tab w:leader="none" w:pos="1240" w:val="left"/>
        </w:tabs>
        <w:numPr>
          <w:ilvl w:val="0"/>
          <w:numId w:val="10"/>
        </w:numPr>
        <w:rPr>
          <w:rFonts w:ascii="Arial" w:cs="Arial" w:eastAsia="Arial" w:hAnsi="Arial"/>
          <w:sz w:val="17"/>
          <w:szCs w:val="17"/>
          <w:color w:val="32406B"/>
        </w:rPr>
      </w:pPr>
      <w:r>
        <w:rPr>
          <w:rFonts w:ascii="Arial" w:cs="Arial" w:eastAsia="Arial" w:hAnsi="Arial"/>
          <w:sz w:val="17"/>
          <w:szCs w:val="17"/>
          <w:i w:val="1"/>
          <w:iCs w:val="1"/>
          <w:color w:val="32406B"/>
        </w:rPr>
        <w:t xml:space="preserve">Full-stack solution. </w:t>
      </w:r>
      <w:r>
        <w:rPr>
          <w:rFonts w:ascii="Arial" w:cs="Arial" w:eastAsia="Arial" w:hAnsi="Arial"/>
          <w:sz w:val="17"/>
          <w:szCs w:val="17"/>
          <w:color w:val="32406B"/>
        </w:rPr>
        <w:t>We deliver a solution that addresses all kinds of needs from developers along the technology stack, from</w:t>
      </w:r>
      <w:r>
        <w:rPr>
          <w:rFonts w:ascii="Arial" w:cs="Arial" w:eastAsia="Arial" w:hAnsi="Arial"/>
          <w:sz w:val="17"/>
          <w:szCs w:val="17"/>
          <w:i w:val="1"/>
          <w:iCs w:val="1"/>
          <w:color w:val="32406B"/>
        </w:rPr>
        <w:t xml:space="preserve"> </w:t>
      </w:r>
      <w:r>
        <w:rPr>
          <w:rFonts w:ascii="Arial" w:cs="Arial" w:eastAsia="Arial" w:hAnsi="Arial"/>
          <w:sz w:val="17"/>
          <w:szCs w:val="17"/>
          <w:color w:val="32406B"/>
        </w:rPr>
        <w:t>infrastructure support, operation and maintenance support, security and compliance monitoring, to data management, mainstream API access, end user application interfaces and industry-specific application-layer units. Developers can perform all IoT enablement tasks from design to launch using our IoT cloud platform only, without having to switch to different platforms.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32406B"/>
        </w:rPr>
        <w:t>7</w:t>
      </w:r>
    </w:p>
    <w:p>
      <w:pPr>
        <w:sectPr>
          <w:pgSz w:w="11900" w:h="16838" w:orient="portrait"/>
          <w:cols w:equalWidth="0" w:num="1">
            <w:col w:w="10900"/>
          </w:cols>
          <w:pgMar w:left="320" w:top="459"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hanging="523"/>
        <w:spacing w:after="0" w:line="293" w:lineRule="auto"/>
        <w:tabs>
          <w:tab w:leader="none" w:pos="1240" w:val="left"/>
        </w:tabs>
        <w:numPr>
          <w:ilvl w:val="0"/>
          <w:numId w:val="11"/>
        </w:numPr>
        <w:rPr>
          <w:rFonts w:ascii="Arial" w:cs="Arial" w:eastAsia="Arial" w:hAnsi="Arial"/>
          <w:sz w:val="16"/>
          <w:szCs w:val="16"/>
          <w:color w:val="32406B"/>
        </w:rPr>
      </w:pPr>
      <w:r>
        <w:rPr>
          <w:rFonts w:ascii="Arial" w:cs="Arial" w:eastAsia="Arial" w:hAnsi="Arial"/>
          <w:sz w:val="16"/>
          <w:szCs w:val="16"/>
          <w:i w:val="1"/>
          <w:iCs w:val="1"/>
          <w:color w:val="32406B"/>
        </w:rPr>
        <w:t xml:space="preserve">Open. </w:t>
      </w:r>
      <w:r>
        <w:rPr>
          <w:rFonts w:ascii="Arial" w:cs="Arial" w:eastAsia="Arial" w:hAnsi="Arial"/>
          <w:sz w:val="16"/>
          <w:szCs w:val="16"/>
          <w:color w:val="32406B"/>
        </w:rPr>
        <w:t>We have designed our IoT cloud platform to be open. We have developed a rich collection of APIs that enable us to integrate</w:t>
      </w:r>
      <w:r>
        <w:rPr>
          <w:rFonts w:ascii="Arial" w:cs="Arial" w:eastAsia="Arial" w:hAnsi="Arial"/>
          <w:sz w:val="16"/>
          <w:szCs w:val="16"/>
          <w:i w:val="1"/>
          <w:iCs w:val="1"/>
          <w:color w:val="32406B"/>
        </w:rPr>
        <w:t xml:space="preserve"> </w:t>
      </w:r>
      <w:r>
        <w:rPr>
          <w:rFonts w:ascii="Arial" w:cs="Arial" w:eastAsia="Arial" w:hAnsi="Arial"/>
          <w:sz w:val="16"/>
          <w:szCs w:val="16"/>
          <w:color w:val="32406B"/>
        </w:rPr>
        <w:t>quickly and easily with a broad range of cloud infrastructure components. We are not limited to any particular ecosystem. We deliver seamless integration with all leading IoT and smart home services, including voice control from Amazon Alexa and Google Assistant, as well as other key platforms like Samsung SmartThings. Our solution support a range of bandwidth applications and connectivity protocols, including Wi-Fi, ZigBee, dual radio, Bluetooth, 5G and NB-IoT, and can mix and match connectivity needs of our customers. Our open architecture future-proofs our platform from changes in underlying industry standards and components.</w:t>
      </w:r>
    </w:p>
    <w:p>
      <w:pPr>
        <w:spacing w:after="0" w:line="27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Differentiated Technology and Data Capabilities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32406B"/>
        </w:rPr>
        <w:t>We fully leverage our cutting-edge technology to enable our customers to have better developing experience, and help them better serve end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users.</w:t>
      </w:r>
    </w:p>
    <w:p>
      <w:pPr>
        <w:spacing w:after="0" w:line="116" w:lineRule="exact"/>
        <w:rPr>
          <w:sz w:val="20"/>
          <w:szCs w:val="20"/>
          <w:color w:val="auto"/>
        </w:rPr>
      </w:pPr>
    </w:p>
    <w:p>
      <w:pPr>
        <w:ind w:left="1240" w:right="140" w:hanging="523"/>
        <w:spacing w:after="0" w:line="342" w:lineRule="auto"/>
        <w:tabs>
          <w:tab w:leader="none" w:pos="1240" w:val="left"/>
        </w:tabs>
        <w:numPr>
          <w:ilvl w:val="0"/>
          <w:numId w:val="12"/>
        </w:numPr>
        <w:rPr>
          <w:rFonts w:ascii="Arial" w:cs="Arial" w:eastAsia="Arial" w:hAnsi="Arial"/>
          <w:sz w:val="16"/>
          <w:szCs w:val="16"/>
          <w:color w:val="32406B"/>
        </w:rPr>
      </w:pPr>
      <w:r>
        <w:rPr>
          <w:rFonts w:ascii="Arial" w:cs="Arial" w:eastAsia="Arial" w:hAnsi="Arial"/>
          <w:sz w:val="16"/>
          <w:szCs w:val="16"/>
          <w:i w:val="1"/>
          <w:iCs w:val="1"/>
          <w:color w:val="32406B"/>
        </w:rPr>
        <w:t xml:space="preserve">Simple but not simplistic. </w:t>
      </w:r>
      <w:r>
        <w:rPr>
          <w:rFonts w:ascii="Arial" w:cs="Arial" w:eastAsia="Arial" w:hAnsi="Arial"/>
          <w:sz w:val="16"/>
          <w:szCs w:val="16"/>
          <w:color w:val="32406B"/>
        </w:rPr>
        <w:t>Our simple-to-use low- to no-code development tools and ready-to-use cutting-edge features take away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vast complexity of full stack IoT development. At the same time, developers can create differentiated products with our rich tools.</w:t>
      </w:r>
    </w:p>
    <w:p>
      <w:pPr>
        <w:spacing w:after="0" w:line="29" w:lineRule="exact"/>
        <w:rPr>
          <w:rFonts w:ascii="Arial" w:cs="Arial" w:eastAsia="Arial" w:hAnsi="Arial"/>
          <w:sz w:val="16"/>
          <w:szCs w:val="16"/>
          <w:color w:val="32406B"/>
        </w:rPr>
      </w:pPr>
    </w:p>
    <w:p>
      <w:pPr>
        <w:ind w:left="1240" w:right="40" w:hanging="523"/>
        <w:spacing w:after="0" w:line="259" w:lineRule="auto"/>
        <w:tabs>
          <w:tab w:leader="none" w:pos="1240" w:val="left"/>
        </w:tabs>
        <w:numPr>
          <w:ilvl w:val="0"/>
          <w:numId w:val="12"/>
        </w:numPr>
        <w:rPr>
          <w:rFonts w:ascii="Arial" w:cs="Arial" w:eastAsia="Arial" w:hAnsi="Arial"/>
          <w:sz w:val="18"/>
          <w:szCs w:val="18"/>
          <w:color w:val="32406B"/>
        </w:rPr>
      </w:pPr>
      <w:r>
        <w:rPr>
          <w:rFonts w:ascii="Arial" w:cs="Arial" w:eastAsia="Arial" w:hAnsi="Arial"/>
          <w:sz w:val="18"/>
          <w:szCs w:val="18"/>
          <w:i w:val="1"/>
          <w:iCs w:val="1"/>
          <w:color w:val="32406B"/>
        </w:rPr>
        <w:t xml:space="preserve">Reliable and scalable technology. </w:t>
      </w:r>
      <w:r>
        <w:rPr>
          <w:rFonts w:ascii="Arial" w:cs="Arial" w:eastAsia="Arial" w:hAnsi="Arial"/>
          <w:sz w:val="18"/>
          <w:szCs w:val="18"/>
          <w:color w:val="32406B"/>
        </w:rPr>
        <w:t>Our worldwide infrastructure support ensures secure and stable coverage, providing low-latency,</w:t>
      </w:r>
      <w:r>
        <w:rPr>
          <w:rFonts w:ascii="Arial" w:cs="Arial" w:eastAsia="Arial" w:hAnsi="Arial"/>
          <w:sz w:val="18"/>
          <w:szCs w:val="18"/>
          <w:i w:val="1"/>
          <w:iCs w:val="1"/>
          <w:color w:val="32406B"/>
        </w:rPr>
        <w:t xml:space="preserve"> </w:t>
      </w:r>
      <w:r>
        <w:rPr>
          <w:rFonts w:ascii="Arial" w:cs="Arial" w:eastAsia="Arial" w:hAnsi="Arial"/>
          <w:sz w:val="18"/>
          <w:szCs w:val="18"/>
          <w:color w:val="32406B"/>
        </w:rPr>
        <w:t>redundancy, and 99.9% uptime. Our IoT cloud platform is capable of handling over 84 billion cloud requests daily with an average device response time of less than 10 milliseconds. It also adopts a distributed and flexible service architecture that allows for real-time scaling, making it easy for customers to increase capacity.</w:t>
      </w:r>
    </w:p>
    <w:p>
      <w:pPr>
        <w:spacing w:after="0" w:line="92" w:lineRule="exact"/>
        <w:rPr>
          <w:rFonts w:ascii="Arial" w:cs="Arial" w:eastAsia="Arial" w:hAnsi="Arial"/>
          <w:sz w:val="18"/>
          <w:szCs w:val="18"/>
          <w:color w:val="32406B"/>
        </w:rPr>
      </w:pPr>
    </w:p>
    <w:p>
      <w:pPr>
        <w:ind w:left="1240" w:hanging="523"/>
        <w:spacing w:after="0" w:line="259" w:lineRule="auto"/>
        <w:tabs>
          <w:tab w:leader="none" w:pos="1240" w:val="left"/>
        </w:tabs>
        <w:numPr>
          <w:ilvl w:val="0"/>
          <w:numId w:val="12"/>
        </w:numPr>
        <w:rPr>
          <w:rFonts w:ascii="Arial" w:cs="Arial" w:eastAsia="Arial" w:hAnsi="Arial"/>
          <w:sz w:val="18"/>
          <w:szCs w:val="18"/>
          <w:color w:val="32406B"/>
        </w:rPr>
      </w:pPr>
      <w:r>
        <w:rPr>
          <w:rFonts w:ascii="Arial" w:cs="Arial" w:eastAsia="Arial" w:hAnsi="Arial"/>
          <w:sz w:val="18"/>
          <w:szCs w:val="18"/>
          <w:i w:val="1"/>
          <w:iCs w:val="1"/>
          <w:color w:val="32406B"/>
        </w:rPr>
        <w:t xml:space="preserve">Unique device data insights. </w:t>
      </w:r>
      <w:r>
        <w:rPr>
          <w:rFonts w:ascii="Arial" w:cs="Arial" w:eastAsia="Arial" w:hAnsi="Arial"/>
          <w:sz w:val="18"/>
          <w:szCs w:val="18"/>
          <w:color w:val="32406B"/>
        </w:rPr>
        <w:t>Traditional businesses are provided with massive and insightful data on the usage of their devices and use</w:t>
      </w:r>
      <w:r>
        <w:rPr>
          <w:rFonts w:ascii="Arial" w:cs="Arial" w:eastAsia="Arial" w:hAnsi="Arial"/>
          <w:sz w:val="18"/>
          <w:szCs w:val="18"/>
          <w:i w:val="1"/>
          <w:iCs w:val="1"/>
          <w:color w:val="32406B"/>
        </w:rPr>
        <w:t xml:space="preserve"> </w:t>
      </w:r>
      <w:r>
        <w:rPr>
          <w:rFonts w:ascii="Arial" w:cs="Arial" w:eastAsia="Arial" w:hAnsi="Arial"/>
          <w:sz w:val="18"/>
          <w:szCs w:val="18"/>
          <w:color w:val="32406B"/>
        </w:rPr>
        <w:t>of their devices. With the in-depth business insights generated from such data, businesses can better understand their end users, upgrade their software and hardware and deliver more comprehensive IoT-enabled services to them, leading to a sustainable relationship.</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Thriving Ecosystem with Powerful Network Effects</w:t>
      </w:r>
    </w:p>
    <w:p>
      <w:pPr>
        <w:spacing w:after="0" w:line="117"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32406B"/>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 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 Additionally, we allow our customers to try out new ideas based on our consumption-based revenue model to accelerate their adoption of our platform and cultivate a vibrant culture for innovation.</w:t>
      </w:r>
    </w:p>
    <w:p>
      <w:pPr>
        <w:spacing w:after="0" w:line="84" w:lineRule="exact"/>
        <w:rPr>
          <w:sz w:val="20"/>
          <w:szCs w:val="20"/>
          <w:color w:val="auto"/>
        </w:rPr>
      </w:pPr>
    </w:p>
    <w:p>
      <w:pPr>
        <w:ind w:left="1240" w:right="40" w:hanging="523"/>
        <w:spacing w:after="0" w:line="254" w:lineRule="auto"/>
        <w:tabs>
          <w:tab w:leader="none" w:pos="1240" w:val="left"/>
        </w:tabs>
        <w:numPr>
          <w:ilvl w:val="0"/>
          <w:numId w:val="13"/>
        </w:numPr>
        <w:rPr>
          <w:rFonts w:ascii="Arial" w:cs="Arial" w:eastAsia="Arial" w:hAnsi="Arial"/>
          <w:sz w:val="18"/>
          <w:szCs w:val="18"/>
          <w:color w:val="32406B"/>
        </w:rPr>
      </w:pPr>
      <w:r>
        <w:rPr>
          <w:rFonts w:ascii="Arial" w:cs="Arial" w:eastAsia="Arial" w:hAnsi="Arial"/>
          <w:sz w:val="18"/>
          <w:szCs w:val="18"/>
          <w:i w:val="1"/>
          <w:iCs w:val="1"/>
          <w:color w:val="32406B"/>
        </w:rPr>
        <w:t xml:space="preserve">Large and loyal global customer base. </w:t>
      </w:r>
      <w:r>
        <w:rPr>
          <w:rFonts w:ascii="Arial" w:cs="Arial" w:eastAsia="Arial" w:hAnsi="Arial"/>
          <w:sz w:val="18"/>
          <w:szCs w:val="18"/>
          <w:color w:val="32406B"/>
        </w:rPr>
        <w:t>We had over 5,000 customers in 2020, primarily including brands, OEMs, industry operators</w:t>
      </w:r>
      <w:r>
        <w:rPr>
          <w:rFonts w:ascii="Arial" w:cs="Arial" w:eastAsia="Arial" w:hAnsi="Arial"/>
          <w:sz w:val="18"/>
          <w:szCs w:val="18"/>
          <w:i w:val="1"/>
          <w:iCs w:val="1"/>
          <w:color w:val="32406B"/>
        </w:rPr>
        <w:t xml:space="preserve"> </w:t>
      </w:r>
      <w:r>
        <w:rPr>
          <w:rFonts w:ascii="Arial" w:cs="Arial" w:eastAsia="Arial" w:hAnsi="Arial"/>
          <w:sz w:val="18"/>
          <w:szCs w:val="18"/>
          <w:color w:val="32406B"/>
        </w:rPr>
        <w:t>and system integrators. For the same period, our IoT PaaS empowered over 2,700 brands to develop their smart devices, including leading brands such as Calex, Philips and Schneider Electric, and are attracting an increasing number of Industry SaaS customers. Our IoT PaaS currently enables businesses and developers to develop smart devices in more than 1,100 categories sold across over 220 countries and regions globally. Our customers have high switching cost due to the tight connection with end users made possible on our IoT cloud platform. We recorded a dollar-based net expansion rate of our IoT PaaS customers of 181% for the trailing 12-month period ended December 31, 2020.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8</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523"/>
        <w:spacing w:after="0" w:line="293" w:lineRule="auto"/>
        <w:tabs>
          <w:tab w:leader="none" w:pos="1240" w:val="left"/>
        </w:tabs>
        <w:numPr>
          <w:ilvl w:val="0"/>
          <w:numId w:val="14"/>
        </w:numPr>
        <w:rPr>
          <w:rFonts w:ascii="Arial" w:cs="Arial" w:eastAsia="Arial" w:hAnsi="Arial"/>
          <w:sz w:val="16"/>
          <w:szCs w:val="16"/>
          <w:color w:val="32406B"/>
        </w:rPr>
      </w:pPr>
      <w:r>
        <w:rPr>
          <w:rFonts w:ascii="Arial" w:cs="Arial" w:eastAsia="Arial" w:hAnsi="Arial"/>
          <w:sz w:val="16"/>
          <w:szCs w:val="16"/>
          <w:i w:val="1"/>
          <w:iCs w:val="1"/>
          <w:color w:val="32406B"/>
        </w:rPr>
        <w:t xml:space="preserve">Vibrant developer and partner network. </w:t>
      </w:r>
      <w:r>
        <w:rPr>
          <w:rFonts w:ascii="Arial" w:cs="Arial" w:eastAsia="Arial" w:hAnsi="Arial"/>
          <w:sz w:val="16"/>
          <w:szCs w:val="16"/>
          <w:color w:val="32406B"/>
        </w:rPr>
        <w:t>We make IoT development easy for our device and software developers and encourage them</w:t>
      </w:r>
      <w:r>
        <w:rPr>
          <w:rFonts w:ascii="Arial" w:cs="Arial" w:eastAsia="Arial" w:hAnsi="Arial"/>
          <w:sz w:val="16"/>
          <w:szCs w:val="16"/>
          <w:i w:val="1"/>
          <w:iCs w:val="1"/>
          <w:color w:val="32406B"/>
        </w:rPr>
        <w:t xml:space="preserve"> </w:t>
      </w:r>
      <w:r>
        <w:rPr>
          <w:rFonts w:ascii="Arial" w:cs="Arial" w:eastAsia="Arial" w:hAnsi="Arial"/>
          <w:sz w:val="16"/>
          <w:szCs w:val="16"/>
          <w:color w:val="32406B"/>
        </w:rPr>
        <w:t>to innovate. Many of those are focused on creating brand new IoT experience and developing fundamental software, which in turn attracts more developers focused on the application-level. As of December 31, 2020, we have attracted a large and active community of over 262,000 IoT device and software developers who develop smart devices in over 252,000 stock keeping units, or SKUs, 13,500 application software development kits, or SDKs, and 22,500 cloud-based SaaS applications. We also partner with virtual assistant service providers, cloud infrastructure providers and online and offline retail channels to strengthen our ecosystem.</w:t>
      </w:r>
    </w:p>
    <w:p>
      <w:pPr>
        <w:spacing w:after="0" w:line="69" w:lineRule="exact"/>
        <w:rPr>
          <w:rFonts w:ascii="Arial" w:cs="Arial" w:eastAsia="Arial" w:hAnsi="Arial"/>
          <w:sz w:val="16"/>
          <w:szCs w:val="16"/>
          <w:color w:val="32406B"/>
        </w:rPr>
      </w:pPr>
    </w:p>
    <w:p>
      <w:pPr>
        <w:ind w:left="1240" w:right="120" w:hanging="523"/>
        <w:spacing w:after="0" w:line="263" w:lineRule="auto"/>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i w:val="1"/>
          <w:iCs w:val="1"/>
          <w:color w:val="32406B"/>
        </w:rPr>
        <w:t xml:space="preserve">Expansive end user base. </w:t>
      </w:r>
      <w:r>
        <w:rPr>
          <w:rFonts w:ascii="Arial" w:cs="Arial" w:eastAsia="Arial" w:hAnsi="Arial"/>
          <w:sz w:val="18"/>
          <w:szCs w:val="18"/>
          <w:color w:val="32406B"/>
        </w:rPr>
        <w:t>In 2020, we powered over 116.5 million smart devices, making us the largest IoT PaaS business in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global market of IoT PaaS in terms of the volume of smart devices powered, according to CIC. As of December 31, 2020, there were approximately 204.3 million smart devices powered by Tuya.</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Growth Strategies</w:t>
      </w:r>
    </w:p>
    <w:p>
      <w:pPr>
        <w:spacing w:after="0" w:line="121" w:lineRule="exact"/>
        <w:rPr>
          <w:sz w:val="20"/>
          <w:szCs w:val="20"/>
          <w:color w:val="auto"/>
        </w:rPr>
      </w:pPr>
    </w:p>
    <w:p>
      <w:pPr>
        <w:jc w:val="both"/>
        <w:ind w:left="300" w:right="140" w:firstLine="426"/>
        <w:spacing w:after="0" w:line="286" w:lineRule="auto"/>
        <w:rPr>
          <w:sz w:val="20"/>
          <w:szCs w:val="20"/>
          <w:color w:val="auto"/>
        </w:rPr>
      </w:pPr>
      <w:r>
        <w:rPr>
          <w:rFonts w:ascii="Arial" w:cs="Arial" w:eastAsia="Arial" w:hAnsi="Arial"/>
          <w:sz w:val="17"/>
          <w:szCs w:val="17"/>
          <w:color w:val="32406B"/>
        </w:rPr>
        <w:t>We believe we are the leading IoT cloud platform based on our leading position in the global market of IoT PaaS. According to CIC, we are the largest IoT PaaS business in the global market of IoT PaaS in terms of volume of smart devices powered in 2020. We intend to strengthen our position as the leading IoT cloud platform and continue to grow our business by pursuing the following strategies:</w:t>
      </w:r>
    </w:p>
    <w:p>
      <w:pPr>
        <w:spacing w:after="0" w:line="71" w:lineRule="exact"/>
        <w:rPr>
          <w:sz w:val="20"/>
          <w:szCs w:val="20"/>
          <w:color w:val="auto"/>
        </w:rPr>
      </w:pPr>
    </w:p>
    <w:p>
      <w:pPr>
        <w:ind w:left="1240" w:hanging="523"/>
        <w:spacing w:after="0"/>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Extend our technology leadership;</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Deepen our relationship with our existing customers;</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Acquire new customers;</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Broaden our reach by expanding into verticals such as industrial and agriculture;</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Grow and broaden our SaaS offerings; and</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Expand “Powered by Tuya” brand awareness.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Summary of Risks Affecting Our Company</w:t>
      </w:r>
    </w:p>
    <w:p>
      <w:pPr>
        <w:spacing w:after="0" w:line="121" w:lineRule="exact"/>
        <w:rPr>
          <w:sz w:val="20"/>
          <w:szCs w:val="20"/>
          <w:color w:val="auto"/>
        </w:rPr>
      </w:pPr>
    </w:p>
    <w:p>
      <w:pPr>
        <w:ind w:left="300" w:right="320" w:firstLine="426"/>
        <w:spacing w:after="0" w:line="263" w:lineRule="auto"/>
        <w:rPr>
          <w:sz w:val="20"/>
          <w:szCs w:val="20"/>
          <w:color w:val="auto"/>
        </w:rPr>
      </w:pPr>
      <w:r>
        <w:rPr>
          <w:rFonts w:ascii="Arial" w:cs="Arial" w:eastAsia="Arial" w:hAnsi="Arial"/>
          <w:sz w:val="18"/>
          <w:szCs w:val="18"/>
          <w:color w:val="32406B"/>
        </w:rPr>
        <w:t>Investing in the ADSs involves significant risks. You should carefully consider all of the information in this prospectus before making an investment in the ADSs. The main risks set forth below and others you should consider are discussed more fully in the section entitled “Risk Factors”, which you should read in its entirety.</w:t>
      </w:r>
    </w:p>
    <w:p>
      <w:pPr>
        <w:spacing w:after="0" w:line="89" w:lineRule="exact"/>
        <w:rPr>
          <w:sz w:val="20"/>
          <w:szCs w:val="20"/>
          <w:color w:val="auto"/>
        </w:rPr>
      </w:pPr>
    </w:p>
    <w:p>
      <w:pPr>
        <w:ind w:left="1240" w:right="200" w:hanging="523"/>
        <w:spacing w:after="0" w:line="263" w:lineRule="auto"/>
        <w:tabs>
          <w:tab w:leader="none" w:pos="124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We operate in an emerging and evolving market, which may not develop at the rate or in the direction we expect. If our market does not grow as we expect, or if we cannot expand our products and services to meet the demands of this market, our revenue may decline, or fail to grow, and we may continue to incur operating losses.</w:t>
      </w:r>
    </w:p>
    <w:p>
      <w:pPr>
        <w:spacing w:after="0" w:line="89" w:lineRule="exact"/>
        <w:rPr>
          <w:rFonts w:ascii="Arial" w:cs="Arial" w:eastAsia="Arial" w:hAnsi="Arial"/>
          <w:sz w:val="18"/>
          <w:szCs w:val="18"/>
          <w:color w:val="32406B"/>
        </w:rPr>
      </w:pPr>
    </w:p>
    <w:p>
      <w:pPr>
        <w:ind w:left="1240" w:hanging="523"/>
        <w:spacing w:after="0"/>
        <w:tabs>
          <w:tab w:leader="none" w:pos="124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We have a limited operating history, making it difficult to forecast our future results of operations.</w:t>
      </w:r>
    </w:p>
    <w:p>
      <w:pPr>
        <w:spacing w:after="0" w:line="130" w:lineRule="exact"/>
        <w:rPr>
          <w:rFonts w:ascii="Arial" w:cs="Arial" w:eastAsia="Arial" w:hAnsi="Arial"/>
          <w:sz w:val="18"/>
          <w:szCs w:val="18"/>
          <w:color w:val="32406B"/>
        </w:rPr>
      </w:pPr>
    </w:p>
    <w:p>
      <w:pPr>
        <w:ind w:left="1240" w:hanging="523"/>
        <w:spacing w:after="0" w:line="342" w:lineRule="auto"/>
        <w:tabs>
          <w:tab w:leader="none" w:pos="1240" w:val="left"/>
        </w:tabs>
        <w:numPr>
          <w:ilvl w:val="0"/>
          <w:numId w:val="16"/>
        </w:numPr>
        <w:rPr>
          <w:rFonts w:ascii="Arial" w:cs="Arial" w:eastAsia="Arial" w:hAnsi="Arial"/>
          <w:sz w:val="16"/>
          <w:szCs w:val="16"/>
          <w:color w:val="32406B"/>
        </w:rPr>
      </w:pPr>
      <w:r>
        <w:rPr>
          <w:rFonts w:ascii="Arial" w:cs="Arial" w:eastAsia="Arial" w:hAnsi="Arial"/>
          <w:sz w:val="16"/>
          <w:szCs w:val="16"/>
          <w:color w:val="32406B"/>
        </w:rPr>
        <w:t>Our recent growth may not be indicative of our future growth, and we may not be able to sustain our revenue growth rate in the future. Our growth also makes it difficult to evaluate our future prospects and may increase the risk that we will not be successful.</w:t>
      </w:r>
    </w:p>
    <w:p>
      <w:pPr>
        <w:spacing w:after="0" w:line="29" w:lineRule="exact"/>
        <w:rPr>
          <w:rFonts w:ascii="Arial" w:cs="Arial" w:eastAsia="Arial" w:hAnsi="Arial"/>
          <w:sz w:val="16"/>
          <w:szCs w:val="16"/>
          <w:color w:val="32406B"/>
        </w:rPr>
      </w:pPr>
    </w:p>
    <w:p>
      <w:pPr>
        <w:ind w:left="1240" w:right="180" w:hanging="523"/>
        <w:spacing w:after="0" w:line="277" w:lineRule="auto"/>
        <w:tabs>
          <w:tab w:leader="none" w:pos="124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The markets in which we operate are competitive, and if we do not compete effectively, our business, operating results and financial condition could be harmed.</w:t>
      </w:r>
    </w:p>
    <w:p>
      <w:pPr>
        <w:spacing w:after="0" w:line="75" w:lineRule="exact"/>
        <w:rPr>
          <w:rFonts w:ascii="Arial" w:cs="Arial" w:eastAsia="Arial" w:hAnsi="Arial"/>
          <w:sz w:val="18"/>
          <w:szCs w:val="18"/>
          <w:color w:val="32406B"/>
        </w:rPr>
      </w:pPr>
    </w:p>
    <w:p>
      <w:pPr>
        <w:ind w:left="1240" w:right="200" w:hanging="523"/>
        <w:spacing w:after="0" w:line="277" w:lineRule="auto"/>
        <w:tabs>
          <w:tab w:leader="none" w:pos="124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The success of our business is dependent upon our ability to maintain and expand our customer base and our ability to convince our customers to increase the use of our products and services. If we 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9</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73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6732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80"/>
        <w:spacing w:after="0" w:line="277" w:lineRule="auto"/>
        <w:rPr>
          <w:sz w:val="20"/>
          <w:szCs w:val="20"/>
          <w:color w:val="auto"/>
        </w:rPr>
      </w:pPr>
      <w:r>
        <w:rPr>
          <w:rFonts w:ascii="Arial" w:cs="Arial" w:eastAsia="Arial" w:hAnsi="Arial"/>
          <w:sz w:val="18"/>
          <w:szCs w:val="18"/>
          <w:color w:val="32406B"/>
        </w:rPr>
        <w:t>unable to expand our customer base and/or the use of our products and services by our customers declines, our business may be harmed.</w:t>
      </w:r>
    </w:p>
    <w:p>
      <w:pPr>
        <w:spacing w:after="0" w:line="76" w:lineRule="exact"/>
        <w:rPr>
          <w:sz w:val="20"/>
          <w:szCs w:val="20"/>
          <w:color w:val="auto"/>
        </w:rPr>
      </w:pPr>
    </w:p>
    <w:p>
      <w:pPr>
        <w:ind w:left="1240" w:right="600" w:hanging="523"/>
        <w:spacing w:after="0" w:line="277" w:lineRule="auto"/>
        <w:tabs>
          <w:tab w:leader="none" w:pos="124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The audit report included in this prospectus is prepared by an auditor that is not inspected by the Public Company Accounting Oversight Board and, as such, our investors are deprived of the benefits of such inspection.</w:t>
      </w:r>
    </w:p>
    <w:p>
      <w:pPr>
        <w:spacing w:after="0" w:line="75" w:lineRule="exact"/>
        <w:rPr>
          <w:rFonts w:ascii="Arial" w:cs="Arial" w:eastAsia="Arial" w:hAnsi="Arial"/>
          <w:sz w:val="18"/>
          <w:szCs w:val="18"/>
          <w:color w:val="32406B"/>
        </w:rPr>
      </w:pPr>
    </w:p>
    <w:p>
      <w:pPr>
        <w:jc w:val="both"/>
        <w:ind w:left="1240" w:right="340" w:hanging="523"/>
        <w:spacing w:after="0" w:line="311" w:lineRule="auto"/>
        <w:tabs>
          <w:tab w:leader="none" w:pos="1240" w:val="left"/>
        </w:tabs>
        <w:numPr>
          <w:ilvl w:val="0"/>
          <w:numId w:val="17"/>
        </w:numPr>
        <w:rPr>
          <w:rFonts w:ascii="Arial" w:cs="Arial" w:eastAsia="Arial" w:hAnsi="Arial"/>
          <w:sz w:val="16"/>
          <w:szCs w:val="16"/>
          <w:color w:val="32406B"/>
        </w:rPr>
      </w:pPr>
      <w:r>
        <w:rPr>
          <w:rFonts w:ascii="Arial" w:cs="Arial" w:eastAsia="Arial" w:hAnsi="Arial"/>
          <w:sz w:val="16"/>
          <w:szCs w:val="16"/>
          <w:color w:val="32406B"/>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54" w:lineRule="exact"/>
        <w:rPr>
          <w:rFonts w:ascii="Arial" w:cs="Arial" w:eastAsia="Arial" w:hAnsi="Arial"/>
          <w:sz w:val="16"/>
          <w:szCs w:val="16"/>
          <w:color w:val="32406B"/>
        </w:rPr>
      </w:pPr>
    </w:p>
    <w:p>
      <w:pPr>
        <w:ind w:left="1240" w:right="660" w:hanging="523"/>
        <w:spacing w:after="0" w:line="342" w:lineRule="auto"/>
        <w:tabs>
          <w:tab w:leader="none" w:pos="1240" w:val="left"/>
        </w:tabs>
        <w:numPr>
          <w:ilvl w:val="0"/>
          <w:numId w:val="17"/>
        </w:numPr>
        <w:rPr>
          <w:rFonts w:ascii="Arial" w:cs="Arial" w:eastAsia="Arial" w:hAnsi="Arial"/>
          <w:sz w:val="16"/>
          <w:szCs w:val="16"/>
          <w:color w:val="32406B"/>
        </w:rPr>
      </w:pPr>
      <w:r>
        <w:rPr>
          <w:rFonts w:ascii="Arial" w:cs="Arial" w:eastAsia="Arial" w:hAnsi="Arial"/>
          <w:sz w:val="16"/>
          <w:szCs w:val="16"/>
          <w:color w:val="32406B"/>
        </w:rPr>
        <w:t>We rely on contractual arrangements with our VIE and its shareholders to use, or otherwise benefit from, certain licenses and approvals we may need in the future, which may not be as effective as direct ownership in providing operational control.</w:t>
      </w:r>
    </w:p>
    <w:p>
      <w:pPr>
        <w:spacing w:after="0" w:line="29" w:lineRule="exact"/>
        <w:rPr>
          <w:rFonts w:ascii="Arial" w:cs="Arial" w:eastAsia="Arial" w:hAnsi="Arial"/>
          <w:sz w:val="16"/>
          <w:szCs w:val="16"/>
          <w:color w:val="32406B"/>
        </w:rPr>
      </w:pPr>
    </w:p>
    <w:p>
      <w:pPr>
        <w:ind w:left="1240" w:right="540" w:hanging="523"/>
        <w:spacing w:after="0" w:line="277" w:lineRule="auto"/>
        <w:tabs>
          <w:tab w:leader="none" w:pos="124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Changes in China’s economic, political or social conditions or government policies could have a material adverse effect on our business, financial condition and results of operations.</w:t>
      </w:r>
    </w:p>
    <w:p>
      <w:pPr>
        <w:spacing w:after="0" w:line="75" w:lineRule="exact"/>
        <w:rPr>
          <w:rFonts w:ascii="Arial" w:cs="Arial" w:eastAsia="Arial" w:hAnsi="Arial"/>
          <w:sz w:val="18"/>
          <w:szCs w:val="18"/>
          <w:color w:val="32406B"/>
        </w:rPr>
      </w:pPr>
    </w:p>
    <w:p>
      <w:pPr>
        <w:ind w:left="1240" w:right="460" w:hanging="523"/>
        <w:spacing w:after="0" w:line="277" w:lineRule="auto"/>
        <w:tabs>
          <w:tab w:leader="none" w:pos="124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An active trading market for our ordinary shares or the ADSs may not develop and the trading price for the ADSs may fluctuate significantly.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Contractual Arrangements and Corporate Structure</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32406B"/>
        </w:rPr>
        <w:t>We are a Cayman Islands company and currently conduct substantially all of our business operations in the PRC through Hangzhou Tuya Information Technology Co. Ltd., our wholly-owned subsidiary incorporated in the PRC. Hangzhou Tuya Information Technology Co. Ltd. controls Hangzhou Tuya Technology Co., Ltd. through a series of contractual arrangements. As a result of these contractual arrangements, we have control over, and are the primary beneficiary of, Hangzhou Tuya Technology Co., Ltd.</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7"/>
          <w:szCs w:val="17"/>
          <w:color w:val="32406B"/>
        </w:rPr>
        <w:t>The following chart illustrates our corporate structure, including our significant subsidiaries as that term is defined under Section 1-02 of</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Regulation S-X under the Securities Act, our VIE and certain other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32406B"/>
        </w:rPr>
        <w:t>10</w:t>
      </w:r>
    </w:p>
    <w:p>
      <w:pPr>
        <w:sectPr>
          <w:pgSz w:w="11900" w:h="16838" w:orient="portrait"/>
          <w:cols w:equalWidth="0" w:num="1">
            <w:col w:w="10900"/>
          </w:cols>
          <w:pgMar w:left="320" w:top="459"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27"/>
        </w:trPr>
        <w:tc>
          <w:tcPr>
            <w:tcW w:w="180" w:type="dxa"/>
            <w:vAlign w:val="bottom"/>
            <w:tcBorders>
              <w:top w:val="single" w:sz="8" w:color="32406B"/>
              <w:left w:val="single" w:sz="8" w:color="32406B"/>
            </w:tcBorders>
          </w:tcPr>
          <w:p>
            <w:pPr>
              <w:spacing w:after="0"/>
              <w:rPr>
                <w:sz w:val="24"/>
                <w:szCs w:val="24"/>
                <w:color w:val="auto"/>
              </w:rPr>
            </w:pPr>
          </w:p>
        </w:tc>
        <w:tc>
          <w:tcPr>
            <w:tcW w:w="1160" w:type="dxa"/>
            <w:vAlign w:val="bottom"/>
            <w:tcBorders>
              <w:top w:val="single" w:sz="8" w:color="32406B"/>
              <w:bottom w:val="single" w:sz="8" w:color="32406B"/>
            </w:tcBorders>
          </w:tcPr>
          <w:p>
            <w:pPr>
              <w:spacing w:after="0"/>
              <w:rPr>
                <w:sz w:val="24"/>
                <w:szCs w:val="24"/>
                <w:color w:val="auto"/>
              </w:rPr>
            </w:pPr>
          </w:p>
        </w:tc>
        <w:tc>
          <w:tcPr>
            <w:tcW w:w="9680" w:type="dxa"/>
            <w:vAlign w:val="bottom"/>
            <w:tcBorders>
              <w:top w:val="single" w:sz="8" w:color="32406B"/>
              <w:right w:val="single" w:sz="8" w:color="32406B"/>
            </w:tcBorders>
          </w:tcPr>
          <w:p>
            <w:pPr>
              <w:spacing w:after="0"/>
              <w:rPr>
                <w:sz w:val="24"/>
                <w:szCs w:val="24"/>
                <w:color w:val="auto"/>
              </w:rPr>
            </w:pPr>
          </w:p>
        </w:tc>
      </w:tr>
      <w:tr>
        <w:trPr>
          <w:trHeight w:val="164"/>
        </w:trPr>
        <w:tc>
          <w:tcPr>
            <w:tcW w:w="1340" w:type="dxa"/>
            <w:vAlign w:val="bottom"/>
            <w:tcBorders>
              <w:left w:val="single" w:sz="8" w:color="32406B"/>
            </w:tcBorders>
            <w:gridSpan w:val="2"/>
          </w:tcPr>
          <w:p>
            <w:pPr>
              <w:ind w:left="180"/>
              <w:spacing w:after="0"/>
              <w:rPr>
                <w:sz w:val="20"/>
                <w:szCs w:val="20"/>
                <w:color w:val="auto"/>
              </w:rPr>
            </w:pPr>
            <w:r>
              <w:rPr>
                <w:rFonts w:ascii="Arial" w:cs="Arial" w:eastAsia="Arial" w:hAnsi="Arial"/>
                <w:sz w:val="14"/>
                <w:szCs w:val="14"/>
                <w:color w:val="32406B"/>
              </w:rPr>
              <w:t>Note:  (1)</w:t>
            </w:r>
          </w:p>
        </w:tc>
        <w:tc>
          <w:tcPr>
            <w:tcW w:w="9680" w:type="dxa"/>
            <w:vAlign w:val="bottom"/>
            <w:tcBorders>
              <w:right w:val="single" w:sz="8" w:color="32406B"/>
            </w:tcBorders>
          </w:tcPr>
          <w:p>
            <w:pPr>
              <w:ind w:left="100"/>
              <w:spacing w:after="0"/>
              <w:rPr>
                <w:sz w:val="20"/>
                <w:szCs w:val="20"/>
                <w:color w:val="auto"/>
              </w:rPr>
            </w:pPr>
            <w:r>
              <w:rPr>
                <w:rFonts w:ascii="Arial" w:cs="Arial" w:eastAsia="Arial" w:hAnsi="Arial"/>
                <w:sz w:val="14"/>
                <w:szCs w:val="14"/>
                <w:color w:val="32406B"/>
                <w:w w:val="99"/>
              </w:rPr>
              <w:t>Shareholders of Hangzhou Tuya Technology are Xueji (Jerry) Wang (our director and CEO), Liaohan (Leo) Chen (our director), Yaona Lin (our employee),</w:t>
            </w:r>
          </w:p>
        </w:tc>
      </w:tr>
      <w:tr>
        <w:trPr>
          <w:trHeight w:val="148"/>
        </w:trPr>
        <w:tc>
          <w:tcPr>
            <w:tcW w:w="180" w:type="dxa"/>
            <w:vAlign w:val="bottom"/>
            <w:tcBorders>
              <w:left w:val="single" w:sz="8" w:color="32406B"/>
            </w:tcBorders>
          </w:tcPr>
          <w:p>
            <w:pPr>
              <w:spacing w:after="0"/>
              <w:rPr>
                <w:sz w:val="12"/>
                <w:szCs w:val="12"/>
                <w:color w:val="auto"/>
              </w:rPr>
            </w:pPr>
          </w:p>
        </w:tc>
        <w:tc>
          <w:tcPr>
            <w:tcW w:w="1160" w:type="dxa"/>
            <w:vAlign w:val="bottom"/>
          </w:tcPr>
          <w:p>
            <w:pPr>
              <w:spacing w:after="0"/>
              <w:rPr>
                <w:sz w:val="12"/>
                <w:szCs w:val="12"/>
                <w:color w:val="auto"/>
              </w:rPr>
            </w:pPr>
          </w:p>
        </w:tc>
        <w:tc>
          <w:tcPr>
            <w:tcW w:w="9680" w:type="dxa"/>
            <w:vAlign w:val="bottom"/>
            <w:tcBorders>
              <w:right w:val="single" w:sz="8" w:color="32406B"/>
            </w:tcBorders>
          </w:tcPr>
          <w:p>
            <w:pPr>
              <w:ind w:left="100"/>
              <w:spacing w:after="0" w:line="149" w:lineRule="exact"/>
              <w:rPr>
                <w:sz w:val="20"/>
                <w:szCs w:val="20"/>
                <w:color w:val="auto"/>
              </w:rPr>
            </w:pPr>
            <w:r>
              <w:rPr>
                <w:rFonts w:ascii="Arial" w:cs="Arial" w:eastAsia="Arial" w:hAnsi="Arial"/>
                <w:sz w:val="14"/>
                <w:szCs w:val="14"/>
                <w:color w:val="32406B"/>
                <w:w w:val="96"/>
              </w:rPr>
              <w:t>Ruixin Zhou (our CTO) and Peihong Chen (our employee), each holding approximately 60.7%, 13.1%, 11.5%, 9.8% and 4.9%, respectively, of equity interests in</w:t>
            </w:r>
          </w:p>
        </w:tc>
      </w:tr>
      <w:tr>
        <w:trPr>
          <w:trHeight w:val="148"/>
        </w:trPr>
        <w:tc>
          <w:tcPr>
            <w:tcW w:w="180" w:type="dxa"/>
            <w:vAlign w:val="bottom"/>
            <w:tcBorders>
              <w:left w:val="single" w:sz="8" w:color="32406B"/>
            </w:tcBorders>
          </w:tcPr>
          <w:p>
            <w:pPr>
              <w:spacing w:after="0"/>
              <w:rPr>
                <w:sz w:val="12"/>
                <w:szCs w:val="12"/>
                <w:color w:val="auto"/>
              </w:rPr>
            </w:pPr>
          </w:p>
        </w:tc>
        <w:tc>
          <w:tcPr>
            <w:tcW w:w="1160" w:type="dxa"/>
            <w:vAlign w:val="bottom"/>
          </w:tcPr>
          <w:p>
            <w:pPr>
              <w:spacing w:after="0"/>
              <w:rPr>
                <w:sz w:val="12"/>
                <w:szCs w:val="12"/>
                <w:color w:val="auto"/>
              </w:rPr>
            </w:pPr>
          </w:p>
        </w:tc>
        <w:tc>
          <w:tcPr>
            <w:tcW w:w="9680" w:type="dxa"/>
            <w:vAlign w:val="bottom"/>
            <w:tcBorders>
              <w:right w:val="single" w:sz="8" w:color="32406B"/>
            </w:tcBorders>
          </w:tcPr>
          <w:p>
            <w:pPr>
              <w:ind w:left="100"/>
              <w:spacing w:after="0" w:line="149" w:lineRule="exact"/>
              <w:rPr>
                <w:sz w:val="20"/>
                <w:szCs w:val="20"/>
                <w:color w:val="auto"/>
              </w:rPr>
            </w:pPr>
            <w:r>
              <w:rPr>
                <w:rFonts w:ascii="Arial" w:cs="Arial" w:eastAsia="Arial" w:hAnsi="Arial"/>
                <w:sz w:val="14"/>
                <w:szCs w:val="14"/>
                <w:color w:val="32406B"/>
                <w:w w:val="96"/>
              </w:rPr>
              <w:t>Hangzhou Tuya Technology. Xueji (Jerry) Wang, Liaohan (Leo) Chen, Yaona Lin, Ruixin Zhou and Peihong Chen each holds approximately 20.3%, 5.1%, 4.5%,</w:t>
            </w:r>
          </w:p>
        </w:tc>
      </w:tr>
      <w:tr>
        <w:trPr>
          <w:trHeight w:val="182"/>
        </w:trPr>
        <w:tc>
          <w:tcPr>
            <w:tcW w:w="180" w:type="dxa"/>
            <w:vAlign w:val="bottom"/>
            <w:tcBorders>
              <w:left w:val="single" w:sz="8" w:color="32406B"/>
            </w:tcBorders>
          </w:tcPr>
          <w:p>
            <w:pPr>
              <w:spacing w:after="0"/>
              <w:rPr>
                <w:sz w:val="15"/>
                <w:szCs w:val="15"/>
                <w:color w:val="auto"/>
              </w:rPr>
            </w:pPr>
          </w:p>
        </w:tc>
        <w:tc>
          <w:tcPr>
            <w:tcW w:w="1160" w:type="dxa"/>
            <w:vAlign w:val="bottom"/>
          </w:tcPr>
          <w:p>
            <w:pPr>
              <w:spacing w:after="0"/>
              <w:rPr>
                <w:sz w:val="15"/>
                <w:szCs w:val="15"/>
                <w:color w:val="auto"/>
              </w:rPr>
            </w:pPr>
          </w:p>
        </w:tc>
        <w:tc>
          <w:tcPr>
            <w:tcW w:w="9680" w:type="dxa"/>
            <w:vAlign w:val="bottom"/>
            <w:tcBorders>
              <w:right w:val="single" w:sz="8" w:color="32406B"/>
            </w:tcBorders>
          </w:tcPr>
          <w:p>
            <w:pPr>
              <w:ind w:left="100"/>
              <w:spacing w:after="0"/>
              <w:rPr>
                <w:sz w:val="20"/>
                <w:szCs w:val="20"/>
                <w:color w:val="auto"/>
              </w:rPr>
            </w:pPr>
            <w:r>
              <w:rPr>
                <w:rFonts w:ascii="Arial" w:cs="Arial" w:eastAsia="Arial" w:hAnsi="Arial"/>
                <w:sz w:val="14"/>
                <w:szCs w:val="14"/>
                <w:color w:val="32406B"/>
              </w:rPr>
              <w:t>3.9% and 1.9%, respectively, of our equity interests immediately after the completion of this offering.</w:t>
            </w:r>
          </w:p>
        </w:tc>
      </w:tr>
      <w:tr>
        <w:trPr>
          <w:trHeight w:val="225"/>
        </w:trPr>
        <w:tc>
          <w:tcPr>
            <w:tcW w:w="180" w:type="dxa"/>
            <w:vAlign w:val="bottom"/>
            <w:tcBorders>
              <w:left w:val="single" w:sz="8" w:color="32406B"/>
              <w:bottom w:val="single" w:sz="8" w:color="32406B"/>
            </w:tcBorders>
          </w:tcPr>
          <w:p>
            <w:pPr>
              <w:spacing w:after="0"/>
              <w:rPr>
                <w:sz w:val="19"/>
                <w:szCs w:val="19"/>
                <w:color w:val="auto"/>
              </w:rPr>
            </w:pPr>
          </w:p>
        </w:tc>
        <w:tc>
          <w:tcPr>
            <w:tcW w:w="1160" w:type="dxa"/>
            <w:vAlign w:val="bottom"/>
            <w:tcBorders>
              <w:bottom w:val="single" w:sz="8" w:color="32406B"/>
            </w:tcBorders>
          </w:tcPr>
          <w:p>
            <w:pPr>
              <w:spacing w:after="0"/>
              <w:rPr>
                <w:sz w:val="19"/>
                <w:szCs w:val="19"/>
                <w:color w:val="auto"/>
              </w:rPr>
            </w:pPr>
          </w:p>
        </w:tc>
        <w:tc>
          <w:tcPr>
            <w:tcW w:w="9680" w:type="dxa"/>
            <w:vAlign w:val="bottom"/>
            <w:tcBorders>
              <w:bottom w:val="single" w:sz="8" w:color="32406B"/>
              <w:right w:val="single" w:sz="8" w:color="32406B"/>
            </w:tcBorders>
          </w:tcPr>
          <w:p>
            <w:pPr>
              <w:spacing w:after="0"/>
              <w:rPr>
                <w:sz w:val="19"/>
                <w:szCs w:val="19"/>
                <w:color w:val="auto"/>
              </w:rPr>
            </w:pPr>
          </w:p>
        </w:tc>
      </w:tr>
    </w:tbl>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11</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32406B"/>
        </w:rPr>
        <w:t>Our Corporate Information</w:t>
      </w:r>
    </w:p>
    <w:p>
      <w:pPr>
        <w:spacing w:after="0" w:line="229"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color w:val="32406B"/>
        </w:rPr>
        <w:t>Our principal executive offices are located at Huace Center, Building A, 10/F, Xihu District, Hangzhou City, Zhejiang Province, 310012, People’s Republic of China. Our telephone number at this address is +86 0571-86915981. Our registered office in the Cayman Islands is located at Maples Corporate Services Limited, PO Box 309, Ugland House, Grand Cayman, KY1-1104, Cayman Islands. Our agent for service of process in the United States is Cogency Global Inc., located at 122 East 42nd Street, 18th Floor New York, NY 10168.</w:t>
      </w:r>
    </w:p>
    <w:p>
      <w:pPr>
        <w:spacing w:after="0" w:line="171"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32406B"/>
        </w:rPr>
        <w:t>Investors should contact us for any inquiries through the address and telephone number of our principal executive office. Our principal website is www.tuya.com. The information contained on our website is not a part of this prospectus.</w:t>
      </w: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32406B"/>
        </w:rPr>
        <w:t>Implications of Being an Emerging Growth Company</w:t>
      </w:r>
    </w:p>
    <w:p>
      <w:pPr>
        <w:spacing w:after="0" w:line="229"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32406B"/>
        </w:rPr>
        <w:t>As a company with less than US$1.07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 As a result, our consolidated financial statements contained in this prospectus may not be directly comparable to those of other public companies.</w:t>
      </w:r>
    </w:p>
    <w:p>
      <w:pPr>
        <w:spacing w:after="0" w:line="165"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32406B"/>
        </w:rPr>
        <w:t>We will remain an emerging growth company until the earliest of (i) the last day of our fiscal year during which we have total annual gross revenues of at least US$1.07 billion; (ii) the last day of our fiscal year following the fifth anniversary of the completion of this offering;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 See “Risk Factors—Risks Related to the ADSs and This Offering—We are an emerging growth company within the meaning of the Securities Act and may take advantage of certain reduced reporting requirements.”</w:t>
      </w:r>
    </w:p>
    <w:p>
      <w:pPr>
        <w:spacing w:after="0" w:line="39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32406B"/>
        </w:rPr>
        <w:t>Conventions Which Apply to This Prospectus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Unless we indicate otherwise, all information in this prospectus reflects the following:</w:t>
      </w:r>
    </w:p>
    <w:p>
      <w:pPr>
        <w:spacing w:after="0" w:line="131" w:lineRule="exact"/>
        <w:rPr>
          <w:sz w:val="20"/>
          <w:szCs w:val="20"/>
          <w:color w:val="auto"/>
        </w:rPr>
      </w:pPr>
    </w:p>
    <w:p>
      <w:pPr>
        <w:ind w:left="1240" w:right="280" w:hanging="523"/>
        <w:spacing w:after="0" w:line="277" w:lineRule="auto"/>
        <w:tabs>
          <w:tab w:leader="none" w:pos="124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no exercise by the underwriters of their over-allotment option to purchase up to 6,538,500 additional ADSs representing 6,538,500 Class A ordinary shares from us; and</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Except where the context otherwise requires and for purposes of this prospectus only:</w:t>
      </w:r>
    </w:p>
    <w:p>
      <w:pPr>
        <w:spacing w:after="0" w:line="131" w:lineRule="exact"/>
        <w:rPr>
          <w:sz w:val="20"/>
          <w:szCs w:val="20"/>
          <w:color w:val="auto"/>
        </w:rPr>
      </w:pPr>
    </w:p>
    <w:p>
      <w:pPr>
        <w:ind w:left="1240" w:hanging="523"/>
        <w:spacing w:after="0"/>
        <w:tabs>
          <w:tab w:leader="none" w:pos="124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“ADSs” refers to the American depositary shares, each representing one Class A ordinary share;</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“APAC” refers to Asia Pacific;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32406B"/>
        </w:rPr>
        <w:t>12</w:t>
      </w:r>
    </w:p>
    <w:p>
      <w:pPr>
        <w:sectPr>
          <w:pgSz w:w="11900" w:h="16838" w:orient="portrait"/>
          <w:cols w:equalWidth="0" w:num="1">
            <w:col w:w="10920"/>
          </w:cols>
          <w:pgMar w:left="32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24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60" w:hanging="523"/>
        <w:spacing w:after="0" w:line="277" w:lineRule="auto"/>
        <w:tabs>
          <w:tab w:leader="none" w:pos="124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“China” or “PRC” refers to the People’s Republic of China, excluding, for the purpose of this prospectus only, Taiwan, Hong Kong and Macau;</w:t>
      </w:r>
    </w:p>
    <w:p>
      <w:pPr>
        <w:spacing w:after="0" w:line="75" w:lineRule="exact"/>
        <w:rPr>
          <w:rFonts w:ascii="Arial" w:cs="Arial" w:eastAsia="Arial" w:hAnsi="Arial"/>
          <w:sz w:val="18"/>
          <w:szCs w:val="18"/>
          <w:color w:val="32406B"/>
        </w:rPr>
      </w:pPr>
    </w:p>
    <w:p>
      <w:pPr>
        <w:ind w:left="1240" w:right="100" w:hanging="523"/>
        <w:spacing w:after="0" w:line="277" w:lineRule="auto"/>
        <w:tabs>
          <w:tab w:leader="none" w:pos="124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“Class A ordinary share” refers to our Class A ordinary shares, par value US$0.00005 per share, which will be outstanding upon the completion of this offering;</w:t>
      </w:r>
    </w:p>
    <w:p>
      <w:pPr>
        <w:spacing w:after="0" w:line="75" w:lineRule="exact"/>
        <w:rPr>
          <w:rFonts w:ascii="Arial" w:cs="Arial" w:eastAsia="Arial" w:hAnsi="Arial"/>
          <w:sz w:val="18"/>
          <w:szCs w:val="18"/>
          <w:color w:val="32406B"/>
        </w:rPr>
      </w:pPr>
    </w:p>
    <w:p>
      <w:pPr>
        <w:ind w:left="1240" w:right="120" w:hanging="523"/>
        <w:spacing w:after="0" w:line="277" w:lineRule="auto"/>
        <w:tabs>
          <w:tab w:leader="none" w:pos="124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“Class B ordinary share” refers to our Class B ordinary shares, par value US$0.00005 per share, which will be outstanding upon the completion of this offering;</w:t>
      </w:r>
    </w:p>
    <w:p>
      <w:pPr>
        <w:spacing w:after="0" w:line="75" w:lineRule="exact"/>
        <w:rPr>
          <w:rFonts w:ascii="Arial" w:cs="Arial" w:eastAsia="Arial" w:hAnsi="Arial"/>
          <w:sz w:val="18"/>
          <w:szCs w:val="18"/>
          <w:color w:val="32406B"/>
        </w:rPr>
      </w:pPr>
    </w:p>
    <w:p>
      <w:pPr>
        <w:ind w:left="1240" w:hanging="523"/>
        <w:spacing w:after="0"/>
        <w:tabs>
          <w:tab w:leader="none" w:pos="124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“EMEA” refers to Europe, Middle-East and Africa;</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“Hangzhou Tuya Technology” refers to Hangzhou Tuya Technology Co., Ltd.;</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“RMB” or “Renminbi” refers to the legal currency of the People’s Republic of China;</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“US$,” “dollars” or “U.S. dollars” refers to the legal currency of the United States;</w:t>
      </w:r>
    </w:p>
    <w:p>
      <w:pPr>
        <w:spacing w:after="0" w:line="130" w:lineRule="exact"/>
        <w:rPr>
          <w:rFonts w:ascii="Arial" w:cs="Arial" w:eastAsia="Arial" w:hAnsi="Arial"/>
          <w:sz w:val="18"/>
          <w:szCs w:val="18"/>
          <w:color w:val="32406B"/>
        </w:rPr>
      </w:pPr>
    </w:p>
    <w:p>
      <w:pPr>
        <w:ind w:left="1240" w:right="60" w:hanging="523"/>
        <w:spacing w:after="0" w:line="277" w:lineRule="auto"/>
        <w:tabs>
          <w:tab w:leader="none" w:pos="124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“shares” or “ordinary shares” refer to our ordinary shares, par value US$0.00005 per share, and upon the completion of this offering, to our Class A ordinary shares and Class B ordinary shares, par value US$0.00005 per share;</w:t>
      </w:r>
    </w:p>
    <w:p>
      <w:pPr>
        <w:spacing w:after="0" w:line="75" w:lineRule="exact"/>
        <w:rPr>
          <w:rFonts w:ascii="Arial" w:cs="Arial" w:eastAsia="Arial" w:hAnsi="Arial"/>
          <w:sz w:val="18"/>
          <w:szCs w:val="18"/>
          <w:color w:val="32406B"/>
        </w:rPr>
      </w:pPr>
    </w:p>
    <w:p>
      <w:pPr>
        <w:ind w:left="1240" w:right="80" w:hanging="523"/>
        <w:spacing w:after="0" w:line="308" w:lineRule="auto"/>
        <w:tabs>
          <w:tab w:leader="none" w:pos="1240" w:val="left"/>
        </w:tabs>
        <w:numPr>
          <w:ilvl w:val="0"/>
          <w:numId w:val="20"/>
        </w:numPr>
        <w:rPr>
          <w:rFonts w:ascii="Arial" w:cs="Arial" w:eastAsia="Arial" w:hAnsi="Arial"/>
          <w:sz w:val="17"/>
          <w:szCs w:val="17"/>
          <w:color w:val="32406B"/>
        </w:rPr>
      </w:pPr>
      <w:r>
        <w:rPr>
          <w:rFonts w:ascii="Arial" w:cs="Arial" w:eastAsia="Arial" w:hAnsi="Arial"/>
          <w:sz w:val="17"/>
          <w:szCs w:val="17"/>
          <w:color w:val="32406B"/>
        </w:rPr>
        <w:t>“Tuya,” “we,” “us,” “our company,” and “our” refer to Tuya Inc., a Cayman Islands company and its subsidiaries and, in the context of describing our operations and consolidated financial information, its consolidated variable interest entity, or VIE;</w:t>
      </w:r>
    </w:p>
    <w:p>
      <w:pPr>
        <w:spacing w:after="0" w:line="51" w:lineRule="exact"/>
        <w:rPr>
          <w:rFonts w:ascii="Arial" w:cs="Arial" w:eastAsia="Arial" w:hAnsi="Arial"/>
          <w:sz w:val="17"/>
          <w:szCs w:val="17"/>
          <w:color w:val="32406B"/>
        </w:rPr>
      </w:pPr>
    </w:p>
    <w:p>
      <w:pPr>
        <w:ind w:left="1240" w:hanging="523"/>
        <w:spacing w:after="0"/>
        <w:tabs>
          <w:tab w:leader="none" w:pos="124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“Tuya Information” refers to Hangzhou Tuya Information Technology Co., Ltd.; and</w:t>
      </w:r>
    </w:p>
    <w:p>
      <w:pPr>
        <w:spacing w:after="0" w:line="130" w:lineRule="exact"/>
        <w:rPr>
          <w:rFonts w:ascii="Arial" w:cs="Arial" w:eastAsia="Arial" w:hAnsi="Arial"/>
          <w:sz w:val="18"/>
          <w:szCs w:val="18"/>
          <w:color w:val="32406B"/>
        </w:rPr>
      </w:pPr>
    </w:p>
    <w:p>
      <w:pPr>
        <w:ind w:left="1240" w:right="280" w:hanging="523"/>
        <w:spacing w:after="0" w:line="311" w:lineRule="auto"/>
        <w:tabs>
          <w:tab w:leader="none" w:pos="1240" w:val="left"/>
        </w:tabs>
        <w:numPr>
          <w:ilvl w:val="0"/>
          <w:numId w:val="20"/>
        </w:numPr>
        <w:rPr>
          <w:rFonts w:ascii="Arial" w:cs="Arial" w:eastAsia="Arial" w:hAnsi="Arial"/>
          <w:sz w:val="16"/>
          <w:szCs w:val="16"/>
          <w:color w:val="32406B"/>
        </w:rPr>
      </w:pPr>
      <w:r>
        <w:rPr>
          <w:rFonts w:ascii="Arial" w:cs="Arial" w:eastAsia="Arial" w:hAnsi="Arial"/>
          <w:sz w:val="16"/>
          <w:szCs w:val="16"/>
          <w:color w:val="32406B"/>
        </w:rPr>
        <w:t>“variable interest entity” or “VIE” refers to the PRC entity of which we have power to control the management, and financial and operating policies and have the right to recognize and receive substantially all the economic benefits and in which we have an exclusive option to purchase all or part of the equity interests at the minimum price possible to the extent permitted by PRC law.</w:t>
      </w:r>
    </w:p>
    <w:p>
      <w:pPr>
        <w:spacing w:after="0" w:line="149"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32406B"/>
        </w:rPr>
        <w:t>This prospectus contains information derived from various public sources, including International Data Corporation, or IDC, and certain information from an industry report commissioned by us and prepared by CIC, a third-party industry research firm, to provide information regarding our industry and market position. Such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variety of factors, including those described in the “Risk Factors” section.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13</w:t>
      </w:r>
    </w:p>
    <w:p>
      <w:pPr>
        <w:sectPr>
          <w:pgSz w:w="11900" w:h="16838" w:orient="portrait"/>
          <w:cols w:equalWidth="0" w:num="1">
            <w:col w:w="10840"/>
          </w:cols>
          <w:pgMar w:left="320" w:top="459" w:right="7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020" w:type="dxa"/>
            <w:vAlign w:val="bottom"/>
            <w:tcBorders>
              <w:top w:val="single" w:sz="8" w:color="32406B"/>
              <w:left w:val="single" w:sz="8" w:color="32406B"/>
            </w:tcBorders>
          </w:tcPr>
          <w:p>
            <w:pPr>
              <w:spacing w:after="0"/>
              <w:rPr>
                <w:sz w:val="24"/>
                <w:szCs w:val="24"/>
                <w:color w:val="auto"/>
              </w:rPr>
            </w:pPr>
          </w:p>
        </w:tc>
        <w:tc>
          <w:tcPr>
            <w:tcW w:w="8000" w:type="dxa"/>
            <w:vAlign w:val="bottom"/>
            <w:tcBorders>
              <w:top w:val="single" w:sz="8" w:color="32406B"/>
              <w:right w:val="single" w:sz="8" w:color="32406B"/>
            </w:tcBorders>
          </w:tcPr>
          <w:p>
            <w:pPr>
              <w:ind w:left="1980"/>
              <w:spacing w:after="0"/>
              <w:rPr>
                <w:sz w:val="20"/>
                <w:szCs w:val="20"/>
                <w:color w:val="auto"/>
              </w:rPr>
            </w:pPr>
            <w:r>
              <w:rPr>
                <w:rFonts w:ascii="Arial" w:cs="Arial" w:eastAsia="Arial" w:hAnsi="Arial"/>
                <w:sz w:val="18"/>
                <w:szCs w:val="18"/>
                <w:b w:val="1"/>
                <w:bCs w:val="1"/>
                <w:color w:val="32406B"/>
              </w:rPr>
              <w:t>The Offering</w:t>
            </w:r>
          </w:p>
        </w:tc>
      </w:tr>
      <w:tr>
        <w:trPr>
          <w:trHeight w:val="459"/>
        </w:trPr>
        <w:tc>
          <w:tcPr>
            <w:tcW w:w="302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Offering price</w:t>
            </w: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The initial public offering price is US$21.00 per ADS.</w:t>
            </w:r>
          </w:p>
        </w:tc>
      </w:tr>
      <w:tr>
        <w:trPr>
          <w:trHeight w:val="418"/>
        </w:trPr>
        <w:tc>
          <w:tcPr>
            <w:tcW w:w="302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ADSs offered by us</w:t>
            </w: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4"/>
              </w:rPr>
              <w:t>43,590,000 ADSs (or 50,128,500 ADSs if the underwriters exercise their over-allotment</w:t>
            </w:r>
          </w:p>
        </w:tc>
      </w:tr>
      <w:tr>
        <w:trPr>
          <w:trHeight w:val="230"/>
        </w:trPr>
        <w:tc>
          <w:tcPr>
            <w:tcW w:w="3020" w:type="dxa"/>
            <w:vAlign w:val="bottom"/>
            <w:tcBorders>
              <w:left w:val="single" w:sz="8" w:color="32406B"/>
            </w:tcBorders>
          </w:tcPr>
          <w:p>
            <w:pPr>
              <w:spacing w:after="0"/>
              <w:rPr>
                <w:sz w:val="20"/>
                <w:szCs w:val="20"/>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option in full).</w:t>
            </w:r>
          </w:p>
        </w:tc>
      </w:tr>
      <w:tr>
        <w:trPr>
          <w:trHeight w:val="418"/>
        </w:trPr>
        <w:tc>
          <w:tcPr>
            <w:tcW w:w="302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The ADSs</w:t>
            </w: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2"/>
              </w:rPr>
              <w:t>Each ADS represents one Class A ordinary share, par value US$0.00005 per share. The</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8"/>
              </w:rPr>
              <w:t>depositary will hold the Class A ordinary shares underlying the ADSs. You will have</w:t>
            </w:r>
          </w:p>
        </w:tc>
      </w:tr>
      <w:tr>
        <w:trPr>
          <w:trHeight w:val="230"/>
        </w:trPr>
        <w:tc>
          <w:tcPr>
            <w:tcW w:w="3020" w:type="dxa"/>
            <w:vAlign w:val="bottom"/>
            <w:tcBorders>
              <w:left w:val="single" w:sz="8" w:color="32406B"/>
            </w:tcBorders>
          </w:tcPr>
          <w:p>
            <w:pPr>
              <w:spacing w:after="0"/>
              <w:rPr>
                <w:sz w:val="20"/>
                <w:szCs w:val="20"/>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rights as provided in the deposit agreement.</w:t>
            </w:r>
          </w:p>
        </w:tc>
      </w:tr>
      <w:tr>
        <w:trPr>
          <w:trHeight w:val="418"/>
        </w:trPr>
        <w:tc>
          <w:tcPr>
            <w:tcW w:w="3020" w:type="dxa"/>
            <w:vAlign w:val="bottom"/>
            <w:tcBorders>
              <w:left w:val="single" w:sz="8" w:color="32406B"/>
            </w:tcBorders>
          </w:tcPr>
          <w:p>
            <w:pPr>
              <w:spacing w:after="0"/>
              <w:rPr>
                <w:sz w:val="24"/>
                <w:szCs w:val="24"/>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7"/>
              </w:rPr>
              <w:t>We do not expect to pay dividends in the foreseeable future. If, however, we declare</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dividends on our Class A ordinary shares, the depositary will pay you the cash</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dividends and other distributions it receives on our Class A ordinary shares, after</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6"/>
              </w:rPr>
              <w:t>deducting its fees and expenses in accordance with the terms set forth in the deposit</w:t>
            </w:r>
          </w:p>
        </w:tc>
      </w:tr>
      <w:tr>
        <w:trPr>
          <w:trHeight w:val="230"/>
        </w:trPr>
        <w:tc>
          <w:tcPr>
            <w:tcW w:w="3020" w:type="dxa"/>
            <w:vAlign w:val="bottom"/>
            <w:tcBorders>
              <w:left w:val="single" w:sz="8" w:color="32406B"/>
            </w:tcBorders>
          </w:tcPr>
          <w:p>
            <w:pPr>
              <w:spacing w:after="0"/>
              <w:rPr>
                <w:sz w:val="20"/>
                <w:szCs w:val="20"/>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agreement.</w:t>
            </w:r>
          </w:p>
        </w:tc>
      </w:tr>
      <w:tr>
        <w:trPr>
          <w:trHeight w:val="418"/>
        </w:trPr>
        <w:tc>
          <w:tcPr>
            <w:tcW w:w="3020" w:type="dxa"/>
            <w:vAlign w:val="bottom"/>
            <w:tcBorders>
              <w:left w:val="single" w:sz="8" w:color="32406B"/>
            </w:tcBorders>
          </w:tcPr>
          <w:p>
            <w:pPr>
              <w:spacing w:after="0"/>
              <w:rPr>
                <w:sz w:val="24"/>
                <w:szCs w:val="24"/>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You may turn in the ADSs to the depositary in exchange for our Class A ordinary</w:t>
            </w:r>
          </w:p>
        </w:tc>
      </w:tr>
      <w:tr>
        <w:trPr>
          <w:trHeight w:val="230"/>
        </w:trPr>
        <w:tc>
          <w:tcPr>
            <w:tcW w:w="3020" w:type="dxa"/>
            <w:vAlign w:val="bottom"/>
            <w:tcBorders>
              <w:left w:val="single" w:sz="8" w:color="32406B"/>
            </w:tcBorders>
          </w:tcPr>
          <w:p>
            <w:pPr>
              <w:spacing w:after="0"/>
              <w:rPr>
                <w:sz w:val="20"/>
                <w:szCs w:val="20"/>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shares. The depositary will charge you fees for any exchange.</w:t>
            </w:r>
          </w:p>
        </w:tc>
      </w:tr>
      <w:tr>
        <w:trPr>
          <w:trHeight w:val="418"/>
        </w:trPr>
        <w:tc>
          <w:tcPr>
            <w:tcW w:w="3020" w:type="dxa"/>
            <w:vAlign w:val="bottom"/>
            <w:tcBorders>
              <w:left w:val="single" w:sz="8" w:color="32406B"/>
            </w:tcBorders>
          </w:tcPr>
          <w:p>
            <w:pPr>
              <w:spacing w:after="0"/>
              <w:rPr>
                <w:sz w:val="24"/>
                <w:szCs w:val="24"/>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We may amend or terminate the deposit agreement without your consent. If you</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4"/>
              </w:rPr>
              <w:t>continue to hold the ADSs after an amendment to the deposit agreement, you agree to</w:t>
            </w:r>
          </w:p>
        </w:tc>
      </w:tr>
      <w:tr>
        <w:trPr>
          <w:trHeight w:val="230"/>
        </w:trPr>
        <w:tc>
          <w:tcPr>
            <w:tcW w:w="3020" w:type="dxa"/>
            <w:vAlign w:val="bottom"/>
            <w:tcBorders>
              <w:left w:val="single" w:sz="8" w:color="32406B"/>
            </w:tcBorders>
          </w:tcPr>
          <w:p>
            <w:pPr>
              <w:spacing w:after="0"/>
              <w:rPr>
                <w:sz w:val="20"/>
                <w:szCs w:val="20"/>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be bound by the deposit agreement as amended.</w:t>
            </w:r>
          </w:p>
        </w:tc>
      </w:tr>
      <w:tr>
        <w:trPr>
          <w:trHeight w:val="418"/>
        </w:trPr>
        <w:tc>
          <w:tcPr>
            <w:tcW w:w="3020" w:type="dxa"/>
            <w:vAlign w:val="bottom"/>
            <w:tcBorders>
              <w:left w:val="single" w:sz="8" w:color="32406B"/>
            </w:tcBorders>
          </w:tcPr>
          <w:p>
            <w:pPr>
              <w:spacing w:after="0"/>
              <w:rPr>
                <w:sz w:val="24"/>
                <w:szCs w:val="24"/>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4"/>
              </w:rPr>
              <w:t>To better understand the terms of the ADSs, you should carefully read the “Description</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6"/>
              </w:rPr>
              <w:t>of American Depositary Shares” section of this prospectus. You should also read the</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2"/>
              </w:rPr>
              <w:t>deposit agreement, which is filed as an exhibit to the registration statement that includes</w:t>
            </w:r>
          </w:p>
        </w:tc>
      </w:tr>
      <w:tr>
        <w:trPr>
          <w:trHeight w:val="230"/>
        </w:trPr>
        <w:tc>
          <w:tcPr>
            <w:tcW w:w="3020" w:type="dxa"/>
            <w:vAlign w:val="bottom"/>
            <w:tcBorders>
              <w:left w:val="single" w:sz="8" w:color="32406B"/>
            </w:tcBorders>
          </w:tcPr>
          <w:p>
            <w:pPr>
              <w:spacing w:after="0"/>
              <w:rPr>
                <w:sz w:val="20"/>
                <w:szCs w:val="20"/>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this prospectus.</w:t>
            </w:r>
          </w:p>
        </w:tc>
      </w:tr>
      <w:tr>
        <w:trPr>
          <w:trHeight w:val="418"/>
        </w:trPr>
        <w:tc>
          <w:tcPr>
            <w:tcW w:w="302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Ordinary shares</w:t>
            </w: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9"/>
              </w:rPr>
              <w:t>We will issue 43,590,000 Class A ordinary shares represented by the ADSs in this</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4"/>
              </w:rPr>
              <w:t>offering (or 50,128,500 Class A ordinary shares if the underwriters exercise their option</w:t>
            </w:r>
          </w:p>
        </w:tc>
      </w:tr>
      <w:tr>
        <w:trPr>
          <w:trHeight w:val="230"/>
        </w:trPr>
        <w:tc>
          <w:tcPr>
            <w:tcW w:w="3020" w:type="dxa"/>
            <w:vAlign w:val="bottom"/>
            <w:tcBorders>
              <w:left w:val="single" w:sz="8" w:color="32406B"/>
            </w:tcBorders>
          </w:tcPr>
          <w:p>
            <w:pPr>
              <w:spacing w:after="0"/>
              <w:rPr>
                <w:sz w:val="20"/>
                <w:szCs w:val="20"/>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to purchase additional ADSs in full).</w:t>
            </w:r>
          </w:p>
        </w:tc>
      </w:tr>
      <w:tr>
        <w:trPr>
          <w:trHeight w:val="418"/>
        </w:trPr>
        <w:tc>
          <w:tcPr>
            <w:tcW w:w="3020" w:type="dxa"/>
            <w:vAlign w:val="bottom"/>
            <w:tcBorders>
              <w:left w:val="single" w:sz="8" w:color="32406B"/>
            </w:tcBorders>
          </w:tcPr>
          <w:p>
            <w:pPr>
              <w:spacing w:after="0"/>
              <w:rPr>
                <w:sz w:val="24"/>
                <w:szCs w:val="24"/>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6"/>
              </w:rPr>
              <w:t>Our ordinary shares will be divided into Class A ordinary shares and Class B ordinary</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5"/>
              </w:rPr>
              <w:t>shares immediately prior to the completion of this offering. Holders of Class A ordinary</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shares and Class B ordinary shares have the same rights except for voting and</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3"/>
              </w:rPr>
              <w:t>conversion rights. Each Class A ordinary share is entitled to one vote and each Class B</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7"/>
              </w:rPr>
              <w:t>ordinary share is entitled to 15 votes. Each Class B ordinary share is convertible into</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7"/>
              </w:rPr>
              <w:t>one Class A ordinary share at any time by the holder thereof, while Class A ordinary</w:t>
            </w:r>
          </w:p>
        </w:tc>
      </w:tr>
      <w:tr>
        <w:trPr>
          <w:trHeight w:val="216"/>
        </w:trPr>
        <w:tc>
          <w:tcPr>
            <w:tcW w:w="3020" w:type="dxa"/>
            <w:vAlign w:val="bottom"/>
            <w:tcBorders>
              <w:left w:val="single" w:sz="8" w:color="32406B"/>
            </w:tcBorders>
          </w:tcPr>
          <w:p>
            <w:pPr>
              <w:spacing w:after="0"/>
              <w:rPr>
                <w:sz w:val="18"/>
                <w:szCs w:val="18"/>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w w:val="93"/>
              </w:rPr>
              <w:t>shares are not convertible into Class B ordinary shares under any circumstances. Upon</w:t>
            </w:r>
          </w:p>
        </w:tc>
      </w:tr>
      <w:tr>
        <w:trPr>
          <w:trHeight w:val="230"/>
        </w:trPr>
        <w:tc>
          <w:tcPr>
            <w:tcW w:w="3020" w:type="dxa"/>
            <w:vAlign w:val="bottom"/>
            <w:tcBorders>
              <w:left w:val="single" w:sz="8" w:color="32406B"/>
            </w:tcBorders>
          </w:tcPr>
          <w:p>
            <w:pPr>
              <w:spacing w:after="0"/>
              <w:rPr>
                <w:sz w:val="20"/>
                <w:szCs w:val="20"/>
                <w:color w:val="auto"/>
              </w:rPr>
            </w:pPr>
          </w:p>
        </w:tc>
        <w:tc>
          <w:tcPr>
            <w:tcW w:w="8000" w:type="dxa"/>
            <w:vAlign w:val="bottom"/>
            <w:tcBorders>
              <w:right w:val="single" w:sz="8" w:color="32406B"/>
            </w:tcBorders>
          </w:tcPr>
          <w:p>
            <w:pPr>
              <w:ind w:left="1440"/>
              <w:spacing w:after="0"/>
              <w:rPr>
                <w:sz w:val="20"/>
                <w:szCs w:val="20"/>
                <w:color w:val="auto"/>
              </w:rPr>
            </w:pPr>
            <w:r>
              <w:rPr>
                <w:rFonts w:ascii="Arial" w:cs="Arial" w:eastAsia="Arial" w:hAnsi="Arial"/>
                <w:sz w:val="18"/>
                <w:szCs w:val="18"/>
                <w:color w:val="32406B"/>
              </w:rPr>
              <w:t>any sale, transfer, assignment or disposition</w:t>
            </w:r>
          </w:p>
        </w:tc>
      </w:tr>
      <w:tr>
        <w:trPr>
          <w:trHeight w:val="240"/>
        </w:trPr>
        <w:tc>
          <w:tcPr>
            <w:tcW w:w="3020" w:type="dxa"/>
            <w:vAlign w:val="bottom"/>
            <w:tcBorders>
              <w:left w:val="single" w:sz="8" w:color="32406B"/>
              <w:bottom w:val="single" w:sz="8" w:color="32406B"/>
            </w:tcBorders>
          </w:tcPr>
          <w:p>
            <w:pPr>
              <w:spacing w:after="0"/>
              <w:rPr>
                <w:sz w:val="20"/>
                <w:szCs w:val="20"/>
                <w:color w:val="auto"/>
              </w:rPr>
            </w:pPr>
          </w:p>
        </w:tc>
        <w:tc>
          <w:tcPr>
            <w:tcW w:w="8000" w:type="dxa"/>
            <w:vAlign w:val="bottom"/>
            <w:tcBorders>
              <w:bottom w:val="single" w:sz="8" w:color="32406B"/>
              <w:right w:val="single" w:sz="8" w:color="32406B"/>
            </w:tcBorders>
          </w:tcPr>
          <w:p>
            <w:pPr>
              <w:spacing w:after="0"/>
              <w:rPr>
                <w:sz w:val="20"/>
                <w:szCs w:val="20"/>
                <w:color w:val="auto"/>
              </w:rPr>
            </w:pPr>
          </w:p>
        </w:tc>
      </w:tr>
      <w:tr>
        <w:trPr>
          <w:trHeight w:val="604"/>
        </w:trPr>
        <w:tc>
          <w:tcPr>
            <w:tcW w:w="3020" w:type="dxa"/>
            <w:vAlign w:val="bottom"/>
          </w:tcPr>
          <w:p>
            <w:pPr>
              <w:spacing w:after="0"/>
              <w:rPr>
                <w:sz w:val="24"/>
                <w:szCs w:val="24"/>
                <w:color w:val="auto"/>
              </w:rPr>
            </w:pPr>
          </w:p>
        </w:tc>
        <w:tc>
          <w:tcPr>
            <w:tcW w:w="8000" w:type="dxa"/>
            <w:vAlign w:val="bottom"/>
          </w:tcPr>
          <w:p>
            <w:pPr>
              <w:ind w:left="2400"/>
              <w:spacing w:after="0"/>
              <w:rPr>
                <w:sz w:val="20"/>
                <w:szCs w:val="20"/>
                <w:color w:val="auto"/>
              </w:rPr>
            </w:pPr>
            <w:r>
              <w:rPr>
                <w:rFonts w:ascii="Arial" w:cs="Arial" w:eastAsia="Arial" w:hAnsi="Arial"/>
                <w:sz w:val="18"/>
                <w:szCs w:val="18"/>
                <w:color w:val="32406B"/>
              </w:rPr>
              <w:t>14</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773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32406B"/>
        </w:rPr>
        <w:t>Ordinary shares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Listing</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Payment and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32406B"/>
        </w:rPr>
        <w:t>of any Class B ordinary share by a holder thereof to any non-affiliate of such holder, each of such Class B ordinary share will be automatically and immediately converted into one Class A ordinary share.</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32406B"/>
        </w:rPr>
        <w:t>All options and restricted shares, regardless of grant dates, will entitle holders to the equivalent number of Class A ordinary shares once the vesting and exercising conditions on such share-based compensation awards are met.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32406B"/>
        </w:rPr>
        <w:t>See “Description of Share Capital.”</w:t>
      </w:r>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32406B"/>
        </w:rPr>
        <w:t>417,360,081 Class A ordinary shares, par value US$0.00005 per share (or 423,898,581 Class A ordinary shares if the underwriters exercise their option to purchase additional ADSs in full) and 142,400,000 Class B ordinary shares, par value US$0.00005 per share.</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32406B"/>
        </w:rPr>
        <w:t>We have granted the underwriters the right to purchase up to an additional 6,538,500 Class A ordinary shares from us within 30 days of the date of this prospectus, to cover over-allotments, if any, in connection with the offering.</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32406B"/>
        </w:rPr>
        <w:t>The ADSs representing our Class A ordinary shares have been approved for listing on the New York Stock Exchange, or NYSE, under the symbol “TUYA”.</w:t>
      </w:r>
    </w:p>
    <w:p>
      <w:pPr>
        <w:spacing w:after="0" w:line="17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32406B"/>
        </w:rPr>
        <w:t>We estimate that the net proceeds to us from the offering will be approximately US$874.75 million. The principal purposes of this offering are to increase our capitalization and financial flexibility and create a public market for the ADSs. We intend to use the net proceeds from this offering for research and development, investment in technology infrastructure, marketing and branding, and other capital expenditure, as well as other general corporate purposes. See “Use of Proceeds.”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32406B"/>
        </w:rPr>
        <w:t>We, our directors, executive officers and existing shareholders have agreed with the underwriters, subject to certain exceptions, not to offer, sell, or dispose of any shares of our share capital or securities convertible into or exchangeable or exercisable for any shares of our share capital during the 180-day period following the date of this prospectus (other than Tencent Mobility Limited, one of our shareholders, whose lock-up period is one year following the date of this prospectus). See “Shares Eligible for Future Sale” and “Underwriting” for more information.</w:t>
      </w:r>
    </w:p>
    <w:p>
      <w:pPr>
        <w:spacing w:after="0" w:line="16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32406B"/>
        </w:rPr>
        <w:t>The underwriters expect to deliver the ADSs against payment therefor through the facilities of The Depository Trust Company on March 22, 2021.</w:t>
      </w:r>
    </w:p>
    <w:p>
      <w:pPr>
        <w:spacing w:after="0" w:line="200" w:lineRule="exact"/>
        <w:rPr>
          <w:sz w:val="20"/>
          <w:szCs w:val="20"/>
          <w:color w:val="auto"/>
        </w:rPr>
      </w:pPr>
    </w:p>
    <w:p>
      <w:pPr>
        <w:sectPr>
          <w:pgSz w:w="11900" w:h="16838" w:orient="portrait"/>
          <w:cols w:equalWidth="0" w:num="2">
            <w:col w:w="3960" w:space="620"/>
            <w:col w:w="6280"/>
          </w:cols>
          <w:pgMar w:left="320" w:top="459" w:right="719" w:bottom="1440" w:gutter="0" w:footer="0" w:header="0"/>
          <w:type w:val="continuous"/>
        </w:sectPr>
      </w:pPr>
    </w:p>
    <w:p>
      <w:pPr>
        <w:spacing w:after="0" w:line="37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32406B"/>
        </w:rPr>
        <w:t>15</w:t>
      </w:r>
    </w:p>
    <w:p>
      <w:pPr>
        <w:sectPr>
          <w:pgSz w:w="11900" w:h="16838" w:orient="portrait"/>
          <w:cols w:equalWidth="0" w:num="1">
            <w:col w:w="10860"/>
          </w:cols>
          <w:pgMar w:left="320" w:top="459" w:right="71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1795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1795780"/>
                    </a:xfrm>
                    <a:prstGeom prst="rect">
                      <a:avLst/>
                    </a:prstGeom>
                    <a:noFill/>
                  </pic:spPr>
                </pic:pic>
              </a:graphicData>
            </a:graphic>
          </wp:anchor>
        </w:drawing>
      </w:r>
    </w:p>
    <w:p>
      <w:pPr>
        <w:sectPr>
          <w:pgSz w:w="11900" w:h="16838" w:orient="portrait"/>
          <w:cols w:equalWidth="0" w:num="1">
            <w:col w:w="10840"/>
          </w:cols>
          <w:pgMar w:left="320" w:top="459" w:right="7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32406B"/>
        </w:rPr>
        <w:t>Depositary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32406B"/>
        </w:rPr>
        <w:t>The Bank of New York Mellon</w:t>
      </w:r>
    </w:p>
    <w:p>
      <w:pPr>
        <w:spacing w:after="0" w:line="200" w:lineRule="exact"/>
        <w:rPr>
          <w:sz w:val="20"/>
          <w:szCs w:val="20"/>
          <w:color w:val="auto"/>
        </w:rPr>
      </w:pPr>
    </w:p>
    <w:p>
      <w:pPr>
        <w:sectPr>
          <w:pgSz w:w="11900" w:h="16838" w:orient="portrait"/>
          <w:cols w:equalWidth="0" w:num="2">
            <w:col w:w="3860" w:space="720"/>
            <w:col w:w="6260"/>
          </w:cols>
          <w:pgMar w:left="320" w:top="459" w:right="73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32406B"/>
        </w:rPr>
        <w:t>Taxation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32406B"/>
        </w:rPr>
        <w:t>For Cayman, PRC and U.S. federal income tax considerations with respect to the ownership and disposition of the ADSs, see “Taxation.”</w:t>
      </w:r>
    </w:p>
    <w:p>
      <w:pPr>
        <w:spacing w:after="0" w:line="170" w:lineRule="exact"/>
        <w:rPr>
          <w:sz w:val="20"/>
          <w:szCs w:val="20"/>
          <w:color w:val="auto"/>
        </w:rPr>
      </w:pPr>
    </w:p>
    <w:p>
      <w:pPr>
        <w:sectPr>
          <w:pgSz w:w="11900" w:h="16838" w:orient="portrait"/>
          <w:cols w:equalWidth="0" w:num="2">
            <w:col w:w="3860" w:space="720"/>
            <w:col w:w="6260"/>
          </w:cols>
          <w:pgMar w:left="320" w:top="459" w:right="739" w:bottom="1440" w:gutter="0" w:footer="0" w:header="0"/>
          <w:type w:val="continuous"/>
        </w:sectPr>
      </w:pPr>
    </w:p>
    <w:p>
      <w:pPr>
        <w:ind w:left="300"/>
        <w:spacing w:after="0"/>
        <w:rPr>
          <w:sz w:val="20"/>
          <w:szCs w:val="20"/>
          <w:color w:val="auto"/>
        </w:rPr>
      </w:pPr>
      <w:r>
        <w:rPr>
          <w:rFonts w:ascii="Arial" w:cs="Arial" w:eastAsia="Arial" w:hAnsi="Arial"/>
          <w:sz w:val="16"/>
          <w:szCs w:val="16"/>
          <w:color w:val="32406B"/>
        </w:rPr>
        <w:t>Risk Factors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32406B"/>
        </w:rPr>
        <w:t>See “Risk Factors” and other information included in this prospectus for discussions of the risks relating to investing in the ADSs. You should carefully consider these risks before deciding to invest in the ADSs.</w:t>
      </w:r>
    </w:p>
    <w:p>
      <w:pPr>
        <w:spacing w:after="0" w:line="184" w:lineRule="exact"/>
        <w:rPr>
          <w:sz w:val="20"/>
          <w:szCs w:val="20"/>
          <w:color w:val="auto"/>
        </w:rPr>
      </w:pPr>
    </w:p>
    <w:p>
      <w:pPr>
        <w:sectPr>
          <w:pgSz w:w="11900" w:h="16838" w:orient="portrait"/>
          <w:cols w:equalWidth="0" w:num="2">
            <w:col w:w="3860" w:space="720"/>
            <w:col w:w="6260"/>
          </w:cols>
          <w:pgMar w:left="320" w:top="459" w:right="739" w:bottom="1440" w:gutter="0" w:footer="0" w:header="0"/>
          <w:type w:val="continuous"/>
        </w:sectPr>
      </w:pPr>
    </w:p>
    <w:p>
      <w:pPr>
        <w:ind w:left="300" w:right="320" w:firstLine="426"/>
        <w:spacing w:after="0" w:line="277" w:lineRule="auto"/>
        <w:rPr>
          <w:sz w:val="20"/>
          <w:szCs w:val="20"/>
          <w:color w:val="auto"/>
        </w:rPr>
      </w:pPr>
      <w:r>
        <w:rPr>
          <w:rFonts w:ascii="Arial" w:cs="Arial" w:eastAsia="Arial" w:hAnsi="Arial"/>
          <w:sz w:val="18"/>
          <w:szCs w:val="18"/>
          <w:color w:val="32406B"/>
        </w:rPr>
        <w:t>Unless otherwise indicated, all information contained in this prospectus assumes no exercise of the option granted to the underwriters to purchase up to 6,538,500 additional ADSs to cover over-allotments, if any, in connection with the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16</w:t>
      </w:r>
    </w:p>
    <w:p>
      <w:pPr>
        <w:sectPr>
          <w:pgSz w:w="11900" w:h="16838" w:orient="portrait"/>
          <w:cols w:equalWidth="0" w:num="1">
            <w:col w:w="10840"/>
          </w:cols>
          <w:pgMar w:left="320" w:top="459" w:right="7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SUMMARY CONSOLIDATED FINANCIAL AND OTHER DATA</w:t>
      </w:r>
    </w:p>
    <w:p>
      <w:pPr>
        <w:spacing w:after="0" w:line="229"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32406B"/>
        </w:rPr>
        <w:t>The following tables present the summary consolidated financial and other data for Tuya Inc. and its subsidiaries. We have derived the summary consolidated statements of operations data for the years ended December 31, 2019 and 2020 and the summary consolidated balance sheets data as of December 31, 2019 and 2020 from our audited consolidated financial statements included elsewhere in this prospectus. You should read this data together with our consolidated financial statements and related notes included elsewhere in this prospectus and the sections titled “Selected Consolidated Financial Data” and “Management’s Discussion and Analysis of Financial Condition and Results of Operations.” Our historical results for any prior period are not necessarily indicative of the results that may be expected in the future.</w:t>
      </w:r>
    </w:p>
    <w:p>
      <w:pPr>
        <w:spacing w:after="0" w:line="183"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32406B"/>
        </w:rPr>
        <w:t>For the Year Ended</w:t>
      </w:r>
    </w:p>
    <w:p>
      <w:pPr>
        <w:jc w:val="center"/>
        <w:ind w:left="698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30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32406B"/>
              </w:rPr>
              <w:t>2019</w:t>
            </w:r>
          </w:p>
        </w:tc>
        <w:tc>
          <w:tcPr>
            <w:tcW w:w="5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32406B"/>
              </w:rPr>
              <w:t>2020</w:t>
            </w: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104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b w:val="1"/>
                <w:bCs w:val="1"/>
                <w:color w:val="32406B"/>
              </w:rPr>
              <w:t>US$</w:t>
            </w:r>
          </w:p>
        </w:tc>
        <w:tc>
          <w:tcPr>
            <w:tcW w:w="54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32406B"/>
              </w:rPr>
              <w:t>%</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32406B"/>
              </w:rPr>
              <w:t>US$</w:t>
            </w: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32406B"/>
              </w:rPr>
              <w:t>%</w:t>
            </w:r>
          </w:p>
        </w:tc>
        <w:tc>
          <w:tcPr>
            <w:tcW w:w="120" w:type="dxa"/>
            <w:vAlign w:val="bottom"/>
          </w:tcPr>
          <w:p>
            <w:pPr>
              <w:spacing w:after="0"/>
              <w:rPr>
                <w:sz w:val="12"/>
                <w:szCs w:val="12"/>
                <w:color w:val="auto"/>
              </w:rPr>
            </w:pPr>
          </w:p>
        </w:tc>
      </w:tr>
      <w:tr>
        <w:trPr>
          <w:trHeight w:val="119"/>
        </w:trPr>
        <w:tc>
          <w:tcPr>
            <w:tcW w:w="7120" w:type="dxa"/>
            <w:vAlign w:val="bottom"/>
          </w:tcPr>
          <w:p>
            <w:pPr>
              <w:spacing w:after="0"/>
              <w:rPr>
                <w:sz w:val="10"/>
                <w:szCs w:val="10"/>
                <w:color w:val="auto"/>
              </w:rPr>
            </w:pPr>
          </w:p>
        </w:tc>
        <w:tc>
          <w:tcPr>
            <w:tcW w:w="3400" w:type="dxa"/>
            <w:vAlign w:val="bottom"/>
            <w:gridSpan w:val="5"/>
          </w:tcPr>
          <w:p>
            <w:pPr>
              <w:jc w:val="right"/>
              <w:ind w:right="259"/>
              <w:spacing w:after="0" w:line="119" w:lineRule="exact"/>
              <w:rPr>
                <w:sz w:val="20"/>
                <w:szCs w:val="20"/>
                <w:color w:val="auto"/>
              </w:rPr>
            </w:pPr>
            <w:r>
              <w:rPr>
                <w:rFonts w:ascii="Arial" w:cs="Arial" w:eastAsia="Arial" w:hAnsi="Arial"/>
                <w:sz w:val="13"/>
                <w:szCs w:val="13"/>
                <w:b w:val="1"/>
                <w:bCs w:val="1"/>
                <w:color w:val="32406B"/>
              </w:rPr>
              <w:t>(in thousands, except for percentages, shares</w:t>
            </w:r>
          </w:p>
        </w:tc>
        <w:tc>
          <w:tcPr>
            <w:tcW w:w="120" w:type="dxa"/>
            <w:vAlign w:val="bottom"/>
          </w:tcPr>
          <w:p>
            <w:pPr>
              <w:spacing w:after="0"/>
              <w:rPr>
                <w:sz w:val="10"/>
                <w:szCs w:val="10"/>
                <w:color w:val="auto"/>
              </w:rPr>
            </w:pPr>
          </w:p>
        </w:tc>
      </w:tr>
      <w:tr>
        <w:trPr>
          <w:trHeight w:val="171"/>
        </w:trPr>
        <w:tc>
          <w:tcPr>
            <w:tcW w:w="7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32406B"/>
                <w:w w:val="95"/>
              </w:rPr>
              <w:t>and per share data)</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Summary Consolidated Statements of Comprehensive Loss Data:</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32406B"/>
              </w:rPr>
              <w:t>Revenue</w:t>
            </w: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32406B"/>
              </w:rPr>
              <w:t>105,789</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32406B"/>
              </w:rPr>
              <w:t>100.0</w:t>
            </w:r>
          </w:p>
        </w:tc>
        <w:tc>
          <w:tcPr>
            <w:tcW w:w="18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b w:val="1"/>
                <w:bCs w:val="1"/>
                <w:color w:val="32406B"/>
              </w:rPr>
              <w:t>179,874</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32406B"/>
              </w:rPr>
              <w:t>100.0</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Cost of revenue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(78,003)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32406B"/>
              </w:rPr>
              <w:t>(73.7)</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(117,937)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32406B"/>
              </w:rPr>
              <w:t>(65.6)</w:t>
            </w: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32406B"/>
              </w:rPr>
              <w:t>Gross profit</w:t>
            </w: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32406B"/>
              </w:rPr>
              <w:t>27,786</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32406B"/>
              </w:rPr>
              <w:t>26.3</w:t>
            </w:r>
          </w:p>
        </w:tc>
        <w:tc>
          <w:tcPr>
            <w:tcW w:w="18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b w:val="1"/>
                <w:bCs w:val="1"/>
                <w:color w:val="32406B"/>
              </w:rPr>
              <w:t>61,937</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32406B"/>
              </w:rPr>
              <w:t>34.4</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Operating expenses:</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32406B"/>
              </w:rPr>
              <w:t>Research and development expenses</w:t>
            </w:r>
          </w:p>
        </w:tc>
        <w:tc>
          <w:tcPr>
            <w:tcW w:w="1040" w:type="dxa"/>
            <w:vAlign w:val="bottom"/>
          </w:tcPr>
          <w:p>
            <w:pPr>
              <w:jc w:val="right"/>
              <w:spacing w:after="0"/>
              <w:rPr>
                <w:sz w:val="20"/>
                <w:szCs w:val="20"/>
                <w:color w:val="auto"/>
              </w:rPr>
            </w:pPr>
            <w:r>
              <w:rPr>
                <w:rFonts w:ascii="Arial" w:cs="Arial" w:eastAsia="Arial" w:hAnsi="Arial"/>
                <w:sz w:val="16"/>
                <w:szCs w:val="16"/>
                <w:color w:val="32406B"/>
              </w:rPr>
              <w:t>(52,003)</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32406B"/>
              </w:rPr>
              <w:t>(49.2)</w:t>
            </w:r>
          </w:p>
        </w:tc>
        <w:tc>
          <w:tcPr>
            <w:tcW w:w="1160" w:type="dxa"/>
            <w:vAlign w:val="bottom"/>
          </w:tcPr>
          <w:p>
            <w:pPr>
              <w:jc w:val="right"/>
              <w:ind w:right="40"/>
              <w:spacing w:after="0"/>
              <w:rPr>
                <w:sz w:val="20"/>
                <w:szCs w:val="20"/>
                <w:color w:val="auto"/>
              </w:rPr>
            </w:pPr>
            <w:r>
              <w:rPr>
                <w:rFonts w:ascii="Arial" w:cs="Arial" w:eastAsia="Arial" w:hAnsi="Arial"/>
                <w:sz w:val="16"/>
                <w:szCs w:val="16"/>
                <w:color w:val="32406B"/>
              </w:rPr>
              <w:t>(77,430)</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32406B"/>
              </w:rPr>
              <w:t>(43.0)</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32406B"/>
              </w:rPr>
              <w:t>Sales and marketing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(37,017)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rPr>
              <w:t>(35.0)</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32406B"/>
              </w:rPr>
              <w:t>(37,556)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(20.9)</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32406B"/>
              </w:rPr>
              <w:t>General and administrative expenses</w:t>
            </w:r>
          </w:p>
        </w:tc>
        <w:tc>
          <w:tcPr>
            <w:tcW w:w="1040" w:type="dxa"/>
            <w:vAlign w:val="bottom"/>
          </w:tcPr>
          <w:p>
            <w:pPr>
              <w:jc w:val="right"/>
              <w:spacing w:after="0"/>
              <w:rPr>
                <w:sz w:val="20"/>
                <w:szCs w:val="20"/>
                <w:color w:val="auto"/>
              </w:rPr>
            </w:pPr>
            <w:r>
              <w:rPr>
                <w:rFonts w:ascii="Arial" w:cs="Arial" w:eastAsia="Arial" w:hAnsi="Arial"/>
                <w:sz w:val="16"/>
                <w:szCs w:val="16"/>
                <w:color w:val="32406B"/>
              </w:rPr>
              <w:t>(12,196)</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32406B"/>
              </w:rPr>
              <w:t>(11.5)</w:t>
            </w:r>
          </w:p>
        </w:tc>
        <w:tc>
          <w:tcPr>
            <w:tcW w:w="1160" w:type="dxa"/>
            <w:vAlign w:val="bottom"/>
          </w:tcPr>
          <w:p>
            <w:pPr>
              <w:jc w:val="right"/>
              <w:ind w:right="40"/>
              <w:spacing w:after="0"/>
              <w:rPr>
                <w:sz w:val="20"/>
                <w:szCs w:val="20"/>
                <w:color w:val="auto"/>
              </w:rPr>
            </w:pPr>
            <w:r>
              <w:rPr>
                <w:rFonts w:ascii="Arial" w:cs="Arial" w:eastAsia="Arial" w:hAnsi="Arial"/>
                <w:sz w:val="16"/>
                <w:szCs w:val="16"/>
                <w:color w:val="32406B"/>
              </w:rPr>
              <w:t>(17,868)</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32406B"/>
              </w:rPr>
              <w:t>(9.9)</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32406B"/>
              </w:rPr>
              <w:t>Other operating (expenses)/incomes, net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rPr>
              <w:t>(0.0)</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32406B"/>
              </w:rPr>
              <w:t>1,071</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0.6</w:t>
            </w: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32406B"/>
              </w:rPr>
              <w:t>Total operating expenses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32406B"/>
              </w:rPr>
              <w:t>(101,226)</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32406B"/>
              </w:rPr>
              <w:t>(95.7)</w:t>
            </w: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32406B"/>
              </w:rPr>
              <w:t>(131,783)</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32406B"/>
              </w:rPr>
              <w:t>(73.3)</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Loss from operations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(73,440)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32406B"/>
              </w:rPr>
              <w:t>(69.4)</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(69,846)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32406B"/>
              </w:rPr>
              <w:t>(38.8)</w:t>
            </w: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32406B"/>
              </w:rPr>
              <w:t>Other income/(loss):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32406B"/>
              </w:rPr>
              <w:t>Financial income, net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32406B"/>
              </w:rPr>
              <w:t>3,326</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3.1</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32406B"/>
              </w:rPr>
              <w:t>3,220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1.8</w:t>
            </w: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32406B"/>
              </w:rPr>
              <w:t>Foreign exchange loss, net</w:t>
            </w:r>
          </w:p>
        </w:tc>
        <w:tc>
          <w:tcPr>
            <w:tcW w:w="1040" w:type="dxa"/>
            <w:vAlign w:val="bottom"/>
          </w:tcPr>
          <w:p>
            <w:pPr>
              <w:jc w:val="right"/>
              <w:spacing w:after="0"/>
              <w:rPr>
                <w:sz w:val="20"/>
                <w:szCs w:val="20"/>
                <w:color w:val="auto"/>
              </w:rPr>
            </w:pPr>
            <w:r>
              <w:rPr>
                <w:rFonts w:ascii="Arial" w:cs="Arial" w:eastAsia="Arial" w:hAnsi="Arial"/>
                <w:sz w:val="16"/>
                <w:szCs w:val="16"/>
                <w:color w:val="32406B"/>
              </w:rPr>
              <w:t>(239)</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32406B"/>
              </w:rPr>
              <w:t>(0.2)</w:t>
            </w:r>
          </w:p>
        </w:tc>
        <w:tc>
          <w:tcPr>
            <w:tcW w:w="1160" w:type="dxa"/>
            <w:vAlign w:val="bottom"/>
          </w:tcPr>
          <w:p>
            <w:pPr>
              <w:jc w:val="right"/>
              <w:ind w:right="40"/>
              <w:spacing w:after="0"/>
              <w:rPr>
                <w:sz w:val="20"/>
                <w:szCs w:val="20"/>
                <w:color w:val="auto"/>
              </w:rPr>
            </w:pPr>
            <w:r>
              <w:rPr>
                <w:rFonts w:ascii="Arial" w:cs="Arial" w:eastAsia="Arial" w:hAnsi="Arial"/>
                <w:sz w:val="16"/>
                <w:szCs w:val="16"/>
                <w:color w:val="32406B"/>
              </w:rPr>
              <w:t>(80)</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32406B"/>
              </w:rPr>
              <w:t>(0.0)</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Loss before income tax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(70,353)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32406B"/>
              </w:rPr>
              <w:t>(66.5)</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(66,706)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32406B"/>
              </w:rPr>
              <w:t>(37.1)</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32406B"/>
              </w:rPr>
              <w:t>Income tax expense</w:t>
            </w:r>
          </w:p>
        </w:tc>
        <w:tc>
          <w:tcPr>
            <w:tcW w:w="1040" w:type="dxa"/>
            <w:vAlign w:val="bottom"/>
          </w:tcPr>
          <w:p>
            <w:pPr>
              <w:jc w:val="right"/>
              <w:spacing w:after="0"/>
              <w:rPr>
                <w:sz w:val="20"/>
                <w:szCs w:val="20"/>
                <w:color w:val="auto"/>
              </w:rPr>
            </w:pPr>
            <w:r>
              <w:rPr>
                <w:rFonts w:ascii="Arial" w:cs="Arial" w:eastAsia="Arial" w:hAnsi="Arial"/>
                <w:sz w:val="16"/>
                <w:szCs w:val="16"/>
                <w:color w:val="32406B"/>
              </w:rPr>
              <w:t>(124)</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32406B"/>
              </w:rPr>
              <w:t>(0.1)</w:t>
            </w:r>
          </w:p>
        </w:tc>
        <w:tc>
          <w:tcPr>
            <w:tcW w:w="1160" w:type="dxa"/>
            <w:vAlign w:val="bottom"/>
          </w:tcPr>
          <w:p>
            <w:pPr>
              <w:jc w:val="right"/>
              <w:ind w:right="40"/>
              <w:spacing w:after="0"/>
              <w:rPr>
                <w:sz w:val="20"/>
                <w:szCs w:val="20"/>
                <w:color w:val="auto"/>
              </w:rPr>
            </w:pPr>
            <w:r>
              <w:rPr>
                <w:rFonts w:ascii="Arial" w:cs="Arial" w:eastAsia="Arial" w:hAnsi="Arial"/>
                <w:sz w:val="16"/>
                <w:szCs w:val="16"/>
                <w:color w:val="32406B"/>
              </w:rPr>
              <w:t>(206)</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32406B"/>
              </w:rPr>
              <w:t>(0.1)</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Net loss attributable to Tuya Inc.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(70,477)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32406B"/>
              </w:rPr>
              <w:t>(66.6)</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(66,912)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32406B"/>
              </w:rPr>
              <w:t>(37.2)</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32406B"/>
              </w:rPr>
              <w:t>Deemed dividend to convertible preferred shareholders</w:t>
            </w:r>
          </w:p>
        </w:tc>
        <w:tc>
          <w:tcPr>
            <w:tcW w:w="1040" w:type="dxa"/>
            <w:vAlign w:val="bottom"/>
          </w:tcPr>
          <w:p>
            <w:pPr>
              <w:jc w:val="right"/>
              <w:spacing w:after="0"/>
              <w:rPr>
                <w:sz w:val="20"/>
                <w:szCs w:val="20"/>
                <w:color w:val="auto"/>
              </w:rPr>
            </w:pPr>
            <w:r>
              <w:rPr>
                <w:rFonts w:ascii="Arial" w:cs="Arial" w:eastAsia="Arial" w:hAnsi="Arial"/>
                <w:sz w:val="16"/>
                <w:szCs w:val="16"/>
                <w:color w:val="32406B"/>
              </w:rPr>
              <w:t>(3,430)</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32406B"/>
              </w:rPr>
              <w:t>(3.2)</w:t>
            </w:r>
          </w:p>
        </w:tc>
        <w:tc>
          <w:tcPr>
            <w:tcW w:w="1160" w:type="dxa"/>
            <w:vAlign w:val="bottom"/>
          </w:tcPr>
          <w:p>
            <w:pPr>
              <w:jc w:val="right"/>
              <w:ind w:right="100"/>
              <w:spacing w:after="0"/>
              <w:rPr>
                <w:sz w:val="20"/>
                <w:szCs w:val="20"/>
                <w:color w:val="auto"/>
              </w:rPr>
            </w:pPr>
            <w:r>
              <w:rPr>
                <w:rFonts w:ascii="Arial" w:cs="Arial" w:eastAsia="Arial" w:hAnsi="Arial"/>
                <w:sz w:val="16"/>
                <w:szCs w:val="16"/>
                <w:color w:val="32406B"/>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32406B"/>
              </w:rPr>
              <w:t>—</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Net loss attribute to ordinary shareholders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(73,907)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32406B"/>
              </w:rPr>
              <w:t>(69.9)</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(66,912)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32406B"/>
              </w:rPr>
              <w:t>(37.2)</w:t>
            </w: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32406B"/>
              </w:rPr>
              <w:t>Net loss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32406B"/>
              </w:rPr>
              <w:t>(70,477)</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32406B"/>
              </w:rPr>
              <w:t>(66.6)</w:t>
            </w: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32406B"/>
              </w:rPr>
              <w:t>(66,912)</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32406B"/>
              </w:rPr>
              <w:t>(37.2)</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32406B"/>
              </w:rPr>
              <w:t>Other comprehensive (loss)/income:</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32406B"/>
              </w:rPr>
              <w:t>Foreign currency translation</w:t>
            </w:r>
          </w:p>
        </w:tc>
        <w:tc>
          <w:tcPr>
            <w:tcW w:w="1040" w:type="dxa"/>
            <w:vAlign w:val="bottom"/>
          </w:tcPr>
          <w:p>
            <w:pPr>
              <w:jc w:val="right"/>
              <w:spacing w:after="0"/>
              <w:rPr>
                <w:sz w:val="20"/>
                <w:szCs w:val="20"/>
                <w:color w:val="auto"/>
              </w:rPr>
            </w:pPr>
            <w:r>
              <w:rPr>
                <w:rFonts w:ascii="Arial" w:cs="Arial" w:eastAsia="Arial" w:hAnsi="Arial"/>
                <w:sz w:val="16"/>
                <w:szCs w:val="16"/>
                <w:color w:val="32406B"/>
              </w:rPr>
              <w:t>(428)</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32406B"/>
              </w:rPr>
              <w:t>(0.4)</w:t>
            </w:r>
          </w:p>
        </w:tc>
        <w:tc>
          <w:tcPr>
            <w:tcW w:w="1160" w:type="dxa"/>
            <w:vAlign w:val="bottom"/>
          </w:tcPr>
          <w:p>
            <w:pPr>
              <w:jc w:val="right"/>
              <w:ind w:right="100"/>
              <w:spacing w:after="0"/>
              <w:rPr>
                <w:sz w:val="20"/>
                <w:szCs w:val="20"/>
                <w:color w:val="auto"/>
              </w:rPr>
            </w:pPr>
            <w:r>
              <w:rPr>
                <w:rFonts w:ascii="Arial" w:cs="Arial" w:eastAsia="Arial" w:hAnsi="Arial"/>
                <w:sz w:val="16"/>
                <w:szCs w:val="16"/>
                <w:color w:val="32406B"/>
              </w:rPr>
              <w:t>2,882</w:t>
            </w:r>
          </w:p>
        </w:tc>
        <w:tc>
          <w:tcPr>
            <w:tcW w:w="480" w:type="dxa"/>
            <w:vAlign w:val="bottom"/>
          </w:tcPr>
          <w:p>
            <w:pPr>
              <w:jc w:val="right"/>
              <w:spacing w:after="0"/>
              <w:rPr>
                <w:sz w:val="20"/>
                <w:szCs w:val="20"/>
                <w:color w:val="auto"/>
              </w:rPr>
            </w:pPr>
            <w:r>
              <w:rPr>
                <w:rFonts w:ascii="Arial" w:cs="Arial" w:eastAsia="Arial" w:hAnsi="Arial"/>
                <w:sz w:val="16"/>
                <w:szCs w:val="16"/>
                <w:color w:val="32406B"/>
              </w:rPr>
              <w:t>1.6</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Total comprehensive loss attributable to Tuya Inc.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(70,905)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32406B"/>
              </w:rPr>
              <w:t>(67.0)</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(64,030)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32406B"/>
              </w:rPr>
              <w:t>(35.6)</w:t>
            </w:r>
          </w:p>
        </w:tc>
      </w:tr>
      <w:tr>
        <w:trPr>
          <w:trHeight w:val="203"/>
        </w:trPr>
        <w:tc>
          <w:tcPr>
            <w:tcW w:w="7120" w:type="dxa"/>
            <w:vAlign w:val="bottom"/>
          </w:tcPr>
          <w:p>
            <w:pPr>
              <w:spacing w:after="0"/>
              <w:rPr>
                <w:sz w:val="20"/>
                <w:szCs w:val="20"/>
                <w:color w:val="auto"/>
              </w:rPr>
            </w:pPr>
            <w:r>
              <w:rPr>
                <w:rFonts w:ascii="Arial" w:cs="Arial" w:eastAsia="Arial" w:hAnsi="Arial"/>
                <w:sz w:val="16"/>
                <w:szCs w:val="16"/>
                <w:b w:val="1"/>
                <w:bCs w:val="1"/>
                <w:color w:val="32406B"/>
              </w:rPr>
              <w:t>Net loss attributable to ordinary shareholders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32406B"/>
              </w:rPr>
              <w:t>(73,907)</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32406B"/>
              </w:rPr>
              <w:t>(69.9)</w:t>
            </w: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32406B"/>
              </w:rPr>
              <w:t>(66,912)</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32406B"/>
              </w:rPr>
              <w:t>(37.2)</w:t>
            </w:r>
          </w:p>
        </w:tc>
      </w:tr>
      <w:tr>
        <w:trPr>
          <w:trHeight w:val="203"/>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32406B"/>
              </w:rPr>
              <w:t>Net loss per share attributable to ordinary shareholders—basic and 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(0.33)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32406B"/>
              </w:rPr>
              <w:t>(0.30)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rPr>
              <w:t>—</w:t>
            </w:r>
          </w:p>
        </w:tc>
      </w:tr>
      <w:tr>
        <w:trPr>
          <w:trHeight w:val="203"/>
        </w:trPr>
        <w:tc>
          <w:tcPr>
            <w:tcW w:w="7120" w:type="dxa"/>
            <w:vAlign w:val="bottom"/>
          </w:tcPr>
          <w:p>
            <w:pPr>
              <w:spacing w:after="0"/>
              <w:rPr>
                <w:sz w:val="20"/>
                <w:szCs w:val="20"/>
                <w:color w:val="auto"/>
              </w:rPr>
            </w:pPr>
            <w:r>
              <w:rPr>
                <w:rFonts w:ascii="Arial" w:cs="Arial" w:eastAsia="Arial" w:hAnsi="Arial"/>
                <w:sz w:val="16"/>
                <w:szCs w:val="16"/>
                <w:color w:val="32406B"/>
                <w:w w:val="97"/>
              </w:rPr>
              <w:t>Weighted average number of ordinary shares used in calculating net loss per share—basic and diluted</w:t>
            </w:r>
          </w:p>
        </w:tc>
        <w:tc>
          <w:tcPr>
            <w:tcW w:w="1040" w:type="dxa"/>
            <w:vAlign w:val="bottom"/>
          </w:tcPr>
          <w:p>
            <w:pPr>
              <w:jc w:val="right"/>
              <w:ind w:right="20"/>
              <w:spacing w:after="0"/>
              <w:rPr>
                <w:sz w:val="20"/>
                <w:szCs w:val="20"/>
                <w:color w:val="auto"/>
              </w:rPr>
            </w:pPr>
            <w:r>
              <w:rPr>
                <w:rFonts w:ascii="Arial" w:cs="Arial" w:eastAsia="Arial" w:hAnsi="Arial"/>
                <w:sz w:val="16"/>
                <w:szCs w:val="16"/>
                <w:color w:val="32406B"/>
              </w:rPr>
              <w:t>221,980,000</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32406B"/>
              </w:rPr>
              <w:t>221,980,000</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32406B"/>
              </w:rPr>
              <w:t>—</w:t>
            </w: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4"/>
                <w:szCs w:val="14"/>
                <w:color w:val="32406B"/>
              </w:rPr>
              <w:t>Pro forma net loss per share attributable to ordinary shareholders, basic and diluted</w:t>
            </w:r>
            <w:r>
              <w:rPr>
                <w:rFonts w:ascii="Arial" w:cs="Arial" w:eastAsia="Arial" w:hAnsi="Arial"/>
                <w:sz w:val="23"/>
                <w:szCs w:val="23"/>
                <w:color w:val="32406B"/>
                <w:vertAlign w:val="superscript"/>
              </w:rPr>
              <w:t>(1)</w:t>
            </w:r>
            <w:r>
              <w:rPr>
                <w:rFonts w:ascii="Arial" w:cs="Arial" w:eastAsia="Arial" w:hAnsi="Arial"/>
                <w:sz w:val="14"/>
                <w:szCs w:val="14"/>
                <w:color w:val="32406B"/>
              </w:rPr>
              <w:t xml:space="preserve"> (unaudited)</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32406B"/>
              </w:rPr>
              <w:t>(0.13)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359"/>
        </w:trPr>
        <w:tc>
          <w:tcPr>
            <w:tcW w:w="7120" w:type="dxa"/>
            <w:vAlign w:val="bottom"/>
          </w:tcPr>
          <w:p>
            <w:pPr>
              <w:spacing w:after="0"/>
              <w:rPr>
                <w:sz w:val="20"/>
                <w:szCs w:val="20"/>
                <w:color w:val="auto"/>
              </w:rPr>
            </w:pPr>
            <w:r>
              <w:rPr>
                <w:rFonts w:ascii="Arial" w:cs="Arial" w:eastAsia="Arial" w:hAnsi="Arial"/>
                <w:sz w:val="16"/>
                <w:szCs w:val="16"/>
                <w:color w:val="32406B"/>
              </w:rPr>
              <w:t>Pro forma weighted-average ordinary shares outstanding, basic and diluted</w:t>
            </w:r>
            <w:r>
              <w:rPr>
                <w:rFonts w:ascii="Arial" w:cs="Arial" w:eastAsia="Arial" w:hAnsi="Arial"/>
                <w:sz w:val="27"/>
                <w:szCs w:val="27"/>
                <w:color w:val="32406B"/>
                <w:vertAlign w:val="superscript"/>
              </w:rPr>
              <w:t>(1)</w:t>
            </w:r>
            <w:r>
              <w:rPr>
                <w:rFonts w:ascii="Arial" w:cs="Arial" w:eastAsia="Arial" w:hAnsi="Arial"/>
                <w:sz w:val="16"/>
                <w:szCs w:val="16"/>
                <w:color w:val="32406B"/>
              </w:rPr>
              <w:t xml:space="preserve"> (unaudited)</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32406B"/>
              </w:rPr>
              <w:t>500,143,799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4" w:lineRule="exact"/>
        <w:rPr>
          <w:sz w:val="20"/>
          <w:szCs w:val="20"/>
          <w:color w:val="auto"/>
        </w:rPr>
      </w:pPr>
    </w:p>
    <w:p>
      <w:pPr>
        <w:ind w:left="300"/>
        <w:spacing w:after="0"/>
        <w:rPr>
          <w:sz w:val="20"/>
          <w:szCs w:val="20"/>
          <w:color w:val="auto"/>
        </w:rPr>
      </w:pPr>
      <w:r>
        <w:rPr>
          <w:rFonts w:ascii="Arial" w:cs="Arial" w:eastAsia="Arial" w:hAnsi="Arial"/>
          <w:sz w:val="14"/>
          <w:szCs w:val="14"/>
          <w:color w:val="32406B"/>
        </w:rPr>
        <w:t>Note:</w:t>
      </w:r>
    </w:p>
    <w:p>
      <w:pPr>
        <w:ind w:left="720" w:right="200" w:hanging="422"/>
        <w:spacing w:after="0" w:line="314" w:lineRule="auto"/>
        <w:tabs>
          <w:tab w:leader="none" w:pos="720" w:val="left"/>
        </w:tabs>
        <w:numPr>
          <w:ilvl w:val="0"/>
          <w:numId w:val="21"/>
        </w:numPr>
        <w:rPr>
          <w:rFonts w:ascii="Arial" w:cs="Arial" w:eastAsia="Arial" w:hAnsi="Arial"/>
          <w:sz w:val="12"/>
          <w:szCs w:val="12"/>
          <w:color w:val="32406B"/>
        </w:rPr>
      </w:pPr>
      <w:r>
        <w:rPr>
          <w:rFonts w:ascii="Arial" w:cs="Arial" w:eastAsia="Arial" w:hAnsi="Arial"/>
          <w:sz w:val="12"/>
          <w:szCs w:val="12"/>
          <w:color w:val="32406B"/>
        </w:rPr>
        <w:t>Unaudited basic and diluted net loss per share was computed to give effect to the automatic conversion of all issued and outstanding convertible preferred shares into ordinary shares using the “if converted” method as though the conversion and reclassification had occurred as of the beginning of the year or the original date of issuance, if later.</w:t>
      </w: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17</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780" w:type="dxa"/>
            <w:vAlign w:val="bottom"/>
          </w:tcPr>
          <w:p>
            <w:pPr>
              <w:spacing w:after="0"/>
              <w:rPr>
                <w:sz w:val="20"/>
                <w:szCs w:val="20"/>
                <w:color w:val="auto"/>
              </w:rPr>
            </w:pPr>
            <w:r>
              <w:rPr>
                <w:rFonts w:ascii="Arial" w:cs="Arial" w:eastAsia="Arial" w:hAnsi="Arial"/>
                <w:sz w:val="14"/>
                <w:szCs w:val="14"/>
                <w:color w:val="32406B"/>
              </w:rPr>
              <w:t>Note:</w:t>
            </w:r>
          </w:p>
        </w:tc>
        <w:tc>
          <w:tcPr>
            <w:tcW w:w="8900" w:type="dxa"/>
            <w:vAlign w:val="bottom"/>
          </w:tcPr>
          <w:p>
            <w:pPr>
              <w:ind w:left="480"/>
              <w:spacing w:after="0"/>
              <w:rPr>
                <w:sz w:val="20"/>
                <w:szCs w:val="20"/>
                <w:color w:val="auto"/>
              </w:rPr>
            </w:pPr>
            <w:r>
              <w:rPr>
                <w:rFonts w:ascii="Arial" w:cs="Arial" w:eastAsia="Arial" w:hAnsi="Arial"/>
                <w:sz w:val="14"/>
                <w:szCs w:val="14"/>
                <w:color w:val="32406B"/>
              </w:rPr>
              <w:t>Share-based compensation expense was allocated as follows: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54"/>
        </w:trPr>
        <w:tc>
          <w:tcPr>
            <w:tcW w:w="78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32406B"/>
                <w:w w:val="95"/>
              </w:rPr>
              <w:t>For the Year</w:t>
            </w:r>
          </w:p>
        </w:tc>
      </w:tr>
      <w:tr>
        <w:trPr>
          <w:trHeight w:val="148"/>
        </w:trPr>
        <w:tc>
          <w:tcPr>
            <w:tcW w:w="7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9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32406B"/>
                <w:w w:val="93"/>
              </w:rPr>
              <w:t>Ended</w:t>
            </w:r>
          </w:p>
        </w:tc>
      </w:tr>
      <w:tr>
        <w:trPr>
          <w:trHeight w:val="171"/>
        </w:trPr>
        <w:tc>
          <w:tcPr>
            <w:tcW w:w="78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32406B"/>
                <w:w w:val="98"/>
              </w:rPr>
              <w:t>December 31,</w:t>
            </w:r>
          </w:p>
        </w:tc>
      </w:tr>
      <w:tr>
        <w:trPr>
          <w:trHeight w:val="142"/>
        </w:trPr>
        <w:tc>
          <w:tcPr>
            <w:tcW w:w="7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32406B"/>
                <w:w w:val="96"/>
              </w:rPr>
              <w:t>2019</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32406B"/>
              </w:rPr>
              <w:t>2020</w:t>
            </w:r>
          </w:p>
        </w:tc>
        <w:tc>
          <w:tcPr>
            <w:tcW w:w="60" w:type="dxa"/>
            <w:vAlign w:val="bottom"/>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3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32406B"/>
              </w:rPr>
              <w:t>US$</w:t>
            </w:r>
          </w:p>
        </w:tc>
        <w:tc>
          <w:tcPr>
            <w:tcW w:w="60" w:type="dxa"/>
            <w:vAlign w:val="bottom"/>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32406B"/>
                <w:w w:val="89"/>
              </w:rPr>
              <w:t>(in thousands)</w:t>
            </w:r>
          </w:p>
        </w:tc>
        <w:tc>
          <w:tcPr>
            <w:tcW w:w="60" w:type="dxa"/>
            <w:vAlign w:val="bottom"/>
          </w:tcPr>
          <w:p>
            <w:pPr>
              <w:spacing w:after="0"/>
              <w:rPr>
                <w:sz w:val="12"/>
                <w:szCs w:val="12"/>
                <w:color w:val="auto"/>
              </w:rPr>
            </w:pPr>
          </w:p>
        </w:tc>
      </w:tr>
      <w:tr>
        <w:trPr>
          <w:trHeight w:val="149"/>
        </w:trPr>
        <w:tc>
          <w:tcPr>
            <w:tcW w:w="9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Research and development expenses</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32406B"/>
              </w:rPr>
              <w:t>1,218</w:t>
            </w:r>
          </w:p>
        </w:tc>
        <w:tc>
          <w:tcPr>
            <w:tcW w:w="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32406B"/>
              </w:rPr>
              <w:t>2,596</w:t>
            </w:r>
          </w:p>
        </w:tc>
      </w:tr>
      <w:tr>
        <w:trPr>
          <w:trHeight w:val="148"/>
        </w:trPr>
        <w:tc>
          <w:tcPr>
            <w:tcW w:w="9680" w:type="dxa"/>
            <w:vAlign w:val="bottom"/>
            <w:gridSpan w:val="2"/>
          </w:tcPr>
          <w:p>
            <w:pPr>
              <w:spacing w:after="0" w:line="149" w:lineRule="exact"/>
              <w:rPr>
                <w:sz w:val="20"/>
                <w:szCs w:val="20"/>
                <w:color w:val="auto"/>
              </w:rPr>
            </w:pPr>
            <w:r>
              <w:rPr>
                <w:rFonts w:ascii="Arial" w:cs="Arial" w:eastAsia="Arial" w:hAnsi="Arial"/>
                <w:sz w:val="14"/>
                <w:szCs w:val="14"/>
                <w:color w:val="32406B"/>
              </w:rPr>
              <w:t>Sales and marketing expenses</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color w:val="32406B"/>
              </w:rPr>
              <w:t>1,109</w:t>
            </w:r>
          </w:p>
        </w:tc>
        <w:tc>
          <w:tcPr>
            <w:tcW w:w="460" w:type="dxa"/>
            <w:vAlign w:val="bottom"/>
            <w:gridSpan w:val="2"/>
          </w:tcPr>
          <w:p>
            <w:pPr>
              <w:ind w:left="80"/>
              <w:spacing w:after="0" w:line="149" w:lineRule="exact"/>
              <w:rPr>
                <w:sz w:val="20"/>
                <w:szCs w:val="20"/>
                <w:color w:val="auto"/>
              </w:rPr>
            </w:pPr>
            <w:r>
              <w:rPr>
                <w:rFonts w:ascii="Arial" w:cs="Arial" w:eastAsia="Arial" w:hAnsi="Arial"/>
                <w:sz w:val="14"/>
                <w:szCs w:val="14"/>
                <w:color w:val="32406B"/>
              </w:rPr>
              <w:t>1,529</w:t>
            </w:r>
          </w:p>
        </w:tc>
      </w:tr>
      <w:tr>
        <w:trPr>
          <w:trHeight w:val="148"/>
        </w:trPr>
        <w:tc>
          <w:tcPr>
            <w:tcW w:w="9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General and administrative expenses</w:t>
            </w:r>
          </w:p>
        </w:tc>
        <w:tc>
          <w:tcPr>
            <w:tcW w:w="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32406B"/>
              </w:rPr>
              <w:t>2,893</w:t>
            </w:r>
          </w:p>
        </w:tc>
        <w:tc>
          <w:tcPr>
            <w:tcW w:w="4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32406B"/>
              </w:rPr>
              <w:t>5,321</w:t>
            </w:r>
          </w:p>
        </w:tc>
      </w:tr>
      <w:tr>
        <w:trPr>
          <w:trHeight w:val="186"/>
        </w:trPr>
        <w:tc>
          <w:tcPr>
            <w:tcW w:w="780" w:type="dxa"/>
            <w:vAlign w:val="bottom"/>
          </w:tcPr>
          <w:p>
            <w:pPr>
              <w:spacing w:after="0"/>
              <w:rPr>
                <w:sz w:val="20"/>
                <w:szCs w:val="20"/>
                <w:color w:val="auto"/>
              </w:rPr>
            </w:pPr>
            <w:r>
              <w:rPr>
                <w:rFonts w:ascii="Arial" w:cs="Arial" w:eastAsia="Arial" w:hAnsi="Arial"/>
                <w:sz w:val="14"/>
                <w:szCs w:val="14"/>
                <w:b w:val="1"/>
                <w:bCs w:val="1"/>
                <w:color w:val="32406B"/>
              </w:rPr>
              <w:t>Total</w:t>
            </w:r>
          </w:p>
        </w:tc>
        <w:tc>
          <w:tcPr>
            <w:tcW w:w="8900" w:type="dxa"/>
            <w:vAlign w:val="bottom"/>
          </w:tcPr>
          <w:p>
            <w:pPr>
              <w:spacing w:after="0"/>
              <w:rPr>
                <w:sz w:val="16"/>
                <w:szCs w:val="16"/>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32406B"/>
              </w:rPr>
              <w:t>5,220</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32406B"/>
              </w:rPr>
              <w:t>9,446</w:t>
            </w:r>
          </w:p>
        </w:tc>
      </w:tr>
    </w:tbl>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32406B"/>
                <w:w w:val="90"/>
              </w:rPr>
              <w:t>As of December 31,</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32406B"/>
              </w:rPr>
              <w:t>Pro forma</w:t>
            </w:r>
            <w:r>
              <w:rPr>
                <w:rFonts w:ascii="Arial" w:cs="Arial" w:eastAsia="Arial" w:hAnsi="Arial"/>
                <w:sz w:val="11"/>
                <w:szCs w:val="11"/>
                <w:b w:val="1"/>
                <w:bCs w:val="1"/>
                <w:color w:val="32406B"/>
              </w:rPr>
              <w:t>(1)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32406B"/>
              </w:rPr>
              <w:t>2019</w:t>
            </w:r>
          </w:p>
        </w:tc>
        <w:tc>
          <w:tcPr>
            <w:tcW w:w="86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32406B"/>
              </w:rPr>
              <w:t>2020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32406B"/>
                <w:w w:val="96"/>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32406B"/>
                <w:w w:val="91"/>
              </w:rPr>
              <w:t>(unaudited)</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32406B"/>
                <w:w w:val="95"/>
              </w:rPr>
              <w:t>US$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213,258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158,792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158,792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32406B"/>
              </w:rPr>
              <w:t>Restricted cash</w:t>
            </w:r>
          </w:p>
        </w:tc>
        <w:tc>
          <w:tcPr>
            <w:tcW w:w="720" w:type="dxa"/>
            <w:vAlign w:val="bottom"/>
          </w:tcPr>
          <w:p>
            <w:pPr>
              <w:jc w:val="right"/>
              <w:spacing w:after="0"/>
              <w:rPr>
                <w:sz w:val="20"/>
                <w:szCs w:val="20"/>
                <w:color w:val="auto"/>
              </w:rPr>
            </w:pPr>
            <w:r>
              <w:rPr>
                <w:rFonts w:ascii="Arial" w:cs="Arial" w:eastAsia="Arial" w:hAnsi="Arial"/>
                <w:sz w:val="18"/>
                <w:szCs w:val="18"/>
                <w:color w:val="32406B"/>
              </w:rPr>
              <w:t>29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32406B"/>
              </w:rPr>
              <w:t>163</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163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32406B"/>
              </w:rPr>
              <w:t>Short-term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16,663</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20,976</w:t>
            </w: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20,976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32406B"/>
              </w:rPr>
              <w:t>Accounts receivable, net</w:t>
            </w:r>
          </w:p>
        </w:tc>
        <w:tc>
          <w:tcPr>
            <w:tcW w:w="720" w:type="dxa"/>
            <w:vAlign w:val="bottom"/>
          </w:tcPr>
          <w:p>
            <w:pPr>
              <w:jc w:val="right"/>
              <w:spacing w:after="0"/>
              <w:rPr>
                <w:sz w:val="20"/>
                <w:szCs w:val="20"/>
                <w:color w:val="auto"/>
              </w:rPr>
            </w:pPr>
            <w:r>
              <w:rPr>
                <w:rFonts w:ascii="Arial" w:cs="Arial" w:eastAsia="Arial" w:hAnsi="Arial"/>
                <w:sz w:val="18"/>
                <w:szCs w:val="18"/>
                <w:color w:val="32406B"/>
              </w:rPr>
              <w:t>5,351</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32406B"/>
              </w:rPr>
              <w:t>12,316</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12,316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32406B"/>
              </w:rPr>
              <w:t>Notes receivable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9,126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9,126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32406B"/>
              </w:rPr>
              <w:t>Inventories, net</w:t>
            </w:r>
          </w:p>
        </w:tc>
        <w:tc>
          <w:tcPr>
            <w:tcW w:w="720" w:type="dxa"/>
            <w:vAlign w:val="bottom"/>
          </w:tcPr>
          <w:p>
            <w:pPr>
              <w:jc w:val="right"/>
              <w:spacing w:after="0"/>
              <w:rPr>
                <w:sz w:val="20"/>
                <w:szCs w:val="20"/>
                <w:color w:val="auto"/>
              </w:rPr>
            </w:pPr>
            <w:r>
              <w:rPr>
                <w:rFonts w:ascii="Arial" w:cs="Arial" w:eastAsia="Arial" w:hAnsi="Arial"/>
                <w:sz w:val="18"/>
                <w:szCs w:val="18"/>
                <w:color w:val="32406B"/>
              </w:rPr>
              <w:t>23,019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32406B"/>
              </w:rPr>
              <w:t>42,267</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42,267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32406B"/>
              </w:rPr>
              <w:t>Prepayments and other current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8,008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4,393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4,393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32406B"/>
              </w:rPr>
              <w:t>Total current assets</w:t>
            </w:r>
          </w:p>
        </w:tc>
        <w:tc>
          <w:tcPr>
            <w:tcW w:w="720" w:type="dxa"/>
            <w:vAlign w:val="bottom"/>
          </w:tcPr>
          <w:p>
            <w:pPr>
              <w:jc w:val="right"/>
              <w:spacing w:after="0"/>
              <w:rPr>
                <w:sz w:val="20"/>
                <w:szCs w:val="20"/>
                <w:color w:val="auto"/>
              </w:rPr>
            </w:pPr>
            <w:r>
              <w:rPr>
                <w:rFonts w:ascii="Arial" w:cs="Arial" w:eastAsia="Arial" w:hAnsi="Arial"/>
                <w:sz w:val="18"/>
                <w:szCs w:val="18"/>
                <w:color w:val="32406B"/>
              </w:rPr>
              <w:t>266,707</w:t>
            </w: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248,033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248,033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279,404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267,323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267,323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32406B"/>
              </w:rPr>
              <w:t>Accounts payable</w:t>
            </w:r>
          </w:p>
        </w:tc>
        <w:tc>
          <w:tcPr>
            <w:tcW w:w="720" w:type="dxa"/>
            <w:vAlign w:val="bottom"/>
          </w:tcPr>
          <w:p>
            <w:pPr>
              <w:jc w:val="right"/>
              <w:spacing w:after="0"/>
              <w:rPr>
                <w:sz w:val="20"/>
                <w:szCs w:val="20"/>
                <w:color w:val="auto"/>
              </w:rPr>
            </w:pPr>
            <w:r>
              <w:rPr>
                <w:rFonts w:ascii="Arial" w:cs="Arial" w:eastAsia="Arial" w:hAnsi="Arial"/>
                <w:sz w:val="18"/>
                <w:szCs w:val="18"/>
                <w:color w:val="32406B"/>
              </w:rPr>
              <w:t>12,176</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32406B"/>
              </w:rPr>
              <w:t>23,159</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23,159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32406B"/>
              </w:rPr>
              <w:t>Advance from customers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14,051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27,078</w:t>
            </w: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27,078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32406B"/>
              </w:rPr>
              <w:t>Deferred revenue, current</w:t>
            </w:r>
          </w:p>
        </w:tc>
        <w:tc>
          <w:tcPr>
            <w:tcW w:w="720" w:type="dxa"/>
            <w:vAlign w:val="bottom"/>
          </w:tcPr>
          <w:p>
            <w:pPr>
              <w:jc w:val="right"/>
              <w:spacing w:after="0"/>
              <w:rPr>
                <w:sz w:val="20"/>
                <w:szCs w:val="20"/>
                <w:color w:val="auto"/>
              </w:rPr>
            </w:pPr>
            <w:r>
              <w:rPr>
                <w:rFonts w:ascii="Arial" w:cs="Arial" w:eastAsia="Arial" w:hAnsi="Arial"/>
                <w:sz w:val="18"/>
                <w:szCs w:val="18"/>
                <w:color w:val="32406B"/>
              </w:rPr>
              <w:t>516</w:t>
            </w: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3,468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3,468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32406B"/>
              </w:rPr>
              <w:t>Accruals and other current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19,698</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31,738</w:t>
            </w: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31,738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32406B"/>
              </w:rPr>
              <w:t>Income tax payable</w:t>
            </w:r>
          </w:p>
        </w:tc>
        <w:tc>
          <w:tcPr>
            <w:tcW w:w="720" w:type="dxa"/>
            <w:vAlign w:val="bottom"/>
          </w:tcPr>
          <w:p>
            <w:pPr>
              <w:jc w:val="right"/>
              <w:spacing w:after="0"/>
              <w:rPr>
                <w:sz w:val="20"/>
                <w:szCs w:val="20"/>
                <w:color w:val="auto"/>
              </w:rPr>
            </w:pPr>
            <w:r>
              <w:rPr>
                <w:rFonts w:ascii="Arial" w:cs="Arial" w:eastAsia="Arial" w:hAnsi="Arial"/>
                <w:sz w:val="18"/>
                <w:szCs w:val="18"/>
                <w:color w:val="32406B"/>
              </w:rPr>
              <w:t>155</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32406B"/>
              </w:rPr>
              <w:t>159</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rPr>
              <w:t>159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32406B"/>
              </w:rPr>
              <w:t>Lease liabilities, current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6,326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6,326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32406B"/>
              </w:rPr>
              <w:t>Total current liabilities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32406B"/>
              </w:rPr>
              <w:t>50,359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32406B"/>
              </w:rPr>
              <w:t>91,928</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32406B"/>
              </w:rPr>
              <w:t>91,928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55,830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98,323</w:t>
            </w: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32406B"/>
              </w:rPr>
              <w:t>98,323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32406B"/>
              </w:rPr>
              <w:t>Mezzanine equity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5"/>
              </w:rPr>
              <w:t>Series A convertible preferred shares (US$0.00005 par value; 65,288,360 shares authorized, issued and</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32406B"/>
                <w:w w:val="94"/>
              </w:rPr>
              <w:t>outstanding as of December 31, 2019 and 2020, respectively; nil outstanding on a pro-forma basis as of</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December 31, 2020 (unaudited))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9,000</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tcBorders>
              <w:right w:val="single" w:sz="8" w:color="CCEEFF"/>
            </w:tcBorders>
            <w:vMerge w:val="continue"/>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32406B"/>
                <w:w w:val="99"/>
              </w:rPr>
              <w:t>Series A-1 convertible preferred shares (US$0.00005 par value; 15,959,140 shares authorized as of</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tcPr>
          <w:p>
            <w:pPr>
              <w:ind w:left="180"/>
              <w:spacing w:after="0"/>
              <w:rPr>
                <w:sz w:val="20"/>
                <w:szCs w:val="20"/>
                <w:color w:val="auto"/>
              </w:rPr>
            </w:pPr>
            <w:r>
              <w:rPr>
                <w:rFonts w:ascii="Arial" w:cs="Arial" w:eastAsia="Arial" w:hAnsi="Arial"/>
                <w:sz w:val="18"/>
                <w:szCs w:val="18"/>
                <w:color w:val="32406B"/>
                <w:w w:val="90"/>
              </w:rPr>
              <w:t>December 31, 2019 and 2020, respectively; 12,222,267 shares issued and outstanding as of December 31,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960" w:type="dxa"/>
            <w:vAlign w:val="bottom"/>
          </w:tcPr>
          <w:p>
            <w:pPr>
              <w:ind w:left="180"/>
              <w:spacing w:after="0"/>
              <w:rPr>
                <w:sz w:val="20"/>
                <w:szCs w:val="20"/>
                <w:color w:val="auto"/>
              </w:rPr>
            </w:pPr>
            <w:r>
              <w:rPr>
                <w:rFonts w:ascii="Arial" w:cs="Arial" w:eastAsia="Arial" w:hAnsi="Arial"/>
                <w:sz w:val="18"/>
                <w:szCs w:val="18"/>
                <w:color w:val="32406B"/>
                <w:w w:val="93"/>
              </w:rPr>
              <w:t>2019 and 2020, respectively; nil outstanding on a pro-forma basis as of December 31, 2020 (unaudited))</w:t>
            </w:r>
          </w:p>
        </w:tc>
        <w:tc>
          <w:tcPr>
            <w:tcW w:w="720" w:type="dxa"/>
            <w:vAlign w:val="bottom"/>
          </w:tcPr>
          <w:p>
            <w:pPr>
              <w:jc w:val="right"/>
              <w:spacing w:after="0"/>
              <w:rPr>
                <w:sz w:val="20"/>
                <w:szCs w:val="20"/>
                <w:color w:val="auto"/>
              </w:rPr>
            </w:pPr>
            <w:r>
              <w:rPr>
                <w:rFonts w:ascii="Arial" w:cs="Arial" w:eastAsia="Arial" w:hAnsi="Arial"/>
                <w:sz w:val="18"/>
                <w:szCs w:val="18"/>
                <w:color w:val="32406B"/>
              </w:rPr>
              <w:t>2,680</w:t>
            </w: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2,680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1"/>
              </w:rPr>
              <w:t>Series B convertible preferred shares (US$0.00005 par value; 90,782,550 shares authorized as of December</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32406B"/>
                <w:w w:val="91"/>
              </w:rPr>
              <w:t>31, 2019 and 2020, respectively; 87,756,440 shares issued and outstanding as of December 31, 2019 and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2020, respectively; nil outstanding on a pro-forma basis as of December 31, 2020 (unaudited))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29,000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29,000</w:t>
            </w:r>
          </w:p>
        </w:tc>
        <w:tc>
          <w:tcPr>
            <w:tcW w:w="40" w:type="dxa"/>
            <w:vAlign w:val="bottom"/>
            <w:shd w:val="clear" w:color="auto" w:fill="CCEEFF"/>
          </w:tcPr>
          <w:p>
            <w:pPr>
              <w:spacing w:after="0"/>
              <w:rPr>
                <w:sz w:val="20"/>
                <w:szCs w:val="20"/>
                <w:color w:val="auto"/>
              </w:rPr>
            </w:pPr>
          </w:p>
        </w:tc>
        <w:tc>
          <w:tcPr>
            <w:tcW w:w="920" w:type="dxa"/>
            <w:vAlign w:val="bottom"/>
            <w:tcBorders>
              <w:right w:val="single" w:sz="8" w:color="CCEEFF"/>
            </w:tcBorders>
            <w:vMerge w:val="continue"/>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32406B"/>
            </w:tcBorders>
          </w:tcPr>
          <w:p>
            <w:pPr>
              <w:spacing w:after="0"/>
              <w:rPr>
                <w:sz w:val="20"/>
                <w:szCs w:val="20"/>
                <w:color w:val="auto"/>
              </w:rPr>
            </w:pPr>
          </w:p>
        </w:tc>
        <w:tc>
          <w:tcPr>
            <w:tcW w:w="7960" w:type="dxa"/>
            <w:vAlign w:val="bottom"/>
            <w:tcBorders>
              <w:bottom w:val="single" w:sz="8" w:color="32406B"/>
            </w:tcBorders>
          </w:tcPr>
          <w:p>
            <w:pPr>
              <w:spacing w:after="0"/>
              <w:rPr>
                <w:sz w:val="20"/>
                <w:szCs w:val="20"/>
                <w:color w:val="auto"/>
              </w:rPr>
            </w:pPr>
          </w:p>
        </w:tc>
        <w:tc>
          <w:tcPr>
            <w:tcW w:w="720" w:type="dxa"/>
            <w:vAlign w:val="bottom"/>
            <w:tcBorders>
              <w:bottom w:val="single" w:sz="8" w:color="32406B"/>
            </w:tcBorders>
          </w:tcPr>
          <w:p>
            <w:pPr>
              <w:spacing w:after="0"/>
              <w:rPr>
                <w:sz w:val="20"/>
                <w:szCs w:val="20"/>
                <w:color w:val="auto"/>
              </w:rPr>
            </w:pPr>
          </w:p>
        </w:tc>
        <w:tc>
          <w:tcPr>
            <w:tcW w:w="140" w:type="dxa"/>
            <w:vAlign w:val="bottom"/>
            <w:tcBorders>
              <w:bottom w:val="single" w:sz="8" w:color="32406B"/>
            </w:tcBorders>
          </w:tcPr>
          <w:p>
            <w:pPr>
              <w:spacing w:after="0"/>
              <w:rPr>
                <w:sz w:val="20"/>
                <w:szCs w:val="20"/>
                <w:color w:val="auto"/>
              </w:rPr>
            </w:pPr>
          </w:p>
        </w:tc>
        <w:tc>
          <w:tcPr>
            <w:tcW w:w="720" w:type="dxa"/>
            <w:vAlign w:val="bottom"/>
            <w:tcBorders>
              <w:bottom w:val="single" w:sz="8" w:color="32406B"/>
            </w:tcBorders>
          </w:tcPr>
          <w:p>
            <w:pPr>
              <w:spacing w:after="0"/>
              <w:rPr>
                <w:sz w:val="20"/>
                <w:szCs w:val="20"/>
                <w:color w:val="auto"/>
              </w:rPr>
            </w:pPr>
          </w:p>
        </w:tc>
        <w:tc>
          <w:tcPr>
            <w:tcW w:w="140" w:type="dxa"/>
            <w:vAlign w:val="bottom"/>
            <w:tcBorders>
              <w:bottom w:val="single" w:sz="8" w:color="32406B"/>
            </w:tcBorders>
          </w:tcPr>
          <w:p>
            <w:pPr>
              <w:spacing w:after="0"/>
              <w:rPr>
                <w:sz w:val="20"/>
                <w:szCs w:val="20"/>
                <w:color w:val="auto"/>
              </w:rPr>
            </w:pPr>
          </w:p>
        </w:tc>
        <w:tc>
          <w:tcPr>
            <w:tcW w:w="40" w:type="dxa"/>
            <w:vAlign w:val="bottom"/>
            <w:tcBorders>
              <w:bottom w:val="single" w:sz="8" w:color="32406B"/>
            </w:tcBorders>
          </w:tcPr>
          <w:p>
            <w:pPr>
              <w:spacing w:after="0"/>
              <w:rPr>
                <w:sz w:val="20"/>
                <w:szCs w:val="20"/>
                <w:color w:val="auto"/>
              </w:rPr>
            </w:pPr>
          </w:p>
        </w:tc>
        <w:tc>
          <w:tcPr>
            <w:tcW w:w="920" w:type="dxa"/>
            <w:vAlign w:val="bottom"/>
            <w:tcBorders>
              <w:bottom w:val="single" w:sz="8" w:color="32406B"/>
            </w:tcBorders>
          </w:tcPr>
          <w:p>
            <w:pPr>
              <w:spacing w:after="0"/>
              <w:rPr>
                <w:sz w:val="20"/>
                <w:szCs w:val="20"/>
                <w:color w:val="auto"/>
              </w:rPr>
            </w:pPr>
          </w:p>
        </w:tc>
        <w:tc>
          <w:tcPr>
            <w:tcW w:w="200" w:type="dxa"/>
            <w:vAlign w:val="bottom"/>
            <w:tcBorders>
              <w:bottom w:val="single" w:sz="8" w:color="32406B"/>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8140" w:type="dxa"/>
            <w:vAlign w:val="bottom"/>
            <w:gridSpan w:val="2"/>
          </w:tcPr>
          <w:p>
            <w:pPr>
              <w:jc w:val="right"/>
              <w:ind w:right="2450"/>
              <w:spacing w:after="0"/>
              <w:rPr>
                <w:sz w:val="20"/>
                <w:szCs w:val="20"/>
                <w:color w:val="auto"/>
              </w:rPr>
            </w:pPr>
            <w:r>
              <w:rPr>
                <w:rFonts w:ascii="Arial" w:cs="Arial" w:eastAsia="Arial" w:hAnsi="Arial"/>
                <w:sz w:val="18"/>
                <w:szCs w:val="18"/>
                <w:color w:val="32406B"/>
              </w:rPr>
              <w:t>18</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04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32406B"/>
                <w:w w:val="90"/>
              </w:rPr>
              <w:t>As of December 31,</w:t>
            </w:r>
          </w:p>
        </w:tc>
        <w:tc>
          <w:tcPr>
            <w:tcW w:w="0" w:type="dxa"/>
            <w:vAlign w:val="bottom"/>
          </w:tcPr>
          <w:p>
            <w:pPr>
              <w:spacing w:after="0"/>
              <w:rPr>
                <w:sz w:val="1"/>
                <w:szCs w:val="1"/>
                <w:color w:val="auto"/>
              </w:rPr>
            </w:pPr>
          </w:p>
        </w:tc>
      </w:tr>
      <w:tr>
        <w:trPr>
          <w:trHeight w:val="119"/>
        </w:trPr>
        <w:tc>
          <w:tcPr>
            <w:tcW w:w="79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6"/>
              </w:rPr>
              <w:t>forma</w:t>
            </w:r>
            <w:r>
              <w:rPr>
                <w:rFonts w:ascii="Arial" w:cs="Arial" w:eastAsia="Arial" w:hAnsi="Arial"/>
                <w:sz w:val="12"/>
                <w:szCs w:val="12"/>
                <w:b w:val="1"/>
                <w:bCs w:val="1"/>
                <w:color w:val="32406B"/>
                <w:w w:val="96"/>
              </w:rPr>
              <w:t>(1)</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7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32406B"/>
              </w:rPr>
              <w:t>2019</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32406B"/>
              </w:rPr>
              <w:t>2020</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4"/>
              </w:rPr>
              <w:t>(unaudited)</w:t>
            </w: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32406B"/>
              </w:rPr>
              <w:t>US$</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32406B"/>
              </w:rPr>
              <w:t>US$</w:t>
            </w:r>
          </w:p>
        </w:tc>
        <w:tc>
          <w:tcPr>
            <w:tcW w:w="20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w w:val="95"/>
              </w:rPr>
              <w:t>(in thousands)</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1"/>
              </w:rPr>
              <w:t>Series C convertible preferred shares (US$0.00005 par value; 60,469,840 shares authorized as of December</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32406B"/>
                <w:w w:val="91"/>
              </w:rPr>
              <w:t>31, 2019 and 2020, respectively; 60,468,490 shares issued and outstanding as of December 31, 2019 and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2020, respectively; nil outstanding on a pro-forma basis as of December 31, 2020 (unaudited))</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32406B"/>
              </w:rPr>
              <w:t>115,007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115,007</w:t>
            </w:r>
          </w:p>
        </w:tc>
        <w:tc>
          <w:tcPr>
            <w:tcW w:w="20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60" w:type="dxa"/>
            <w:vAlign w:val="bottom"/>
          </w:tcPr>
          <w:p>
            <w:pPr>
              <w:spacing w:after="0" w:line="201" w:lineRule="exact"/>
              <w:rPr>
                <w:sz w:val="20"/>
                <w:szCs w:val="20"/>
                <w:color w:val="auto"/>
              </w:rPr>
            </w:pPr>
            <w:r>
              <w:rPr>
                <w:rFonts w:ascii="Arial" w:cs="Arial" w:eastAsia="Arial" w:hAnsi="Arial"/>
                <w:sz w:val="18"/>
                <w:szCs w:val="18"/>
                <w:color w:val="32406B"/>
                <w:w w:val="92"/>
              </w:rPr>
              <w:t>Series D convertible preferred shares (US$0.00005 par value; 75,000,000 shares authorized December 31,</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32406B"/>
                <w:w w:val="95"/>
              </w:rPr>
              <w:t>2019 and 2020, respectively; 52,428,242 shares issued and outstanding as of December 31, 2019 and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32406B"/>
              </w:rPr>
              <w:t>—</w:t>
            </w:r>
          </w:p>
        </w:tc>
        <w:tc>
          <w:tcPr>
            <w:tcW w:w="0" w:type="dxa"/>
            <w:vAlign w:val="bottom"/>
          </w:tcPr>
          <w:p>
            <w:pPr>
              <w:spacing w:after="0"/>
              <w:rPr>
                <w:sz w:val="1"/>
                <w:szCs w:val="1"/>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32406B"/>
              </w:rPr>
              <w:t>2020, respectively; nil outstanding on a pro-forma basis as of December 31, 2020 (unaudited))</w:t>
            </w:r>
          </w:p>
        </w:tc>
        <w:tc>
          <w:tcPr>
            <w:tcW w:w="720" w:type="dxa"/>
            <w:vAlign w:val="bottom"/>
          </w:tcPr>
          <w:p>
            <w:pPr>
              <w:jc w:val="right"/>
              <w:spacing w:after="0"/>
              <w:rPr>
                <w:sz w:val="20"/>
                <w:szCs w:val="20"/>
                <w:color w:val="auto"/>
              </w:rPr>
            </w:pPr>
            <w:r>
              <w:rPr>
                <w:rFonts w:ascii="Arial" w:cs="Arial" w:eastAsia="Arial" w:hAnsi="Arial"/>
                <w:sz w:val="18"/>
                <w:szCs w:val="18"/>
                <w:color w:val="32406B"/>
              </w:rPr>
              <w:t>177,980</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32406B"/>
              </w:rPr>
              <w:t>177,980</w:t>
            </w: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mezzanine equity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333,667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333,667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32406B"/>
              </w:rPr>
              <w:t>Total shareholders’ (deficit)/equity</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32406B"/>
                <w:w w:val="98"/>
              </w:rPr>
              <w:t>(110,093)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32406B"/>
              </w:rPr>
              <w:t>(164,667)</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32406B"/>
              </w:rPr>
              <w:t>169,000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liabilities, mezzanine equity and shareholders’ (deficit)/equity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279,404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267,323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267,323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00"/>
        <w:spacing w:after="0"/>
        <w:rPr>
          <w:sz w:val="20"/>
          <w:szCs w:val="20"/>
          <w:color w:val="auto"/>
        </w:rPr>
      </w:pPr>
      <w:r>
        <w:rPr>
          <w:rFonts w:ascii="Arial" w:cs="Arial" w:eastAsia="Arial" w:hAnsi="Arial"/>
          <w:sz w:val="14"/>
          <w:szCs w:val="14"/>
          <w:color w:val="32406B"/>
        </w:rPr>
        <w:t>Note</w:t>
      </w:r>
    </w:p>
    <w:p>
      <w:pPr>
        <w:ind w:left="720" w:right="680" w:hanging="422"/>
        <w:spacing w:after="0" w:line="271" w:lineRule="auto"/>
        <w:tabs>
          <w:tab w:leader="none" w:pos="720" w:val="left"/>
        </w:tabs>
        <w:numPr>
          <w:ilvl w:val="0"/>
          <w:numId w:val="22"/>
        </w:numPr>
        <w:rPr>
          <w:rFonts w:ascii="Arial" w:cs="Arial" w:eastAsia="Arial" w:hAnsi="Arial"/>
          <w:sz w:val="13"/>
          <w:szCs w:val="13"/>
          <w:color w:val="32406B"/>
        </w:rPr>
      </w:pPr>
      <w:r>
        <w:rPr>
          <w:rFonts w:ascii="Arial" w:cs="Arial" w:eastAsia="Arial" w:hAnsi="Arial"/>
          <w:sz w:val="13"/>
          <w:szCs w:val="13"/>
          <w:color w:val="32406B"/>
        </w:rPr>
        <w:t>The unaudited pro-forma balance sheet as of December 31, 2020 assumes a Qualified IPO has occurred and presents an adjusted financial position as if all issued and outstanding convertible preferred shares had been converted into ordinary shares on December 31, 2020 at the conversion ratio of one for one.</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The following table presents our summary consolidated cash flows data for the years ended December 31, 2019 and 2020.</w:t>
      </w:r>
    </w:p>
    <w:p>
      <w:pPr>
        <w:spacing w:after="0" w:line="244"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32406B"/>
        </w:rPr>
        <w:t>For the Year Ended</w:t>
      </w:r>
    </w:p>
    <w:p>
      <w:pPr>
        <w:jc w:val="center"/>
        <w:ind w:left="888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300" w:type="dxa"/>
        <w:tblCellMar>
          <w:top w:w="0" w:type="dxa"/>
          <w:left w:w="0" w:type="dxa"/>
          <w:bottom w:w="0" w:type="dxa"/>
          <w:right w:w="0" w:type="dxa"/>
        </w:tblCellMar>
      </w:tblPr>
      <w:tr>
        <w:trPr>
          <w:trHeight w:val="142"/>
        </w:trPr>
        <w:tc>
          <w:tcPr>
            <w:tcW w:w="90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32406B"/>
              </w:rPr>
              <w:t>2019</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32406B"/>
              </w:rPr>
              <w:t>US$</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500" w:type="dxa"/>
            <w:vAlign w:val="bottom"/>
            <w:gridSpan w:val="3"/>
          </w:tcPr>
          <w:p>
            <w:pPr>
              <w:jc w:val="right"/>
              <w:ind w:right="234"/>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Summary Consolidated Cash Flows Data:</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2406B"/>
              </w:rPr>
              <w:t>Net cash used in operating activities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32406B"/>
              </w:rPr>
              <w:t>(56,563)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(49,211)</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32406B"/>
              </w:rPr>
              <w:t>Net cash generated from/(used in) investing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8,491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(7,852)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2406B"/>
              </w:rPr>
              <w:t>Net cash generated from/(used in) financing activities</w:t>
            </w:r>
          </w:p>
        </w:tc>
        <w:tc>
          <w:tcPr>
            <w:tcW w:w="660" w:type="dxa"/>
            <w:vAlign w:val="bottom"/>
          </w:tcPr>
          <w:p>
            <w:pPr>
              <w:jc w:val="right"/>
              <w:spacing w:after="0"/>
              <w:rPr>
                <w:sz w:val="20"/>
                <w:szCs w:val="20"/>
                <w:color w:val="auto"/>
              </w:rPr>
            </w:pPr>
            <w:r>
              <w:rPr>
                <w:rFonts w:ascii="Arial" w:cs="Arial" w:eastAsia="Arial" w:hAnsi="Arial"/>
                <w:sz w:val="18"/>
                <w:szCs w:val="18"/>
                <w:color w:val="32406B"/>
                <w:w w:val="98"/>
              </w:rPr>
              <w:t>174,230</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(172)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32406B"/>
              </w:rPr>
              <w:t>Effect of exchange rate changes on cash and cash equivalents, restricted cash</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2,903</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2406B"/>
              </w:rPr>
              <w:t>Net increase/(decrease) in cash and cash equivalents, restricted cash</w:t>
            </w:r>
          </w:p>
        </w:tc>
        <w:tc>
          <w:tcPr>
            <w:tcW w:w="660" w:type="dxa"/>
            <w:vAlign w:val="bottom"/>
          </w:tcPr>
          <w:p>
            <w:pPr>
              <w:jc w:val="right"/>
              <w:spacing w:after="0"/>
              <w:rPr>
                <w:sz w:val="20"/>
                <w:szCs w:val="20"/>
                <w:color w:val="auto"/>
              </w:rPr>
            </w:pPr>
            <w:r>
              <w:rPr>
                <w:rFonts w:ascii="Arial" w:cs="Arial" w:eastAsia="Arial" w:hAnsi="Arial"/>
                <w:sz w:val="18"/>
                <w:szCs w:val="18"/>
                <w:color w:val="32406B"/>
                <w:w w:val="98"/>
              </w:rPr>
              <w:t>125,677</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(54,332)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restricted cash at the beginning of the year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87,610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213,287</w:t>
            </w:r>
          </w:p>
        </w:tc>
        <w:tc>
          <w:tcPr>
            <w:tcW w:w="120" w:type="dxa"/>
            <w:vAlign w:val="bottom"/>
            <w:shd w:val="clear" w:color="auto" w:fill="CCEEFF"/>
          </w:tcPr>
          <w:p>
            <w:pPr>
              <w:spacing w:after="0"/>
              <w:rPr>
                <w:sz w:val="18"/>
                <w:szCs w:val="18"/>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32406B"/>
              </w:rPr>
              <w:t>Cash and cash equivalents, restricted cash at the end of the year</w:t>
            </w:r>
          </w:p>
        </w:tc>
        <w:tc>
          <w:tcPr>
            <w:tcW w:w="660" w:type="dxa"/>
            <w:vAlign w:val="bottom"/>
          </w:tcPr>
          <w:p>
            <w:pPr>
              <w:jc w:val="right"/>
              <w:spacing w:after="0"/>
              <w:rPr>
                <w:sz w:val="20"/>
                <w:szCs w:val="20"/>
                <w:color w:val="auto"/>
              </w:rPr>
            </w:pPr>
            <w:r>
              <w:rPr>
                <w:rFonts w:ascii="Arial" w:cs="Arial" w:eastAsia="Arial" w:hAnsi="Arial"/>
                <w:sz w:val="18"/>
                <w:szCs w:val="18"/>
                <w:color w:val="32406B"/>
                <w:w w:val="98"/>
              </w:rPr>
              <w:t>213,287</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w w:val="95"/>
              </w:rPr>
              <w:t>158,955</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Non-GAAP Financial Measure</w:t>
      </w:r>
    </w:p>
    <w:p>
      <w:pPr>
        <w:spacing w:after="0" w:line="121"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color w:val="32406B"/>
        </w:rPr>
        <w:t>We use adjusted loss for the year,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184" w:lineRule="exact"/>
        <w:rPr>
          <w:sz w:val="20"/>
          <w:szCs w:val="20"/>
          <w:color w:val="auto"/>
        </w:rPr>
      </w:pPr>
    </w:p>
    <w:p>
      <w:pPr>
        <w:ind w:left="300" w:right="120" w:firstLine="426"/>
        <w:spacing w:after="0" w:line="311" w:lineRule="auto"/>
        <w:rPr>
          <w:sz w:val="20"/>
          <w:szCs w:val="20"/>
          <w:color w:val="auto"/>
        </w:rPr>
      </w:pPr>
      <w:r>
        <w:rPr>
          <w:rFonts w:ascii="Arial" w:cs="Arial" w:eastAsia="Arial" w:hAnsi="Arial"/>
          <w:sz w:val="16"/>
          <w:szCs w:val="16"/>
          <w:color w:val="32406B"/>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19</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735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9735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63" w:lineRule="auto"/>
        <w:rPr>
          <w:sz w:val="20"/>
          <w:szCs w:val="20"/>
          <w:color w:val="auto"/>
        </w:rPr>
      </w:pPr>
      <w:r>
        <w:rPr>
          <w:rFonts w:ascii="Arial" w:cs="Arial" w:eastAsia="Arial" w:hAnsi="Arial"/>
          <w:sz w:val="18"/>
          <w:szCs w:val="18"/>
          <w:color w:val="32406B"/>
        </w:rPr>
        <w:t>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84"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32406B"/>
        </w:rPr>
        <w:t>Adjusted loss for the year represents net loss for the year excluding share-based compensation expenses, which we do not consider to be indicative of our core operating performance. The table below sets forth a reconciliation of our net loss for the year to adjusted loss for the year for the years indicated.</w:t>
      </w:r>
    </w:p>
    <w:p>
      <w:pPr>
        <w:spacing w:after="0" w:line="202"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32406B"/>
        </w:rPr>
        <w:t>For the Year Ended</w:t>
      </w:r>
    </w:p>
    <w:p>
      <w:pPr>
        <w:jc w:val="center"/>
        <w:ind w:left="888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300" w:type="dxa"/>
        <w:tblCellMar>
          <w:top w:w="0" w:type="dxa"/>
          <w:left w:w="0" w:type="dxa"/>
          <w:bottom w:w="0" w:type="dxa"/>
          <w:right w:w="0" w:type="dxa"/>
        </w:tblCellMar>
      </w:tblPr>
      <w:tr>
        <w:trPr>
          <w:trHeight w:val="142"/>
        </w:trPr>
        <w:tc>
          <w:tcPr>
            <w:tcW w:w="90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32406B"/>
              </w:rPr>
              <w:t>2019</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32406B"/>
              </w:rPr>
              <w:t>US$</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500" w:type="dxa"/>
            <w:vAlign w:val="bottom"/>
            <w:gridSpan w:val="3"/>
          </w:tcPr>
          <w:p>
            <w:pPr>
              <w:jc w:val="right"/>
              <w:ind w:right="237"/>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32406B"/>
              </w:rPr>
              <w:t>Net loss for the year</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(70,477)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(66,912)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32406B"/>
              </w:rPr>
              <w:t>Adjustment: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32406B"/>
              </w:rPr>
              <w:t>Share-based compensation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5,220</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9,446</w:t>
            </w:r>
          </w:p>
        </w:tc>
        <w:tc>
          <w:tcPr>
            <w:tcW w:w="120" w:type="dxa"/>
            <w:vAlign w:val="bottom"/>
            <w:shd w:val="clear" w:color="auto" w:fill="CCEEFF"/>
          </w:tcPr>
          <w:p>
            <w:pPr>
              <w:spacing w:after="0"/>
              <w:rPr>
                <w:sz w:val="18"/>
                <w:szCs w:val="18"/>
                <w:color w:val="auto"/>
              </w:rPr>
            </w:pPr>
          </w:p>
        </w:tc>
      </w:tr>
      <w:tr>
        <w:trPr>
          <w:trHeight w:val="228"/>
        </w:trPr>
        <w:tc>
          <w:tcPr>
            <w:tcW w:w="9020" w:type="dxa"/>
            <w:vAlign w:val="bottom"/>
          </w:tcPr>
          <w:p>
            <w:pPr>
              <w:spacing w:after="0"/>
              <w:rPr>
                <w:sz w:val="20"/>
                <w:szCs w:val="20"/>
                <w:color w:val="auto"/>
              </w:rPr>
            </w:pPr>
            <w:r>
              <w:rPr>
                <w:rFonts w:ascii="Arial" w:cs="Arial" w:eastAsia="Arial" w:hAnsi="Arial"/>
                <w:sz w:val="18"/>
                <w:szCs w:val="18"/>
                <w:b w:val="1"/>
                <w:bCs w:val="1"/>
                <w:color w:val="32406B"/>
              </w:rPr>
              <w:t>Adjusted loss for the year</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32406B"/>
                <w:w w:val="95"/>
              </w:rPr>
              <w:t>(65,257)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2406B"/>
                <w:w w:val="92"/>
              </w:rPr>
              <w:t>(57,466)</w:t>
            </w:r>
          </w:p>
        </w:tc>
        <w:tc>
          <w:tcPr>
            <w:tcW w:w="120" w:type="dxa"/>
            <w:vAlign w:val="bottom"/>
          </w:tcPr>
          <w:p>
            <w:pPr>
              <w:spacing w:after="0"/>
              <w:rPr>
                <w:sz w:val="19"/>
                <w:szCs w:val="19"/>
                <w:color w:val="auto"/>
              </w:rPr>
            </w:pPr>
          </w:p>
        </w:tc>
      </w:tr>
    </w:tbl>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Key Operating Metrics</w:t>
      </w:r>
    </w:p>
    <w:p>
      <w:pPr>
        <w:spacing w:after="0" w:line="121" w:lineRule="exact"/>
        <w:rPr>
          <w:sz w:val="20"/>
          <w:szCs w:val="20"/>
          <w:color w:val="auto"/>
        </w:rPr>
      </w:pPr>
    </w:p>
    <w:p>
      <w:pPr>
        <w:jc w:val="both"/>
        <w:ind w:left="300" w:right="500" w:firstLine="426"/>
        <w:spacing w:after="0" w:line="342" w:lineRule="auto"/>
        <w:rPr>
          <w:sz w:val="20"/>
          <w:szCs w:val="20"/>
          <w:color w:val="auto"/>
        </w:rPr>
      </w:pPr>
      <w:r>
        <w:rPr>
          <w:rFonts w:ascii="Arial" w:cs="Arial" w:eastAsia="Arial" w:hAnsi="Arial"/>
          <w:sz w:val="16"/>
          <w:szCs w:val="16"/>
          <w:color w:val="32406B"/>
        </w:rPr>
        <w:t>We measure our business using the following key operating metrics. We use these metrics to assess the progress of our business, make decisions on where to allocate capital, time and technology investments and assess the near-term and long-term performance of our business.</w:t>
      </w:r>
    </w:p>
    <w:p>
      <w:pPr>
        <w:spacing w:after="0" w:line="142" w:lineRule="exact"/>
        <w:rPr>
          <w:sz w:val="20"/>
          <w:szCs w:val="20"/>
          <w:color w:val="auto"/>
        </w:rPr>
      </w:pPr>
    </w:p>
    <w:p>
      <w:pPr>
        <w:jc w:val="center"/>
        <w:ind w:left="8960"/>
        <w:spacing w:after="0"/>
        <w:rPr>
          <w:sz w:val="20"/>
          <w:szCs w:val="20"/>
          <w:color w:val="auto"/>
        </w:rPr>
      </w:pPr>
      <w:r>
        <w:rPr>
          <w:rFonts w:ascii="Arial" w:cs="Arial" w:eastAsia="Arial" w:hAnsi="Arial"/>
          <w:sz w:val="14"/>
          <w:szCs w:val="14"/>
          <w:b w:val="1"/>
          <w:bCs w:val="1"/>
          <w:color w:val="32406B"/>
        </w:rPr>
        <w:t>For the Year Ended</w:t>
      </w:r>
    </w:p>
    <w:p>
      <w:pPr>
        <w:jc w:val="center"/>
        <w:ind w:left="896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300" w:type="dxa"/>
        <w:tblCellMar>
          <w:top w:w="0" w:type="dxa"/>
          <w:left w:w="0" w:type="dxa"/>
          <w:bottom w:w="0" w:type="dxa"/>
          <w:right w:w="0" w:type="dxa"/>
        </w:tblCellMar>
      </w:tblPr>
      <w:tr>
        <w:trPr>
          <w:trHeight w:val="142"/>
        </w:trPr>
        <w:tc>
          <w:tcPr>
            <w:tcW w:w="90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2019</w:t>
            </w:r>
          </w:p>
        </w:tc>
        <w:tc>
          <w:tcPr>
            <w:tcW w:w="5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32406B"/>
              </w:rPr>
              <w:t>Deployment of IoT PaaS (in millions)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60.1</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32406B"/>
                <w:w w:val="79"/>
              </w:rPr>
              <w:t>116.5</w:t>
            </w:r>
          </w:p>
        </w:tc>
        <w:tc>
          <w:tcPr>
            <w:tcW w:w="60" w:type="dxa"/>
            <w:vAlign w:val="bottom"/>
            <w:shd w:val="clear" w:color="auto" w:fill="CCEEFF"/>
          </w:tcPr>
          <w:p>
            <w:pPr>
              <w:spacing w:after="0"/>
              <w:rPr>
                <w:sz w:val="18"/>
                <w:szCs w:val="18"/>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32406B"/>
              </w:rPr>
              <w:t>Number of IoT PaaS customers</w:t>
            </w:r>
          </w:p>
        </w:tc>
        <w:tc>
          <w:tcPr>
            <w:tcW w:w="460" w:type="dxa"/>
            <w:vAlign w:val="bottom"/>
          </w:tcPr>
          <w:p>
            <w:pPr>
              <w:jc w:val="right"/>
              <w:spacing w:after="0"/>
              <w:rPr>
                <w:sz w:val="20"/>
                <w:szCs w:val="20"/>
                <w:color w:val="auto"/>
              </w:rPr>
            </w:pPr>
            <w:r>
              <w:rPr>
                <w:rFonts w:ascii="Arial" w:cs="Arial" w:eastAsia="Arial" w:hAnsi="Arial"/>
                <w:sz w:val="18"/>
                <w:szCs w:val="18"/>
                <w:color w:val="32406B"/>
                <w:w w:val="97"/>
              </w:rPr>
              <w:t>2,328</w:t>
            </w:r>
          </w:p>
        </w:tc>
        <w:tc>
          <w:tcPr>
            <w:tcW w:w="58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32406B"/>
                <w:w w:val="84"/>
              </w:rPr>
              <w:t>3,296</w:t>
            </w:r>
          </w:p>
        </w:tc>
        <w:tc>
          <w:tcPr>
            <w:tcW w:w="60" w:type="dxa"/>
            <w:vAlign w:val="bottom"/>
          </w:tcPr>
          <w:p>
            <w:pPr>
              <w:spacing w:after="0"/>
              <w:rPr>
                <w:sz w:val="20"/>
                <w:szCs w:val="20"/>
                <w:color w:val="auto"/>
              </w:rPr>
            </w:pPr>
          </w:p>
        </w:tc>
      </w:tr>
    </w:tbl>
    <w:p>
      <w:pPr>
        <w:spacing w:after="0" w:line="206"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32406B"/>
        </w:rPr>
        <w:t>For the trailing 12-month</w:t>
      </w:r>
    </w:p>
    <w:p>
      <w:pPr>
        <w:jc w:val="center"/>
        <w:ind w:left="8340"/>
        <w:spacing w:after="0" w:line="236" w:lineRule="auto"/>
        <w:rPr>
          <w:sz w:val="20"/>
          <w:szCs w:val="20"/>
          <w:color w:val="auto"/>
        </w:rPr>
      </w:pPr>
      <w:r>
        <w:rPr>
          <w:rFonts w:ascii="Arial" w:cs="Arial" w:eastAsia="Arial" w:hAnsi="Arial"/>
          <w:sz w:val="14"/>
          <w:szCs w:val="14"/>
          <w:b w:val="1"/>
          <w:bCs w:val="1"/>
          <w:color w:val="32406B"/>
        </w:rPr>
        <w:t>period ended December 31,</w:t>
      </w:r>
    </w:p>
    <w:tbl>
      <w:tblPr>
        <w:tblLayout w:type="fixed"/>
        <w:tblInd w:w="30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32406B"/>
              </w:rPr>
              <w:t>2019</w:t>
            </w:r>
          </w:p>
        </w:tc>
        <w:tc>
          <w:tcPr>
            <w:tcW w:w="13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Number of premium IoT PaaS customers</w:t>
            </w:r>
          </w:p>
        </w:tc>
        <w:tc>
          <w:tcPr>
            <w:tcW w:w="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127</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188</w:t>
            </w:r>
          </w:p>
        </w:tc>
        <w:tc>
          <w:tcPr>
            <w:tcW w:w="60" w:type="dxa"/>
            <w:vAlign w:val="bottom"/>
            <w:tcBorders>
              <w:top w:val="single" w:sz="8" w:color="CCEEFF"/>
            </w:tcBorders>
            <w:shd w:val="clear" w:color="auto" w:fill="CCEEFF"/>
          </w:tcPr>
          <w:p>
            <w:pPr>
              <w:spacing w:after="0"/>
              <w:rPr>
                <w:sz w:val="18"/>
                <w:szCs w:val="18"/>
                <w:color w:val="auto"/>
              </w:rPr>
            </w:pPr>
          </w:p>
        </w:tc>
      </w:tr>
      <w:tr>
        <w:trPr>
          <w:trHeight w:val="392"/>
        </w:trPr>
        <w:tc>
          <w:tcPr>
            <w:tcW w:w="34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right"/>
              <w:ind w:right="960"/>
              <w:spacing w:after="0"/>
              <w:rPr>
                <w:sz w:val="20"/>
                <w:szCs w:val="20"/>
                <w:color w:val="auto"/>
              </w:rPr>
            </w:pPr>
            <w:r>
              <w:rPr>
                <w:rFonts w:ascii="Arial" w:cs="Arial" w:eastAsia="Arial" w:hAnsi="Arial"/>
                <w:sz w:val="14"/>
                <w:szCs w:val="14"/>
                <w:b w:val="1"/>
                <w:bCs w:val="1"/>
                <w:color w:val="32406B"/>
              </w:rPr>
              <w:t>For the trailing 12-month period ended</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440" w:type="dxa"/>
            <w:vAlign w:val="bottom"/>
          </w:tcPr>
          <w:p>
            <w:pPr>
              <w:spacing w:after="0"/>
              <w:rPr>
                <w:sz w:val="10"/>
                <w:szCs w:val="10"/>
                <w:color w:val="auto"/>
              </w:rPr>
            </w:pPr>
          </w:p>
        </w:tc>
        <w:tc>
          <w:tcPr>
            <w:tcW w:w="166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146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32406B"/>
              </w:rPr>
              <w:t>March 31,</w:t>
            </w:r>
          </w:p>
        </w:tc>
        <w:tc>
          <w:tcPr>
            <w:tcW w:w="134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32406B"/>
                <w:w w:val="99"/>
              </w:rPr>
              <w:t>June 30,</w:t>
            </w:r>
          </w:p>
        </w:tc>
        <w:tc>
          <w:tcPr>
            <w:tcW w:w="12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50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200" w:type="dxa"/>
            <w:vAlign w:val="bottom"/>
            <w:gridSpan w:val="2"/>
          </w:tcPr>
          <w:p>
            <w:pPr>
              <w:spacing w:after="0"/>
              <w:rPr>
                <w:sz w:val="10"/>
                <w:szCs w:val="10"/>
                <w:color w:val="auto"/>
              </w:rPr>
            </w:pPr>
          </w:p>
        </w:tc>
      </w:tr>
      <w:tr>
        <w:trPr>
          <w:trHeight w:val="171"/>
        </w:trPr>
        <w:tc>
          <w:tcPr>
            <w:tcW w:w="3440" w:type="dxa"/>
            <w:vAlign w:val="bottom"/>
          </w:tcPr>
          <w:p>
            <w:pPr>
              <w:spacing w:after="0"/>
              <w:rPr>
                <w:sz w:val="14"/>
                <w:szCs w:val="14"/>
                <w:color w:val="auto"/>
              </w:rPr>
            </w:pPr>
          </w:p>
        </w:tc>
        <w:tc>
          <w:tcPr>
            <w:tcW w:w="840" w:type="dxa"/>
            <w:vAlign w:val="bottom"/>
          </w:tcPr>
          <w:p>
            <w:pPr>
              <w:jc w:val="right"/>
              <w:ind w:right="204"/>
              <w:spacing w:after="0"/>
              <w:rPr>
                <w:sz w:val="20"/>
                <w:szCs w:val="20"/>
                <w:color w:val="auto"/>
              </w:rPr>
            </w:pPr>
            <w:r>
              <w:rPr>
                <w:rFonts w:ascii="Arial" w:cs="Arial" w:eastAsia="Arial" w:hAnsi="Arial"/>
                <w:sz w:val="14"/>
                <w:szCs w:val="14"/>
                <w:b w:val="1"/>
                <w:bCs w:val="1"/>
                <w:color w:val="32406B"/>
              </w:rPr>
              <w:t>2019</w:t>
            </w:r>
          </w:p>
        </w:tc>
        <w:tc>
          <w:tcPr>
            <w:tcW w:w="82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Arial" w:cs="Arial" w:eastAsia="Arial" w:hAnsi="Arial"/>
                <w:sz w:val="14"/>
                <w:szCs w:val="14"/>
                <w:b w:val="1"/>
                <w:bCs w:val="1"/>
                <w:color w:val="32406B"/>
              </w:rPr>
              <w:t>2020</w:t>
            </w:r>
          </w:p>
        </w:tc>
        <w:tc>
          <w:tcPr>
            <w:tcW w:w="820" w:type="dxa"/>
            <w:vAlign w:val="bottom"/>
          </w:tcPr>
          <w:p>
            <w:pPr>
              <w:spacing w:after="0"/>
              <w:rPr>
                <w:sz w:val="14"/>
                <w:szCs w:val="14"/>
                <w:color w:val="auto"/>
              </w:rPr>
            </w:pPr>
          </w:p>
        </w:tc>
        <w:tc>
          <w:tcPr>
            <w:tcW w:w="520" w:type="dxa"/>
            <w:vAlign w:val="bottom"/>
          </w:tcPr>
          <w:p>
            <w:pPr>
              <w:jc w:val="right"/>
              <w:ind w:right="44"/>
              <w:spacing w:after="0"/>
              <w:rPr>
                <w:sz w:val="20"/>
                <w:szCs w:val="20"/>
                <w:color w:val="auto"/>
              </w:rPr>
            </w:pPr>
            <w:r>
              <w:rPr>
                <w:rFonts w:ascii="Arial" w:cs="Arial" w:eastAsia="Arial" w:hAnsi="Arial"/>
                <w:sz w:val="14"/>
                <w:szCs w:val="14"/>
                <w:b w:val="1"/>
                <w:bCs w:val="1"/>
                <w:color w:val="32406B"/>
              </w:rPr>
              <w:t>2020</w:t>
            </w:r>
          </w:p>
        </w:tc>
        <w:tc>
          <w:tcPr>
            <w:tcW w:w="820" w:type="dxa"/>
            <w:vAlign w:val="bottom"/>
          </w:tcPr>
          <w:p>
            <w:pPr>
              <w:spacing w:after="0"/>
              <w:rPr>
                <w:sz w:val="14"/>
                <w:szCs w:val="14"/>
                <w:color w:val="auto"/>
              </w:rPr>
            </w:pPr>
          </w:p>
        </w:tc>
        <w:tc>
          <w:tcPr>
            <w:tcW w:w="8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32406B"/>
              </w:rPr>
              <w:t>2020</w:t>
            </w:r>
          </w:p>
        </w:tc>
        <w:tc>
          <w:tcPr>
            <w:tcW w:w="320" w:type="dxa"/>
            <w:vAlign w:val="bottom"/>
          </w:tcPr>
          <w:p>
            <w:pPr>
              <w:spacing w:after="0"/>
              <w:rPr>
                <w:sz w:val="14"/>
                <w:szCs w:val="14"/>
                <w:color w:val="auto"/>
              </w:rPr>
            </w:pPr>
          </w:p>
        </w:tc>
        <w:tc>
          <w:tcPr>
            <w:tcW w:w="134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32406B"/>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3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32406B"/>
              </w:rPr>
              <w:t>Dollar-based net expansion rate for</w:t>
            </w:r>
          </w:p>
        </w:tc>
        <w:tc>
          <w:tcPr>
            <w:tcW w:w="8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IoT PaaS</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32406B"/>
              </w:rPr>
              <w:t>188%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32406B"/>
              </w:rPr>
              <w:t>173%</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32406B"/>
              </w:rPr>
              <w:t>160%</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32406B"/>
              </w:rPr>
              <w:t>179%</w:t>
            </w:r>
          </w:p>
        </w:tc>
        <w:tc>
          <w:tcPr>
            <w:tcW w:w="1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32406B"/>
              </w:rPr>
              <w:t>181%</w:t>
            </w:r>
          </w:p>
        </w:tc>
      </w:tr>
    </w:tbl>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Deployment of IoT PaaS</w:t>
      </w:r>
    </w:p>
    <w:p>
      <w:pPr>
        <w:spacing w:after="0" w:line="117"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32406B"/>
        </w:rPr>
        <w:t>We monitor deployment of IoT PaaS as a key performance indicator of adoption of our IoT PaaS offering which has historically generated a substantial majority of our revenue. We call a smart device on which our IoT PaaS is deployed a “deployment” of IoT PaaS. The fees that we charge IoT PaaS customers are based on the number of IoT PaaS products that are deployed. As a result, our revenue from IoT PaaS grows as the number of deployments increases.</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Number of IoT PaaS Customers</w:t>
      </w:r>
    </w:p>
    <w:p>
      <w:pPr>
        <w:spacing w:after="0" w:line="11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7"/>
          <w:szCs w:val="17"/>
          <w:color w:val="32406B"/>
        </w:rPr>
        <w:t>Our ability to grow the number of IoT PaaS customers is a key indicator of our business and future growth opportunities. We define an IoT PaaS customer for a given period as a customer who has directly placed at least one order for IoT PaaS with us during that period. While we serve both brands and OEMs, it is typically the OEMs, instead of brands, who directly place orders with us for IoT PaaS.</w:t>
      </w: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20</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510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35102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Number of Premium IoT PaaS Customers</w:t>
      </w:r>
    </w:p>
    <w:p>
      <w:pPr>
        <w:spacing w:after="0" w:line="117" w:lineRule="exact"/>
        <w:rPr>
          <w:sz w:val="20"/>
          <w:szCs w:val="20"/>
          <w:color w:val="auto"/>
        </w:rPr>
      </w:pPr>
    </w:p>
    <w:p>
      <w:pPr>
        <w:jc w:val="both"/>
        <w:ind w:left="300" w:right="240" w:firstLine="426"/>
        <w:spacing w:after="0" w:line="263" w:lineRule="auto"/>
        <w:rPr>
          <w:sz w:val="20"/>
          <w:szCs w:val="20"/>
          <w:color w:val="auto"/>
        </w:rPr>
      </w:pPr>
      <w:r>
        <w:rPr>
          <w:rFonts w:ascii="Arial" w:cs="Arial" w:eastAsia="Arial" w:hAnsi="Arial"/>
          <w:sz w:val="18"/>
          <w:szCs w:val="18"/>
          <w:color w:val="32406B"/>
        </w:rPr>
        <w:t>While we continue to grow IoT PaaS customers across all sizes, over time, we focus on growing the number of our premium customers to scale our business. We define a premium IoT PaaS customer as a customer as of a given date that contributed more than US$100,000 of revenue during the immediately preceding 12-month period.</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Dollar-based Net Expansion Rate for IoT PaaS</w:t>
      </w:r>
    </w:p>
    <w:p>
      <w:pPr>
        <w:spacing w:after="0" w:line="117"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color w:val="32406B"/>
        </w:rPr>
        <w:t>Our ability to maintain long-term revenue growth is dependent on our ability to increase customers’ usage of our platform over time and grow revenue generated from existing customers. An important way for us to track our performance in this area is by measuring dollar-based net expansion rate for our IoT PaaS. To calculate the dollar-based net expansion rate for IoT PaaS for the current period, we first specify a measurement period consisting of the trailing two years from the current period end. Next, we define as our “cohort” the population of IoT PaaS customers for the first year of the measurement period (i.e. those have placed at least one order for IoT PaaS during that year). We then calculate the dollar-based net expansion rate as the quotient obtained by dividing the IoT PaaS revenue from this cohort in the second year of the measurement period by the IoT PaaS revenue from this the same cohort in the first year of the measurement period. The dollar-based net expansion rate for our IoT PaaS is affected by customers’ purchase cycles, which could fluctuate from time to time within a year, as well as a number of other factors including but not limited to new product introductions, customer mix promotional activities, and the variable timing and amount of customer purchases. As a result, the dollar-based net expansion rate for our IoT PaaS for the trailing 12-months period ended the last day of each quarter is an inherently volatile metric. Due to the negative impact of COVID-19 and a combination of the factors mentioned above, the dollar-based net expansion rate for our IoT PaaS decreased from 188% for the trailing 12-month period ended December 31, 2019 to 173% for the trailing 12-month period ended March 31, 2020 and further to 160% for the trailing 12-month period ended June 30, 2020. Our dollar-based net expansion rate for IoT PaaS has remained higher than 150% for five consecutive quarters since we began tracking this metric for the trailing 12-month period ended December 31, 2019. Our dollar-based net expansion rate demonstrates our strong ability to continue to expand customers’ usage of our platform over time and grow revenue generated from existing customers.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21</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RISK FACTORS</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32406B"/>
        </w:rPr>
        <w:t>Investing in the ADSs involves a high degree of risk. You should carefully consider the following risks and uncertainties and all other information contained in this prospectus before investing in the ADSs.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the ADSs could decline, and you could lose part or all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Our Business and Industry</w:t>
      </w:r>
    </w:p>
    <w:p>
      <w:pPr>
        <w:spacing w:after="0" w:line="229"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b w:val="1"/>
          <w:bCs w:val="1"/>
          <w:i w:val="1"/>
          <w:iCs w:val="1"/>
          <w:color w:val="32406B"/>
        </w:rPr>
        <w:t>We operate in an emerging and evolving market, which may develop more slowly or differently than we expect. If our market does not grow as we expect, or if we cannot expand our products and services to meet the demands of this market, our revenue may decline, or fail to grow, and we may continue to incur operating losses.</w:t>
      </w:r>
    </w:p>
    <w:p>
      <w:pPr>
        <w:spacing w:after="0" w:line="76"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32406B"/>
        </w:rPr>
        <w:t>The IoT PaaS and IoT SaaS markets are at an early stage of development. There is considerable uncertainty over the size and rate at which these markets will grow, as well as whether our products and services will be widely adopted. Moreover, the IoT cloud industry, including the IoT PaaS market and the IoT SaaS market,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and launch new products and services or provide enhancements and new features to keep pace with rapid technological and industry changes, our business, results of operations and financial condition could be adversely affected. If new technologies emerge that are able to deliver competitive products and services at lower prices or more efficiently or securely, such technologies could adversely impact our ability to compete effectively.</w:t>
      </w:r>
    </w:p>
    <w:p>
      <w:pPr>
        <w:spacing w:after="0" w:line="178"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32406B"/>
        </w:rPr>
        <w:t>Our products, services and platform must also integrate with a variety of network, hardware, software and technologies, and we need to continuously modify and enhance our products, services and platform to adapt to changes and innovation. For example, if customers adopt new software, we may be required to develop new versions of our products and services to be compatible with such new software. This development effort may require significant resources, which would adversely affect our business, results of operations and financial condition. Any failure of our products and services to operate effectively with evolving or new software and technologies could reduce the demand for our products and services. If we are unable to respond to these changes in a cost-effective manner, our products and services may become less marketable and less competitive or obsolete, and our business, results of operations and financial condition could be adversely affected.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We have a limited operating history, making it difficult to forecast our future results of operations.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32406B"/>
        </w:rPr>
        <w:t>We commenced our operations in 2014. Our relatively limited operating history makes it difficult to evaluate our current business and prospects, and to plan for our anticipated future growth.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32406B"/>
        </w:rPr>
        <w:t>Further, in future periods, our revenue growth could slow down or our revenue could decline for a number of reasons, including slowing demand for our offerings, increased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if we do not address these risks successfully, our operating and financial results could differ materially from our expectations, and our business could suffer.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20"/>
        <w:spacing w:after="0" w:line="342" w:lineRule="auto"/>
        <w:rPr>
          <w:sz w:val="20"/>
          <w:szCs w:val="20"/>
          <w:color w:val="auto"/>
        </w:rPr>
      </w:pPr>
      <w:r>
        <w:rPr>
          <w:rFonts w:ascii="Arial" w:cs="Arial" w:eastAsia="Arial" w:hAnsi="Arial"/>
          <w:sz w:val="16"/>
          <w:szCs w:val="16"/>
          <w:b w:val="1"/>
          <w:bCs w:val="1"/>
          <w:i w:val="1"/>
          <w:iCs w:val="1"/>
          <w:color w:val="32406B"/>
        </w:rPr>
        <w:t>Our recent growth may not be indicative of our future growth, and we may not be able to sustain our revenue growth rate in the future. Our growth also makes it difficult to evaluate our future prospects and may increase the risk that we will not be successful.</w:t>
      </w:r>
    </w:p>
    <w:p>
      <w:pPr>
        <w:spacing w:after="0" w:line="1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32406B"/>
        </w:rPr>
        <w:t>We have experienced rapid growth since the inception of our operations. Our revenue increased by 70.0% from US$105.8 million for 2019 to US$179.9 million for 2020. However, you should not rely on the revenue growth of any prior quarterly or annual period as an indication of our future performance. We cannot assure you that we will be able manage our growth at the same rate as we did in the past, or avoid any decline in the future. To maintain our growth, we need to attract more customers, hire more qualified research and development, or R&amp;D, staff and other staff, scale up our business and strengthen our technology infrastructure, among others. Moreover, our current and planned staffing, systems, policies, procedures and controls may not be adequate to support our future operations. To effectively manage the expected growth of our operations and personnel, we will also be required to refine our operational, financial and management controls and reporting systems and procedures. If we fail to efficiently manage the expansion of our business, our costs and expenses may increase faster than we planned and we may not successfully attract a sufficient number of customers and end users in a cost-effective manner, respond timely to competitive challenges, or otherwise execute our business strategies. Our growth requires significant financial resources and will continue to place significant demands on our management. There is no guarantee that we will be able to effectively manage any future growth in an efficient, cost-effective and timely manner, or at all. Our growth in a relatively short period of time is not necessarily indicative of results that we may achieve in the future. If we fail to effectively manage the growth of our business and operations, our reputation, results of operations and overall business and prospects could be negatively impacted.</w:t>
      </w:r>
    </w:p>
    <w:p>
      <w:pPr>
        <w:spacing w:after="0" w:line="28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32406B"/>
        </w:rPr>
        <w:t>The markets in which we operate are competitive, and if we do not compete effectively, our business, operating results and financial condition could be harmed.</w:t>
      </w:r>
    </w:p>
    <w:p>
      <w:pPr>
        <w:spacing w:after="0" w:line="62"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32406B"/>
        </w:rPr>
        <w:t>The IoT PaaS and IoT SaaS markets are competitive and rapidly evolving. The principal competitive factors in these markets include ability to support multiple use cases on a single platform, ease of deployment, implementation and use, platform performance, scalability and reliability, global reach, brand awareness and reputation, the strength of sales and marketing efforts, as well as ability to ensure data security and privacy.</w:t>
      </w:r>
    </w:p>
    <w:p>
      <w:pPr>
        <w:spacing w:after="0" w:line="14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32406B"/>
        </w:rPr>
        <w:t>Some of our existing and potential competitors might have substantial competitive advantages, including larger scale, longer operating history, greater brand recognition, more established relationships with customers, suppliers, manufacturers and other business partners, and greater financial, research and development, marketing and other resources. As a result,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with greater depth than our products and services or in different geographies. Our existing and potential competitors may develop and market new products and services with comparable functionality to ours, and this could force us to offer our products and services at lower prices in order to remain competitive.</w:t>
      </w:r>
    </w:p>
    <w:p>
      <w:pPr>
        <w:spacing w:after="0" w:line="17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32406B"/>
        </w:rPr>
        <w:t>Some of our competitors are able to offer products and services at lower prices than ours, which may be attractive to certain customers even if those products and services offer different or fewer functionalities. If we are unable to maintain our current pricing due to the competitive pressures, our margins will be reduced and our business, results of operations and financial condition would be adversely affected. In addition, pricing pressures and increased competition could result in reduced revenue, reduced margins, increased losses or the failure of our products and services to achieve or maintain widespread market acceptance, any of which could harm our business, results of operations and financial condition.</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With the introduction of new products and services and new market entrants, we expect competition to intensify in the future. In addition, some of our customers may choose to use our products and services and our competitors’ products and services at the same time, or choose to switch to other IoT platforms. As we expand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32406B"/>
        </w:rPr>
        <w:t>the scope of our platform, products and services, we may face additional competition. If one or more of our competitors were to merge or partner with another of our competitors, the change in the competitive landscape could also adversely affect our ability to compete effectively.</w:t>
      </w:r>
    </w:p>
    <w:p>
      <w:pPr>
        <w:spacing w:after="0" w:line="254" w:lineRule="exact"/>
        <w:rPr>
          <w:sz w:val="20"/>
          <w:szCs w:val="20"/>
          <w:color w:val="auto"/>
        </w:rPr>
      </w:pPr>
    </w:p>
    <w:p>
      <w:pPr>
        <w:ind w:left="560" w:right="140"/>
        <w:spacing w:after="0" w:line="263" w:lineRule="auto"/>
        <w:rPr>
          <w:sz w:val="20"/>
          <w:szCs w:val="20"/>
          <w:color w:val="auto"/>
        </w:rPr>
      </w:pPr>
      <w:r>
        <w:rPr>
          <w:rFonts w:ascii="Arial" w:cs="Arial" w:eastAsia="Arial" w:hAnsi="Arial"/>
          <w:sz w:val="18"/>
          <w:szCs w:val="18"/>
          <w:b w:val="1"/>
          <w:bCs w:val="1"/>
          <w:i w:val="1"/>
          <w:iCs w:val="1"/>
          <w:color w:val="32406B"/>
        </w:rPr>
        <w:t>The success of our business is dependent upon our ability to maintain and expand our customer base and our ability to convince our customers to increase the use of our products and services. If we are unable to expand our customer base and/or the use of our products and services by our customers declines, our business may be harmed.</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32406B"/>
        </w:rPr>
        <w:t>Our ability to expand and generate revenue depends, in part, on our ability to maintain and expand our relationships with customers and convince them to increase their use of our products and services. If our customers do not increase their use of our products and services, our revenue may not grow and our results of operations may be harmed. It is difficult to predict the end users’ usage levels of smart devices accurately and the loss of customers or reductions in the end users’ usage levels may have a negative impact on our business, results of operations, and financial condition. Our customers may cease, or reduce their usage of our products and services due to a variety of reasons or factors, such as progress in technology that makes our products and services obsolete, unfounded allegations and rumors relating to the health effect of technologies such as 5G, or national security concerns caused by our products and services, that are outside our or our customers’ control. If a significant our number of customers cease using, or reduce their usage of, our products and services, or if the brands who place orders through our OEM customers cease to place orders from them, we may be required to spend significantly more on sales and marketing than we currently plan to spend in order to maintain or increase revenue. These additional expenditures could adversely affect our business, results of operations, and financial condition.</w:t>
      </w:r>
    </w:p>
    <w:p>
      <w:pPr>
        <w:spacing w:after="0" w:line="276" w:lineRule="exact"/>
        <w:rPr>
          <w:sz w:val="20"/>
          <w:szCs w:val="20"/>
          <w:color w:val="auto"/>
        </w:rPr>
      </w:pPr>
    </w:p>
    <w:p>
      <w:pPr>
        <w:ind w:left="560" w:right="500"/>
        <w:spacing w:after="0" w:line="342" w:lineRule="auto"/>
        <w:rPr>
          <w:sz w:val="20"/>
          <w:szCs w:val="20"/>
          <w:color w:val="auto"/>
        </w:rPr>
      </w:pPr>
      <w:r>
        <w:rPr>
          <w:rFonts w:ascii="Arial" w:cs="Arial" w:eastAsia="Arial" w:hAnsi="Arial"/>
          <w:sz w:val="16"/>
          <w:szCs w:val="16"/>
          <w:b w:val="1"/>
          <w:bCs w:val="1"/>
          <w:i w:val="1"/>
          <w:iCs w:val="1"/>
          <w:color w:val="32406B"/>
        </w:rPr>
        <w:t>Our use of third-party suppliers involves certain risks that may result in, among others, increased costs, quality or compliance issues, or failure to timely manufacture the modules and finished smart devices, any of which could materially harm our business.</w:t>
      </w:r>
    </w:p>
    <w:p>
      <w:pPr>
        <w:spacing w:after="0" w:line="1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32406B"/>
        </w:rPr>
        <w:t>We use third-party suppliers to manufacture the modules where the edge capabilities of IoT PaaS are embedded, and in some circumstances, finished smart devices. We do not manufacture these modules or smart devices and do not own or operate any manufacturing facility. Instead, we are dependent on third-party suppliers to manufacture the modules and smart devices using their equipment and techniques. Our use of such third-party module suppliers involves a number of risks, including:</w:t>
      </w:r>
    </w:p>
    <w:p>
      <w:pPr>
        <w:spacing w:after="0" w:line="9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insufficient capacity or delays in meeting our demand;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inadequate manufacturing yields, inferior quality and excessive costs;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inability to manufacture products that meet the agreed upon specifications;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inability to obtain an adequate supply of materials;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inability to comply with the relevant regulatory requirements for the manufacturing process;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limited warranties on products supplied to us;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inability to comply with our contractual obligations;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potential increases in prices;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a lack of direct control over delivery schedules or product quantity and quality;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delays in product shipment, shortages, a decrease in product quality and/or higher expenses;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increased exposure to potential misappropriation of our intellectual property; and</w:t>
      </w:r>
    </w:p>
    <w:p>
      <w:pPr>
        <w:spacing w:after="0" w:line="130" w:lineRule="exact"/>
        <w:rPr>
          <w:rFonts w:ascii="Arial" w:cs="Arial" w:eastAsia="Arial" w:hAnsi="Arial"/>
          <w:sz w:val="18"/>
          <w:szCs w:val="18"/>
          <w:color w:val="32406B"/>
        </w:rPr>
      </w:pPr>
    </w:p>
    <w:p>
      <w:pPr>
        <w:ind w:left="5540" w:right="2260" w:hanging="4992"/>
        <w:spacing w:after="0" w:line="449" w:lineRule="auto"/>
        <w:tabs>
          <w:tab w:leader="none" w:pos="1094"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disruptions to supply chain, manufacturing process and business operation due to the COVID-19 pandemic. 24</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32406B"/>
        </w:rPr>
        <w:t>If any of our suppliers is not able to perform its manufacturing obligations in the manner, timing and quality as agreed, we may not be able to, on a timely basis, find a suitable alternative on commercially acceptable terms. Disruptions of our relationships with such suppliers could negatively impact our business operations for an extended period of time. Any inability to acquire sufficient quantities of the modules and finished smart devices in a timely manner from these third-party suppliers could have a material negative impact on our business.</w:t>
      </w:r>
    </w:p>
    <w:p>
      <w:pPr>
        <w:spacing w:after="0" w:line="279"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32406B"/>
        </w:rPr>
        <w:t>If we are not able to introduce new features or products successfully and to make enhancements to our existing products and services, our business and results of operations could be adversely affected.</w:t>
      </w:r>
    </w:p>
    <w:p>
      <w:pPr>
        <w:spacing w:after="0" w:line="62"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32406B"/>
        </w:rPr>
        <w:t>To attract new customers and end users and keep our existing ones engaged, we must introduce new products and services and upgrade our existing offerings to meet their evolving preferences. It is difficult to predict the preferences of a particular customer or a specific group of customers. Changes and upgrades to our existing products may not be well received by our customers and end users, and newly introduced products or services may not achieve success as expected. For example, we may introduce new industry SaaS products for new industry verticals, with which we have little or no prior experience. Such efforts may require us to contribute a substantial amount of additional human capital and financial resources. We cannot assure you that any of such new products will achieve market acceptance or generate sufficient revenues to adequately compensate the costs and expenses incurred in relation to our development and promotion efforts. Enhancements and new products and services that we develop may not be introduced in a timely or cost-effective manner, may contain errors or defects, may have interoperability difficulties with our platform or other products and services or may not achieve the broad market acceptance necessary to generate significant revenue. If we fail to improve our existing products and introduce new ones in a timely or cost-effective manner, our ability to attract and retain customers and end users may be impaired, and our financial performance and prospects may be adversely affected.</w:t>
      </w:r>
    </w:p>
    <w:p>
      <w:pPr>
        <w:spacing w:after="0" w:line="290" w:lineRule="exact"/>
        <w:rPr>
          <w:sz w:val="20"/>
          <w:szCs w:val="20"/>
          <w:color w:val="auto"/>
        </w:rPr>
      </w:pPr>
    </w:p>
    <w:p>
      <w:pPr>
        <w:ind w:left="560" w:right="300"/>
        <w:spacing w:after="0" w:line="263" w:lineRule="auto"/>
        <w:rPr>
          <w:sz w:val="20"/>
          <w:szCs w:val="20"/>
          <w:color w:val="auto"/>
        </w:rPr>
      </w:pPr>
      <w:r>
        <w:rPr>
          <w:rFonts w:ascii="Arial" w:cs="Arial" w:eastAsia="Arial" w:hAnsi="Arial"/>
          <w:sz w:val="18"/>
          <w:szCs w:val="18"/>
          <w:b w:val="1"/>
          <w:bCs w:val="1"/>
          <w:i w:val="1"/>
          <w:iCs w:val="1"/>
          <w:color w:val="32406B"/>
        </w:rPr>
        <w:t>We rely upon third-party providers of cloud-based infrastructure to host our platform. Any disruption in the operations of these third-party providers, limitations on capacity or interference with our use could adversely affect our business, financial condition and results of operations.</w:t>
      </w:r>
    </w:p>
    <w:p>
      <w:pPr>
        <w:spacing w:after="0" w:line="7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32406B"/>
        </w:rPr>
        <w:t>We currently serve our customers and end users from co-located data centers in China, the United States, Europe and India. We also use various third-party cloud-hosting providers such as AWS, Microsoft Azure and Tencent Cloud to provide cloud infrastructure for our platform. Our IoT PaaS and Industry SaaS products and value-added services all rely on the operations of this infrastructure. We do not control, or in some cases have limited control over, the operation of the data center facilities we use. Customers expect to access our platform at any time, without interruption or degradation of performance, and we provide a few customers with service-level commitments with respect to uptime. Any limitation on the capacity of our data centers or cloud infrastructure could impede our ability to onboard new customers or expand the usage of our existing customers, host our products or serve our customers, which could adversely affect our business, financial condition and results of operations. In addition, any incident affecting our data centers or cloud infrastructure that may be caused by cyber-attacks, natural disasters, fire, flood, severe storm, earthquake, power loss, outbreaks of contagious diseases, telecommunications failures, terrorist or other attacks, or other events beyond our control could negatively affect the cloud-based portion of our platform. A prolonged service disruption affecting our data centers or cloud-based services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providers or taking other actions in preparation for, or in response to, events that damage the third-party hosting services we use.</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In the event that our service agreements relating to our data centers or cloud infrastructure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or re-architecting our platform for deployment on a different data center provider or cloud infrastructure service provider, which could adversely affect our business,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32406B"/>
        </w:rPr>
        <w:t>We benefit from integration of our products and services with those of our business partners. If these business partners choose not to partner with us in the future, our business and results of operations may be harmed.</w:t>
      </w:r>
    </w:p>
    <w:p>
      <w:pPr>
        <w:spacing w:after="0" w:line="62"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32406B"/>
        </w:rPr>
        <w:t>We benefit from integration of our products and services with those of our business partners, such as the providers of cloud services used to support our platform. If entities who serve as our business partners change their cooperation model with us, our business, results of operations and financial condition may be adversely affected. We may also face competition from our business partners in a number of areas, including innovations in our businesses. Such competition may adversely affect our competitive position, business prospects and our relationship with our business partners. It may be necessary in the future to renegotiate agreements relating to various aspects of these collaborations or business partnerships. In addition, if our business partners choose not to partner with us, or choose to form collaborations with our competitors’ platforms, our business, financial condition and results of operations could be harmed.</w:t>
      </w:r>
    </w:p>
    <w:p>
      <w:pPr>
        <w:spacing w:after="0" w:line="285" w:lineRule="exact"/>
        <w:rPr>
          <w:sz w:val="20"/>
          <w:szCs w:val="20"/>
          <w:color w:val="auto"/>
        </w:rPr>
      </w:pPr>
    </w:p>
    <w:p>
      <w:pPr>
        <w:ind w:left="560" w:right="60"/>
        <w:spacing w:after="0" w:line="257" w:lineRule="auto"/>
        <w:rPr>
          <w:sz w:val="20"/>
          <w:szCs w:val="20"/>
          <w:color w:val="auto"/>
        </w:rPr>
      </w:pPr>
      <w:r>
        <w:rPr>
          <w:rFonts w:ascii="Arial" w:cs="Arial" w:eastAsia="Arial" w:hAnsi="Arial"/>
          <w:sz w:val="18"/>
          <w:szCs w:val="18"/>
          <w:b w:val="1"/>
          <w:bCs w:val="1"/>
          <w:i w:val="1"/>
          <w:iCs w:val="1"/>
          <w:color w:val="32406B"/>
        </w:rPr>
        <w:t>Compliance with the rapidly evolving landscape of global data privacy and security laws may be challenging, and any failure or perceived failure to comply with such laws, or other concerns about our practices or policies with respect to the processing of personal data,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8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32406B"/>
        </w:rPr>
        <w:t>Failure to comply with the increasing number of data protection laws in the jurisdictions in which we operate, as well as concerns about our practices with regard to the collection, use, storage, retention, transfer, disclosure, and other processing of personal data, the security of personal data, or other privacy-related matters, such as cybersecurity breaches, misuse of personal data and data sharing without necessary safeguards, including concerns from our customers, employees and third parties with whom we conduct business, even if unfounded, could damage our reputation and operating results. As we seek to expand our business, we are, and may increasingly become, subject to various laws, regulations and standards, as well as contractual obligations, relating to data privacy and security in the jurisdictions in which we operate. The regulatory and legal frameworks regarding data privacy and security issues in many jurisdictions are constantly evolving and developing and can be subject to significant changes from time to time, including in ways that may result in conflicting requirements among various jurisdictions. Interpretation and implementation standards and enforcement practices are similarly in a state of flux and are likely to remain uncertain for the foreseeable future. As a result, we may not be able to comprehensively assess the scope and extent of our compliance responsibility at a global level, and may fail to fully comply with the applicable data privacy and security laws, regulations and standards. Moreover,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8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32406B"/>
        </w:rPr>
        <w:t>In certain jurisdictions in which we operate, stringent, extra-territorial data protection laws exist which increase our compliance burden and the risk of scrutiny. For example, the General Data Protection Regulation (EU) 2016/679 (“GDPR”), which applies to the collection, use, storage, retention, transfer, disclosure, and other processing of personal data obtained from individuals located in the European Union (“EU”) or by businesses operating within the EU, became effective on May 25, 2018 and has resulted, and will continue to result, in significantly greater compliance burdens and costs for companies with customers, end users, or operations in the EU. The GDPR places stringent obligations and operational requirements on us as both a processor and controller of personal data and could make it more difficult or more costly for us to use and share personal data. Under the GDPR, data protection supervisory authorities are given various enforcement powers, including levying fines of up to 20 million Euros or up to 4% of an organization’s annual worldwide turnover, whichever is greater, for the preceding financial year, for non-compliance. Data subjects also have the right to be compensated for damages suffered as a result of a controller or processor’s non-compliance with the GDPR. While the GDPR provides a more harmonized approach to data protection regulation across the EU member states, it also gives EU member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32406B"/>
        </w:rPr>
        <w:t>states certain areas of discretion and therefore laws and regulations in relation to certain data processing activities may differ on a member state by member state basis, which could further limit our ability to use and share personal data and could require localized changes to our operating model. In addition to the GDPR, the EU also has released a proposed Regulation on Privacy and Electronic Communications, or the ePrivacy Regulation, to replace the EU’s current Privacy and Electronic Communications Directive, or the ePrivacy Directive, to, among other things, better align EU member states and the rules governing online tracking technologies and electronic communications, such as unsolicited marketing and cookies, with the requirements of the GDPR. While the ePrivacy Regulation was originally intended to be adopted on May 25, 2018 (alongside the GDPR), it is currently going through the European legislative process, and commentators now expect it to be adopted in 2021. The current draft of the ePrivacy Regulation significantly increases fining powers to the same levels as GDPR and may require us to change our operational model and incur additional compliance expenses. Recent discussions were canceled due to the COVID-19 pandemic, further delaying enactment of this regulation, the details of which remain in flux. Additional time and effort may need to be spent addressing the new requirements in the potential ePrivacy Regulation as compared to the GDPR.</w:t>
      </w:r>
    </w:p>
    <w:p>
      <w:pPr>
        <w:spacing w:after="0" w:line="18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32406B"/>
        </w:rPr>
        <w:t>Under the GDPR, restrictions are placed on transfers of personal data outside of the European Economic Area to countries which have not been deemed “adequate” by the European Commission (including the United States and the PRC). As a global business, with customers and end users worldwide, we are susceptible to any changes in legal requirements affecting international data flows. The Court of Justice of the European Union (“CJEU”) issued a decision on July 16, 2020, invaliding the EU-US Privacy Shield Framework, which provided one mechanism for lawful cross-border transfers of personal data between the EU and the U.S. While the decision did not invalidate the use of standard contractual clauses, another mechanism for making lawful cross-border transfers, the decision has called the validity of standard contractual clauses into question under certain circumstances, and has made the legality of transferring personal data from the EU to the U.S. or various other jurisdictions outside of the EU more uncertain. Specifically, the CJEU stated that companies must now assess the validity of standard contractual clauses on a case by case basis, taking into consideration whether the standard contractual clauses provide sufficient protection in light of any access by the public authorities of the third country to where the personal data is transferred, and the relevant aspects of the legal system of such third country. While the European Data Protection Board recently issued certain draft guidance relating to ongoing use of the standard contractual clauses, including certain proposed amendments to the standard contractual clauses, the CJEU’s decision has increased uncertainty surrounding data transfers from the EU to third countries that may not offer the same level of protection for data subjects’ rights as the EU. Due to this evolving regulatory guidance, we may need to invest in additional technical, legal and organization safeguards in the future to avoid disruptions to data flows within our business and to and from our customers and service providers. Furthermore, this uncertainty, and its eventual resolution, may increase our costs of compliance, impede our ability to transfer data and conduct our business, and harm our business or results of operations.</w:t>
      </w:r>
    </w:p>
    <w:p>
      <w:pPr>
        <w:spacing w:after="0" w:line="18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32406B"/>
        </w:rPr>
        <w:t>Outside of the EU, many jurisdictions have adopted or are adopting new data privacy and security laws, which may result in additional expenses to us and increase the risk of non-compliance. For example, in the United States, various federal and state regulators, including governmental agencies like the Federal Trade Commission, have adopted, or are considering adopting, laws and regulations concerning personal data and data security. This patchwork of legislation and regulation may give rise to conflicts or differing views of personal privacy rights. For example, certain state laws may be more stringent or broader in scope, or offer greater individual rights, with respect to personal data than federal, international or other state laws, and such laws may differ from each other, all of which may complicate compliance efforts. One such comprehensive privacy law in the United States is the California Consumer Privacy Act (“CCPA”), which came into effect on January 1, 2020. Among other things, the CCPA requires companies that process information of California residents to make new detailed disclosures to consumers about such companies’ data collection, use and sharing practices, gives California residents expanded rights to access and delete their personal information, and to opt out of certain personal information sharing with (and sales of personal information to) third parties. The CCPA provides for civil penalties for violations, as well as a private right of action for certain data breaches that result in the loss of personal data. This private right of action is expected to increase the likelihood of, and risks associated with, data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32406B"/>
        </w:rPr>
        <w:t>breach litigation. The CCPA was amended in September 2018, November 2019 and September 2020, and it is possible that further amendments will be enacted, but even in its current form it remains unclear how various provisions of the CCPA will be interpreted and enforced. Additionally, a new privacy law, the California Privacy Rights Act (“CPRA”), was approved by California voters in the election of November 3, 2020. The CPRA, which will take effect in most material respects on January 1, 2023, modifies the California Consumer Privacy Act significantly, including by expanding consumers’ rights with respect to certain sensitive personal information and creating a new state agency to oversee implementation and enforcement efforts, potentially resulting in further uncertainty and requiring us to incur additional costs and expenses in an effort to comply. Other state laws are changing rapidly and there have been ongoing discussions and proposals in the U.S. Congress with respect to new federal data privacy and security laws to which we would become subject if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w:t>
      </w:r>
    </w:p>
    <w:p>
      <w:pPr>
        <w:spacing w:after="0" w:line="18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32406B"/>
        </w:rPr>
        <w:t>In recent years, the PRC government has tightened the regulation of the storage, sharing, use, disclosure and protection of personal data and information. In June 2017, the PRC Cyber Security Law promulgated by the Standing Committee of the National People’s Congress, or the SCNPC, took effect. In addition, the PRC government has issued for public consultation the drafts of a number of supplemental measures and guidelines, including, for example, the draft Measures on Security Assessment of Cross-Border Transfer of Personal Information and Important Data released in April 2017, the draft Measures on Security Assessment of Cross-Border Transfer of Personal Information released in June 2019, the draft Data Security Law released in July 2020, and the draft Personal Information Protection Law released in October 2020. These proposed laws and regulations require, among others, that personal information should be stored within the PRC unless, prior to the intended data transfer, an official security assessment carried out by the PRC government authorities has been completed and a number of other specified criteria has been met. Since the PRC Cybersecurity Law is relatively new and many of the supplemental measures and guidelines are in draft form and it is still uncertain when it would be signed into law and whether the final version would have any substantial changes from its draft form, interpretation standards and enforcement practices are likely to remain uncertain for the foreseeable future. In addition, while we do not believe our current business involves any transmission, use and exchange of information that comes under the definition of “cross-border transfer of personal data” under the PRC Cybersecurity Law, we cannot assure you that the PRC regulatory authorities will not take a view contrary to ours, thus requiring us to comply with the data localization, security assessment and other requirements under these proposed laws and regulations. In addition, as our business continues to grow, there may arise circumstances where we engage in such cross-border transfer of personal data, including in order to satisfy the legal and regulatory requirements, in which case we may need to comply with the foregoing requirements as well as any other limitations under PRC laws then applicable. Complying with these laws and requirements could cause us to incur substantial expenses or require us to alter or change our practices in a manner that could harm our business. Additionally, to the extent we are found to be not in compliance with these laws and requirements, we may be subject to fines, regulatory orders to suspend our operations or other regulatory and disciplinary sanctions, which could materially and adversely affect our business, financial condition and results of operations.</w:t>
      </w:r>
    </w:p>
    <w:p>
      <w:pPr>
        <w:spacing w:after="0" w:line="16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32406B"/>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For example, there is an increasing trend of jurisdictions requiring data localization, which may prohibit companies from storing data relating to resident individuals in data centers outside the relevant jurisdiction or, at a minimum, require a complete set of the data to be stored in data centers within the relevant jurisdiction. Because the interpretation and application of laws, regulations, standards and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28</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32406B"/>
        </w:rPr>
        <w:t>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data, where applicable) may potentially deter end users from consenting to certain uses of their personal data. In general, negative publicity of us or our industry regarding actual or perceived violations of our end users’ privacy-related rights, including fines and enforcement actions against us or other similarly placed businesses, also may impair users’ trust in our privacy practices and make them reluctant to give their consent to share their data with us.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w:t>
      </w:r>
    </w:p>
    <w:p>
      <w:pPr>
        <w:spacing w:after="0" w:line="17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32406B"/>
        </w:rPr>
        <w:t>With regard to our commercial arrangements, we and our counterparties, including business partners and external service providers, might be subject to contractual obligations regarding the processing of personal data.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32406B"/>
        </w:rPr>
        <w:t>While we strive to comply with our internal data privacy guidelines as well as all applicable data privacy and security laws and regulations, and contractual obligations in respect of personal data, there is no assurance that we are able to comply with these laws, regulations and contractual obligations in all respects. Any failure or perceived failure by us, external service providers or business partners to comply may result in proceedings or actions against us, including fines and penalties or enforcement orders (including orders to cease processing activities) being levied on us by government agencies or proceedings or actions against us by our business partners, customers or end-users, including class action privacy litigation in certain jurisdictions, and could damage our reputation and discourage current and future users from using our products and services, which could materially and adversely affect our business, financial condition and results of operations. In addition, compliance with applicable laws on data privacy requires substantial expenditure and resources, including to continually evaluate our policies and processes and adapt to new requirements that are or become applicable to us on a jurisdiction-by-jurisdiction basis, which would impose significant burdens and costs on our operations or may require us to alter our business practices. Concerns about the security of personal data also could lead to a decline in general Internet usage, which could result in a decrease in demand for our products and services and have a material and adverse effect on our business, financial condition and results of operations. Furthermore, if the local government authorities in our target markets require real-name registration for users of our platform, the growth of our customer and end-user bases may slow down and our business, financial condition and results of operations may be adversely affected.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32406B"/>
        </w:rPr>
        <w:t>The expansion of our international operations exposes us to significant regulatory, economic and political risks, the failure to handle which may adversely affect our business, results of operations and financial condition.</w:t>
      </w:r>
    </w:p>
    <w:p>
      <w:pPr>
        <w:spacing w:after="0" w:line="6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32406B"/>
        </w:rPr>
        <w:t>Expansion of our operations and customer base worldwide is essential to our growth strategy. While we conduct our business primarily in China, we operate internationally with local offices in the U.S., India, Germany, and Japan, among other locations.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32406B"/>
        </w:rPr>
        <w:t>We expect that our international activities will continue to grow over the foreseeable future as we continue to pursue opportunities in existing and new markets, which will require significant management attention and financial resources worldwide. In connection with such expansion, we may face difficulties including costs associated with varying seasonality patterns, potential adverse movement of currency exchange rates, longer payment cycle difficulties in collecting accounts receivable in some countries, tariffs and trade barriers, a variety of regulatory or contractual limitations on our ability to operate, adverse tax events, reduced protection of intellectual property rights in some countries, political risks and a geographically and culturally diverse workforce and customer base. Failure to overcome any of these difficulties could harm our business.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addition, we will face risks in doing business internationally that could adversely affect our business, including:</w:t>
      </w:r>
    </w:p>
    <w:p>
      <w:pPr>
        <w:spacing w:after="0" w:line="131" w:lineRule="exact"/>
        <w:rPr>
          <w:sz w:val="20"/>
          <w:szCs w:val="20"/>
          <w:color w:val="auto"/>
        </w:rPr>
      </w:pPr>
    </w:p>
    <w:p>
      <w:pPr>
        <w:ind w:left="1080" w:right="200" w:hanging="532"/>
        <w:spacing w:after="0" w:line="277" w:lineRule="auto"/>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the difficulty of managing and staffing international operations and the increased operations, travel, infrastructure and legal compliance costs associated with numerous international locations;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challenges to our corporate culture resulting from a dispersed workforce;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our ability to effectively price our products in competitive international markets;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potentially greater difficulty collecting accounts receivable and longer payment cycles;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the need to adapt and localize our products and services for specific countries;</w:t>
      </w:r>
    </w:p>
    <w:p>
      <w:pPr>
        <w:spacing w:after="0" w:line="130" w:lineRule="exact"/>
        <w:rPr>
          <w:rFonts w:ascii="Arial" w:cs="Arial" w:eastAsia="Arial" w:hAnsi="Arial"/>
          <w:sz w:val="18"/>
          <w:szCs w:val="18"/>
          <w:color w:val="32406B"/>
        </w:rPr>
      </w:pPr>
    </w:p>
    <w:p>
      <w:pPr>
        <w:ind w:left="1080" w:right="340" w:hanging="532"/>
        <w:spacing w:after="0" w:line="277" w:lineRule="auto"/>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the effect of differing governmental responses to the COVID-19 pandemic and the continuing impact of the pandemic on individuals, businesses and economies in various foreign jurisdictions;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difficulties in understanding and complying with local laws, regulations and customs in foreign jurisdictions;</w:t>
      </w:r>
    </w:p>
    <w:p>
      <w:pPr>
        <w:spacing w:after="0" w:line="130" w:lineRule="exact"/>
        <w:rPr>
          <w:rFonts w:ascii="Arial" w:cs="Arial" w:eastAsia="Arial" w:hAnsi="Arial"/>
          <w:sz w:val="18"/>
          <w:szCs w:val="18"/>
          <w:color w:val="32406B"/>
        </w:rPr>
      </w:pPr>
    </w:p>
    <w:p>
      <w:pPr>
        <w:ind w:left="1080" w:right="120" w:hanging="532"/>
        <w:spacing w:after="0" w:line="263" w:lineRule="auto"/>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difficulties with differing technical and environmental standards, privacy, cybersecurity, data protection and telecommunications regulations and certification requirements across multiple jurisdictions, which could prevent customers from deploying our products and services or limit their usage;</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difficulties in understanding, and adapt our products and services to, local end-users’ habits and preferences;</w:t>
      </w:r>
    </w:p>
    <w:p>
      <w:pPr>
        <w:spacing w:after="0" w:line="130" w:lineRule="exact"/>
        <w:rPr>
          <w:rFonts w:ascii="Arial" w:cs="Arial" w:eastAsia="Arial" w:hAnsi="Arial"/>
          <w:sz w:val="18"/>
          <w:szCs w:val="18"/>
          <w:color w:val="32406B"/>
        </w:rPr>
      </w:pPr>
    </w:p>
    <w:p>
      <w:pPr>
        <w:ind w:left="1080" w:right="80" w:hanging="532"/>
        <w:spacing w:after="0" w:line="263" w:lineRule="auto"/>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the complexities of complying with current and future export controls and economic sanctions administered by the Department of Commerce Bureau of Industry and Security and the Treasury Department’s Office of Foreign Assets Control and other relevant sanctions authorities;</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tariffs and other non-tariff trade barriers, such as quotas and local content rules;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more limited protection for intellectual property rights in some countries;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adverse tax consequences;</w:t>
      </w:r>
    </w:p>
    <w:p>
      <w:pPr>
        <w:spacing w:after="0" w:line="130" w:lineRule="exact"/>
        <w:rPr>
          <w:rFonts w:ascii="Arial" w:cs="Arial" w:eastAsia="Arial" w:hAnsi="Arial"/>
          <w:sz w:val="18"/>
          <w:szCs w:val="18"/>
          <w:color w:val="32406B"/>
        </w:rPr>
      </w:pPr>
    </w:p>
    <w:p>
      <w:pPr>
        <w:ind w:left="1080" w:right="20" w:hanging="532"/>
        <w:spacing w:after="0" w:line="263" w:lineRule="auto"/>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fluctuations in currency exchange rates, which could increase the price of our products and services in certain markets, increase the expenses of our international operations and expose us to foreign currency exchange rate risk or the cost and risk of hedging transaction if we choose to enter into such transactions in the future;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30</w:t>
      </w:r>
    </w:p>
    <w:p>
      <w:pPr>
        <w:sectPr>
          <w:pgSz w:w="11900" w:h="16838" w:orient="portrait"/>
          <w:cols w:equalWidth="0" w:num="1">
            <w:col w:w="11040"/>
          </w:cols>
          <w:pgMar w:left="320" w:top="459"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currency control regulations, which might restrict or prohibit our conversion of other currencies into RMB and/or U.S. dollars; and</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restrictions on the transfer of funds.</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32406B"/>
        </w:rPr>
        <w:t>Our failure to manage any of these risks successfully could harm our international operations, and adversely affect our business, operating results and financial condition. In some cases, compliance with the laws and regulations of one country could violate the laws and regulations of another country. As our global operations evolve, we cannot assure you that we are able to fully comply with the legal requirements of each jurisdiction and successfully adapt our business models to local market conditions. Due to the complexity involved in our international business expansion, we cannot assure you that we are or will be in compliance with all local laws.</w:t>
      </w:r>
    </w:p>
    <w:p>
      <w:pPr>
        <w:spacing w:after="0" w:line="29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32406B"/>
        </w:rPr>
        <w:t>The COVID-19 pandemic has disrupted our and our business partners’ operations and it, or any future health epidemic or other adverse public health developments, may continue to do so.</w:t>
      </w:r>
    </w:p>
    <w:p>
      <w:pPr>
        <w:spacing w:after="0" w:line="6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32406B"/>
        </w:rPr>
        <w:t>On January 30, 2020, the International Health Regulations Emergency Committee of the World Health Organization declared the novel coronavirus disease 2019, or COVID-19, outbreak a public health emergency of international concern, and on March 11, 2020 the World Health Organization declared the global COVID-19 outbreak a pandemic. The COVID-19 virus continues to spread rapidly worldwide, including where our customers, suppliers and end users are located and where we have business operations. During the COVID-19 pandemic, government authorities around the world have ordered businesses to close and people to remain at home while imposing significant restrictions on traveling and social gatherings. Our customers and suppliers are also affected by COVID-19 related restrictions and closures. These measures have impacted, and may further impact, our workforce and operations, the operations of our customers and suppliers and other business partners. There continues to be significant uncertainties associated with the COVID-19 pandemic, including with respect to the ultimate spread of the virus, the severity of the disease, the duration of the outbreak, the possibility of successive waves of outbreaks, further actions that may be taken by governmental authorities around the world to contain the virus or to treat its impact, and the scope and length of the resulting economic downturn. The economic downturn due to COVID-19 may adversely affect our customers’ ability to pay and customer demand for and end user usage of our products and services, which would adversely affect our operating results and financial condition.</w:t>
      </w:r>
    </w:p>
    <w:p>
      <w:pPr>
        <w:spacing w:after="0" w:line="17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32406B"/>
        </w:rPr>
        <w:t>Failure to contain the further spread of COVID-19 will prolong and exacerbate the general economic downturn. 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may reduce our ability to access capital or our customers’ ability to pay us for past or future purchases, which could negatively affect our liquidity. The COVID-19 pandemic could also reduce the demand for our products and services. In the first quarter of 2020, we experienced a decline in demand for IoT PaaS due to reduced production capacity of OEM customers as COVID-19 containment measures began to be widely introduced across China where substantially all of them were located. Additionally, throughout the first three quarters of 2020, the travel restrictions and social distancing guidelines imposed by governments globally have reduced the amount of international travels and in-person meetings, which in turn limited our ability to engage in in-person marketing with brands, particularly those brands based in the U.S. and Europe. Although our number of deployments largely returned to pre-COVID levels in the second quarter of 2020 as our OEM customers began to resume operations and clear the backlogs since restrictions in China continued to be eased and that we recorded a significant growth of our number of deployments in the third and fourth quarters of 2020 both consecutively and as compared to the same period in 2019, there is no guarantee that the prolonged pandemic will not affect the demands for our products and services in the future. In addition, a recession or financial market correction resulting from the spread of COVID-19 could decrease overall technology spending, adversely affecting demand for our products and services, our business and the value of the ADSs.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31</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4" w:lineRule="auto"/>
        <w:rPr>
          <w:sz w:val="20"/>
          <w:szCs w:val="20"/>
          <w:color w:val="auto"/>
        </w:rPr>
      </w:pPr>
      <w:r>
        <w:rPr>
          <w:rFonts w:ascii="Arial" w:cs="Arial" w:eastAsia="Arial" w:hAnsi="Arial"/>
          <w:sz w:val="17"/>
          <w:szCs w:val="17"/>
          <w:color w:val="32406B"/>
        </w:rPr>
        <w:t>The global pandemic of COVID-19 continues to rapidly evolve, and we will continue to monitor the COVID-19 situation closely. The ultimate impact of the COVID-19 pandemic or a similar health epidemic is highly uncertain and subject to change. The extent of the impact</w:t>
      </w:r>
    </w:p>
    <w:p>
      <w:pPr>
        <w:ind w:left="120" w:right="20"/>
        <w:spacing w:after="0" w:line="290" w:lineRule="auto"/>
        <w:rPr>
          <w:sz w:val="20"/>
          <w:szCs w:val="20"/>
          <w:color w:val="auto"/>
        </w:rPr>
      </w:pPr>
      <w:r>
        <w:rPr>
          <w:rFonts w:ascii="Arial" w:cs="Arial" w:eastAsia="Arial" w:hAnsi="Arial"/>
          <w:sz w:val="16"/>
          <w:szCs w:val="16"/>
          <w:color w:val="32406B"/>
        </w:rPr>
        <w:t>of the COVID-19 pandemic on our operational and financial performance, including our ability to execute our business strategies and initiatives, will depend on future developments, including, but not limited to, the duration and spread of the pandemic, its severity, the actions to contain the disease or treat its impact, related restrictions on travel, and the duration, timing and severity of the impact on customer spending, including any recession resulting from the pandemic, all of which are uncertain and cannot be predicted. To the extent the COVID-19 pandemic adversely affects our business and financial results, it may also heighten other risks described in this “Risk Factors” section. For additional information of the impact of COVID-19 on our business, see “Management’s Discussion and Analysis of Financial Condition and Results of Operations—Impact of COVID-19.”</w:t>
      </w:r>
    </w:p>
    <w:p>
      <w:pPr>
        <w:spacing w:after="0" w:line="272"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32406B"/>
        </w:rPr>
        <w:t>If we fail to manage the operation of our platform and infrastructure, our customers and end users may experience service outages and delays in the deployment of our products and services.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32406B"/>
        </w:rPr>
        <w:t>We have experienced significant growth in the number of customers and end users and the amounts of data that our cloud platform supports. We seek to maintain sufficient excess capacity on our cloud platform to meet the needs of all of our customers and end users. We also seek to maintain excess capacity to facilitate the rapid provision of new customer deployments and the expansion of existing customer deployments. In addition, we need to properly manage our technological operations infrastructure and cloud platform, and to respond to security threats, cyber-attacks and performance and reliability problems that may arise from time to time, in order to support version control, changes in hardware and software parameters and the evolution of our products and services. However, the provision of new hosting infrastructure requires adequate lead-time. We have experienced, and may in the future experience, system disruptions, outages and other performance problems. These types of problems may be caused by a variety of factors, including infrastructure changes, human or software errors, viruses, security attacks, fraud, spikes in customer and end user usage and denial of service issues. In some instances, we may not be able to identify the cause or causes of these performance problems within an acceptable period of time. Further, if our contractual and other business relationships with our cloud infrastructure providers are terminated, suspended, or suffer a material change to which we are unable to adapt, such as the elimination of services or features on which we depend, we could be unable to provide our platform and could experience significant delays and incur additional expense in transitioning customers to a different cloud infrastructure provider. Any difficulties these providers face, including the potential of certain network traffic receiving priority over other traffic (i.e., lack of net neutrality), may adversely affect our business, and we exercise little control over these providers, which increases our vulnerability to problems with the services they provide. Any disruptions, outages, defects, and other performance and quality problems with our platform or with our products and services and internet infrastructure on which they rely, or any material change in our contractual and other business relationships with our cloud infrastructure providers,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7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32406B"/>
        </w:rPr>
        <w:t>Defects, errors or any other problems associated with our products and services could diminish demand for our products or services, harm our business and results of operations and subject us to liability.</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32406B"/>
        </w:rPr>
        <w:t>Our customers use our products and services for important aspects of their businesses, and any errors, defects or disruptions to our products and services and any other performance problems with our products and services could damage our customers’ businesses and, in turn, hurt our brand and reputation. We provide regular updates to our products and services, which have in the past contained, and may in the future contain, undetected errors, failures, vulnerabilities and bugs when first introduced or released. Real or perceived errors, failures, bugs or security vulnerabilities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As a result, our reputation and our brand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32406B"/>
        </w:rPr>
        <w:t>could be harmed, and our business, operating results and financial condition may be adversely affected. Moreover, certain edge capabilities that we offer are embedded in modules manufactured by certain third-party suppliers; we also use third-party suppliers to manufacture the finished smart devices for our smart device distribution customers. Such modules and finished smart devices may contain defects, errors or other product issues, which may negatively impact the performance of our platform, our products and services, and Tuya-powered smart devices, damage our reputation, harm our ability to attract new and existing customers, and incur significant support, repair or replacement costs even if we can be reimbursed from the third-party suppliers.</w:t>
      </w:r>
    </w:p>
    <w:p>
      <w:pPr>
        <w:spacing w:after="0" w:line="300"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32406B"/>
        </w:rPr>
        <w:t>We generate a significant portion of our revenues from a limited number of major customers and any loss of business from these customers could have a negative impact on our revenues and harm our business.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32406B"/>
        </w:rPr>
        <w:t>We derive a significant portion of our revenues from a limited number of major customers. Our five largest customers in 2019 and 2020 accounted for approximately 20% of our revenues. Our ability to maintain close relationships with major customers is essential to the success of our business. As we have cultivated a large and diversified customer base across different industry verticals, none of our customers is material to our total revenue. However, the purchase orders placed by specific customers may vary from period to period, and we typically do not have long-term purchase commitments from customers not enrolled in our membership program. As a result, most of our customers could reduce or cease their use of our products and services at any time without any penalty or termination charges. A major customer in one year may not provide the same level of revenues for us in any subsequent year. In addition, reliance on any individual customer for a significant portion of our revenues may give that customer a degree of pricing leverage when negotiating contracts and terms of service with us.</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Many factors not within our control could cause the loss of, or reduction in, business or revenues from any customer, and these factors are not predictable. These factors include, among others, pricing pressure from competitors, a change in a customer’s business strategy, or failure of a module supplier to develop competitive products. Our customers may choose to pursue alternative technologies and develop alternative products in addition to, or in lieu of, our products, either on their own or in collaboration with others, including our competitors. The loss of any major customer, or a significant decrease in the volume of customer demand or the price at which we sell our products to customers, could materially adversely affect our financial condition and results of operations.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We have a history of net loss and may not be able to achieve or sustain profitability in the future.</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32406B"/>
        </w:rPr>
        <w:t>We have experienced net loss in each period since inception. We generated net loss of US$70.5 million and US$66.9 million in 2019 and 2020, respectively. As of December 31, 2020, we had an accumulated deficit of US$192.5 million. We intend to continue to invest significantly in enhancing our platform and expanding our sales and marketing teams. We will also incur increased general and administrative expenses associated with our growth, including costs related to internal systems and operating as a public company. We may not be able to increase our revenue enough to offset the increase in operating expenses resulting from these investments. If we are unable to achieve and sustain profitability, or if we are unable to achieve the revenue growth that we expect from these investments, the value of our business and stock may decrease.</w:t>
      </w:r>
    </w:p>
    <w:p>
      <w:pPr>
        <w:spacing w:after="0" w:line="16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32406B"/>
        </w:rPr>
        <w:t>Additionally, we recorded net cash operating outflow of US$49.2 million for 2020. If we continue to experience net cash operating outflow in the future, our business, liquidity, financial condition and results of operations may be materially and adversely affected. Although we have sufficient working capital for at least the next twelve months, there is no assurance that we will always generate sufficient net income or operating cash flows to meet our working capital requirements and repay our liabilities as they become due, due to a variety of factors. For actions we intend to take to finance our future working capital requirements and capital expenditures, see “Management’s Discussion and Analysis of Financial Condition and Results of Operations—Liquidity and Capital Resources.” There can be no assurance that we will be able to successfully take any of these actions in a</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32406B"/>
        </w:rPr>
        <w:t>timely manner, including prudently managing our working capital, or raising additional equity or debt financing on terms that are acceptable to us. Our failure to take these actions as and when necessary could materially adversely affect our liquidity, results of operations, financial condition and ability to operate.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32406B"/>
        </w:rPr>
        <w:t>We cannot guarantee that our future monetization strategies will be successfully implemented or generate sustainable revenues and profit.</w:t>
      </w:r>
    </w:p>
    <w:p>
      <w:pPr>
        <w:spacing w:after="0" w:line="14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32406B"/>
        </w:rPr>
        <w:t>We have developed a diversified revenue model and plan to explore additional opportunities to monetize our customer base and technology by, for example, promoting additional value-added services to end users to generate more subscription fees. If these efforts fail to achieve our anticipated results, we may not be able to increase or maintain our revenue growth. Specifically, in order to increase the number of our customers and end users and their levels of spending, we will need to address a number of challenges, including providing consistent quality products and services; continuing to innovate and stay ahead of our competitors; and improving the effectiveness and efficiency of our sales and marketing efforts. If we fail to address any of these challenges, we may not be successful in increasing the number of our customers and end users and their expenditures with us, which could have a material adverse impact on our business, financial condition and results of operations.</w:t>
      </w:r>
    </w:p>
    <w:p>
      <w:pPr>
        <w:spacing w:after="0" w:line="285"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32406B"/>
        </w:rPr>
        <w:t>Our results may fluctuate from period to period, and if we fail to meet securities analysts’ and investors’ expectations, the trading price of the ADSs and the value of your investment could decline substantially.</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32406B"/>
        </w:rPr>
        <w:t>Our operating results have fluctuated from period to period and will continue to vary in the future as a result of a variety of factors, many of which are outside of our control and are unpredictable. For example, our revenue model is based in large part on end user adoption and usage of our customers’ applications, which can constrain our ability to forecast revenue. If operating results for any particular period fall below securities analysts’ and investors’ expectations, then the trading price of the ADSs could decline substantially. Some factors that may cause our operating results to fluctuate from period to period include:</w:t>
      </w:r>
    </w:p>
    <w:p>
      <w:pPr>
        <w:spacing w:after="0" w:line="9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our ability to attract, retain and increase revenue from customers and end users;</w:t>
      </w:r>
    </w:p>
    <w:p>
      <w:pPr>
        <w:spacing w:after="0" w:line="130" w:lineRule="exact"/>
        <w:rPr>
          <w:rFonts w:ascii="Arial" w:cs="Arial" w:eastAsia="Arial" w:hAnsi="Arial"/>
          <w:sz w:val="18"/>
          <w:szCs w:val="18"/>
          <w:color w:val="32406B"/>
        </w:rPr>
      </w:pPr>
    </w:p>
    <w:p>
      <w:pPr>
        <w:ind w:left="1080" w:right="18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market acceptance of our products and services and our ability to introduce new products and services and enhance existing products and services;</w:t>
      </w:r>
    </w:p>
    <w:p>
      <w:pPr>
        <w:spacing w:after="0" w:line="75" w:lineRule="exact"/>
        <w:rPr>
          <w:rFonts w:ascii="Arial" w:cs="Arial" w:eastAsia="Arial" w:hAnsi="Arial"/>
          <w:sz w:val="18"/>
          <w:szCs w:val="18"/>
          <w:color w:val="32406B"/>
        </w:rPr>
      </w:pPr>
    </w:p>
    <w:p>
      <w:pPr>
        <w:ind w:left="1080" w:right="14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competition and the actions of our competitors, including pricing changes and the introduction of new products and services, services and geographies;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6"/>
        </w:numPr>
        <w:rPr>
          <w:rFonts w:ascii="Arial" w:cs="Arial" w:eastAsia="Arial" w:hAnsi="Arial"/>
          <w:sz w:val="16"/>
          <w:szCs w:val="16"/>
          <w:color w:val="32406B"/>
        </w:rPr>
      </w:pPr>
      <w:r>
        <w:rPr>
          <w:rFonts w:ascii="Arial" w:cs="Arial" w:eastAsia="Arial" w:hAnsi="Arial"/>
          <w:sz w:val="16"/>
          <w:szCs w:val="16"/>
          <w:color w:val="32406B"/>
        </w:rPr>
        <w:t>our ability to control costs and operating expenses, including the fees that we pay cloud infrastructure providers and module suppliers;</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changes in our pricing as a result of our negotiations with our larger customers or our optimization efforts or otherwise;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rate of expansion and productivity of our sales force;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change in the mix of products and services that our customers and end users use;</w:t>
      </w:r>
    </w:p>
    <w:p>
      <w:pPr>
        <w:spacing w:after="0" w:line="130"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changes in end user and customer demand as end users increase and decrease their demands for smart home products due to the imposition or easing of stay-at- home, travel and other government mandates or changes in end user or customer demand for our products and services in response to the COVID-19 pandemic;</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expansion of our business, particularly in international markets;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changes in foreign currency exchange rates;</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changes in laws, regulations or regulatory enforcement, in China, the United States or other countries, that impact our ability to market, sell or deliver our products;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34</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532"/>
        <w:spacing w:after="0" w:line="277" w:lineRule="auto"/>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significant security breaches of, technical difficulties with, or interruptions to, the delivery and use of our products and services on our platform;</w:t>
      </w:r>
    </w:p>
    <w:p>
      <w:pPr>
        <w:spacing w:after="0" w:line="75" w:lineRule="exact"/>
        <w:rPr>
          <w:rFonts w:ascii="Arial" w:cs="Arial" w:eastAsia="Arial" w:hAnsi="Arial"/>
          <w:sz w:val="18"/>
          <w:szCs w:val="18"/>
          <w:color w:val="32406B"/>
        </w:rPr>
      </w:pPr>
    </w:p>
    <w:p>
      <w:pPr>
        <w:ind w:left="1080" w:right="200" w:hanging="532"/>
        <w:spacing w:after="0" w:line="263" w:lineRule="auto"/>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general economic and political conditions that may adversely affect a prospective customer’s ability or willingness to adopt our products and services, delay a prospective customer’s adoption decision, reduce the revenue that we generate from the use of our products and services or impact customer retention;</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extraordinary expenses such as litigation or other dispute-related settlement payments;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sales tax and other tax determinations by authorities in the jurisdictions in which we conduct business;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the impact of new accounting pronouncements;</w:t>
      </w:r>
    </w:p>
    <w:p>
      <w:pPr>
        <w:spacing w:after="0" w:line="130" w:lineRule="exact"/>
        <w:rPr>
          <w:rFonts w:ascii="Arial" w:cs="Arial" w:eastAsia="Arial" w:hAnsi="Arial"/>
          <w:sz w:val="18"/>
          <w:szCs w:val="18"/>
          <w:color w:val="32406B"/>
        </w:rPr>
      </w:pPr>
    </w:p>
    <w:p>
      <w:pPr>
        <w:ind w:left="1080" w:right="120" w:hanging="532"/>
        <w:spacing w:after="0" w:line="277" w:lineRule="auto"/>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expenses incurred in connection with mergers, acquisitions or other strategic transactions and integrating acquired business, technologies, services, products and other assets;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fluctuations in share-based compensation expense.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32406B"/>
        </w:rPr>
        <w:t>The occurrence of one or more of the foregoing and other factors may cause our operating results to vary significantly. As such, we believe that period-to-period comparisons of our operating results may not be meaningful and should not be relied upon as an indication of future performance. If we fail to meet or exceed the expectations of investors or securities analysts, then the trading price of the ADSs could fall substantially, and we could face costly lawsuits, including securities class action suits.</w:t>
      </w:r>
    </w:p>
    <w:p>
      <w:pPr>
        <w:spacing w:after="0" w:line="295"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32406B"/>
        </w:rPr>
        <w:t>Failure to effectively develop and expand our marketing and sales capabilities could harm our ability to increase our customer base and achieve broader market acceptance of our products and services.</w:t>
      </w:r>
    </w:p>
    <w:p>
      <w:pPr>
        <w:spacing w:after="0" w:line="6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32406B"/>
        </w:rPr>
        <w:t>Historically, we have relied on the adoption of our products and services by developers through our self-service portal as well as more targeted sales efforts. Our ability to further increase our customer base and achieve broader market acceptance of our platform will significantly depend on our ability to expand our marketing and sales operations. We plan to continue expanding our sales force, both domestically and internationally. We also plan to dedicate significant resources to sales and marketing programs. All of these efforts will require us to invest significant financial and other resources and if they fail to attract additional customers and end users our business will be harmed.</w:t>
      </w:r>
    </w:p>
    <w:p>
      <w:pPr>
        <w:spacing w:after="0" w:line="1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32406B"/>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Our new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products and platform, and our business model. If we are unable to hire and train sufficient numbers of effective sales personnel, our sales personnel do not reach significant levels of productivity in a timely manner, or our sales personnel are not successful in acquiring new customers and end users or expanding usage by existing customers and end users, our business will be harmed.</w:t>
      </w:r>
    </w:p>
    <w:p>
      <w:pPr>
        <w:spacing w:after="0" w:line="1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32406B"/>
        </w:rPr>
        <w:t>We believe that continued growth in our business is also dependent upon identifying, developing and maintaining strategic relationships with additional retail channels that can drive substantial revenue. If we fail to identify additional channel partners in a timely and cost-effective manner, or at all, or are unable to assist our current and future channel partners in independently selling and deploying our products and services, then our business, operating results, and financial condition could be adversely affected.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32406B"/>
        </w:rPr>
        <w:t>Any failure to offer high-quality developer and customer support may adversely affect our relationships with our developers and customers.</w:t>
      </w:r>
    </w:p>
    <w:p>
      <w:pPr>
        <w:spacing w:after="0" w:line="15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32406B"/>
        </w:rPr>
        <w:t>High quality, ongoing developer and customer support are critical to the successful marketing, sale and adoption of our products and services. Many of our large customers depend on our customer support team to assist them in deploying our products and services effectively, help them resolve post-deployment issues quickly and provide ongoing support. As we grow our developer and customer base, we will need to further invest in and expand our developer and customer support teams, which could strain our resources and reduce profit margins. If we do not devote sufficient resources or otherwise do not help our developers and customers adopt our products and services, quickly resolve any post-implementation matters, and provide effective ongoing developer and customer support and training, our ability to expand sales to existing and future developers and customers and our reputation would be adversely affected. Our support teams will face additional challenges associated with our international operations, including those associated with delivering support and documentation in multiple languages. We might also face additional difficulties associated with providing customer support and warranties to our smart device distribution customers as we may not be able to control customer service terms of third party suppliers. Increased demand for developer and customer support, without corresponding revenue, could increase costs and adversely affect our business, operating results and financial condition. Any failure to maintain high-quality developer and customer support, or a market perception that we do not maintain high-quality developer and customer support, could adversely affect our reputation, business, operating results and financial condition.</w:t>
      </w:r>
    </w:p>
    <w:p>
      <w:pPr>
        <w:spacing w:after="0" w:line="276"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b w:val="1"/>
          <w:bCs w:val="1"/>
          <w:i w:val="1"/>
          <w:iCs w:val="1"/>
          <w:color w:val="32406B"/>
        </w:rPr>
        <w:t>Our business depends on our strong reputation and the value of Tuya brand. If we are unable to maintain and enhance our Tuya brand and increase market awareness of Tuya and its products and services, our business, operating results and financial condition may be adversely affected.</w:t>
      </w:r>
    </w:p>
    <w:p>
      <w:pPr>
        <w:spacing w:after="0" w:line="7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32406B"/>
        </w:rPr>
        <w:t>We must maintain and enhance the “Tuya” brand identity and increase market awareness of Tuya-powered smart devices generally and our products and services. The successful promotion of our brand will depend on our efforts to achieve widespread acceptance of our platform and products and services, attract and retain customers and our ability to maintain our current market leadership and successfully differentiate our products and services from competitors. These efforts require substantial expenditures, and we anticipate that they will increase as our market becomes more competitive and as we expand into new markets. These investments in brand promotion and thought leadership may not yield increased revenue. To the extent they do, the resulting revenue still may not be enough to offset the increased expenses we incur. In addition, independent industry analysts often provide reviews of our products and competing products and services, which may significantly influence the perception of our products and services. If these reviews are negative or not as strong as reviews of our competitors’ products and services, our brand may be harmed. Adverse publicity (whether or not justified) relating to events or activities attributed to us, members of our workforce, agents, or third parties we rely on, may tarnish our reputation and reduce the value of our brand. Our brand value also depends on our ability to provide secure and trustworthy products and services as well as our ability to protect and use end users’ data in a manner that meets their expectations. In addition, a security incident which results in unauthorized disclosure of our end users’ sensitive data could cause material reputational harm. Damage to our reputation and loss of brand equity may reduce demand for our products and services and thus have an adverse effect on our future financial results, as well as require additional resources to rebuild our reputation and restore the value of the brands and could also reduce the trading price of the ADSs.</w:t>
      </w:r>
    </w:p>
    <w:p>
      <w:pPr>
        <w:spacing w:after="0" w:line="27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32406B"/>
        </w:rPr>
        <w:t>We could incur substantial costs in protecting or defending our intellectual property rights, and any failure to protect our intellectual property could adversely affect our business, operating results and financial condition.</w:t>
      </w:r>
    </w:p>
    <w:p>
      <w:pPr>
        <w:spacing w:after="0" w:line="6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32406B"/>
        </w:rPr>
        <w:t>Our success depends, in part, on our ability to protect our brand, trade secrets, trademarks, patents, domain names, copyrights and proprietary methods and technologies, whether registered or not, that we develop under patent and other intellectual property laws of China, the United States and other jurisdictions, so that we can prevent others from using our inventions and proprietary information. We currently rely on patents, trademarks,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36</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32406B"/>
        </w:rPr>
        <w:t>copyrights and trade secret law to protect our intellectual property rights. However, we cannot assure you that any of our intellectual property rights will not be challenged, invalidated or circumvented, or that our intellectual property will be sufficient to provide us with competitive advantages. In addition, we may be subject to allegation of infringement of other parties’ proprietary rights, and other parties may misappropriate our intellectual property rights, which would cause us to suffer economic or reputational damages. Because of the rapid pace of technological change, we cannot assure you that all of our proprietary technologies and similar intellectual property rights can be patented in a timely or cost-effective manner, or at all.</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32406B"/>
        </w:rPr>
        <w:t>We maintain and facilitate certain technical measures and access control mechanisms internally to ensure secure access to our proprietary information by our employees and consultants. We also maintain internal policies requiring our employees and consultants to enter into confidentiality agreements to control access to our proprietary information. However, if our employees and consultants do not fully comply with these internal policies, such policies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32406B"/>
        </w:rPr>
        <w:t>In addition, the laws of some countries do not protect intellectual property and other proprietary rights to the same extent as the laws of the United States.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To the extent we expand our international activities, our exposure to unauthorized copying, transfer and use of our proprietary technology or information may increase.</w:t>
      </w:r>
    </w:p>
    <w:p>
      <w:pPr>
        <w:spacing w:after="0" w:line="17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32406B"/>
        </w:rPr>
        <w:t>Preventing any unauthorized use of our intellectual property is difficult and costly and the steps we take may be inadequate to prevent the misappropriation of our intellectual property.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operating results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trade secrets, copyrights, trademarks or other intellectual property rights could be challenged by others or invalidated through administrative process or litigation. We can provide no assurance that we will prevail in such litigation. In addition, our proprietary methods and technologies that are regarded as trade secrets may be leaked or otherwise become available to, or be independently discovered by, our competitors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To the extent that our employees or consultants use intellectual property owned by others in their work for us, disputes may arise as to the rights in related know-how and inventions.</w:t>
      </w:r>
    </w:p>
    <w:p>
      <w:pPr>
        <w:spacing w:after="0" w:line="17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32406B"/>
        </w:rPr>
        <w:t>There can be no assurance that our particular ways and means of protecting our intellectual property and proprietary rights, including business decisions about when to file patent applications and trademark applications, will be adequate to protect our business or that our competitors will not independently develop similar technology. We could be required to spend significant resources to monitor and protect our intellectual property rights. If we fail to protect and enforce our intellectual property and proprietary rights adequately, our competitors might gain access to our technology and our business, operating results and financial condition could be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320" w:lineRule="auto"/>
        <w:rPr>
          <w:sz w:val="20"/>
          <w:szCs w:val="20"/>
          <w:color w:val="auto"/>
        </w:rPr>
      </w:pPr>
      <w:r>
        <w:rPr>
          <w:rFonts w:ascii="Arial" w:cs="Arial" w:eastAsia="Arial" w:hAnsi="Arial"/>
          <w:sz w:val="15"/>
          <w:szCs w:val="15"/>
          <w:b w:val="1"/>
          <w:bCs w:val="1"/>
          <w:i w:val="1"/>
          <w:iCs w:val="1"/>
          <w:color w:val="32406B"/>
        </w:rPr>
        <w:t>Unauthorized or improper disclosures of personal data, cyber-attacks or other security incidents or data breaches that affect our networks or systems, or those of our cloud service providers or our customers, whether inadvertent or purposeful, could degrade our ability to conduct our business, compromise the integrity of our products and services, platform and data, result in significant data losses and the theft of our intellectual property, damage our reputation, expose us to liability to third parties and require us to incur significant additional costs to maintain the security of our networks and data which could adversely affect our business, financial condition and results of operations.</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We depend significantly on our technology infrastructure, IT systems, data and other equipment and systems to conduct virtually all of our business operations, ranging from our internal operations and research and development activities to our marketing and sales efforts and communications with our customers, end users, suppliers and business partners. In addition, our products and services collect and store data of customers and end users, some of which may involve sensitive information, including personal data, trade secrets and other proprietary information. Internal or external individuals or entities may attempt to penetrate our network security, or that of our platform, and to disrupt or cause harm to our business operations, including by sabotaging or misappropriating our personal or proprietary information or that of our customers, end users, employees, suppliers and business partners or to cause interruptions of our products and services and platform. Because the vulnerabilities and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w:t>
      </w:r>
    </w:p>
    <w:p>
      <w:pPr>
        <w:spacing w:after="0" w:line="18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32406B"/>
        </w:rPr>
        <w:t>While we take reasonable measures to protect the security of, and against unauthorized access to, our systems, as well as the security of personal data and proprietary information, it is possible that our security controls and other security practices we follow may not prevent the improper access to or disclosure of personal data or proprietary information. We also rely on systems provided by third parties, including our clients, which may also suffer security breaches or unauthorized access to or disclosure of personal data or proprietary information. Additionally, we depend on our employees and contractors to appropriately handle confidential and sensitive data, including customer data,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 providers could result in loss of confidential or proprietary information or personal data, damage to our reputation, loss of customers and end users, litigation, regulatory investigations, fines, penalties and other liabilities. Accordingly, if our cybersecurity measures or those of our customers fail to protect against unauthorized access, attacks (which may include sophisticated cyberattacks), the compromise or mishandling of data, or other misconduct or malfeasance, including by computer hackers, employees, contractors, vendors, customers and business partners, as well as software bugs, human error or technical malfunctions, then our reputation, business, operating results and financial condition could be adversely affected. Cyberattacks and other security incidents aimed at our products could lead to third-party claims that our product failures have caused damage to our customers or end users, and this risk is enhanced by the increasingly connected nature of our products.</w:t>
      </w:r>
    </w:p>
    <w:p>
      <w:pPr>
        <w:spacing w:after="0" w:line="184"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32406B"/>
        </w:rPr>
        <w:t>Cybersecurity threats and attacks that we may be subject to may take a variety of forms ranging from individuals or groups of hackers to sophisticated organizations, including state-sponsored actors. Cybersecurity risks range from viruses, worms, and other malicious software programs, including phishing attacks, to “mega breaches” targeted against cloud services and other hosted software, any of which can result in disclosure of confidential information and intellectual property, defective products, production downtimes, and compromised data, including personal data. As the techniques used to obtain unauthorized access or sabotage systems change frequently and generally are not identified until they are launched against a target, we may be unable to anticipate these attacks or to implement adequate preventative measures. There has been an increase in the frequency and sophistication of cyber and other security threats we face, and our customers are increasingly requiring cyber and other security protections and standards in our products, and we may incur additional costs to comply with such demands.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Any unauthorized access, acquisition, use, or destruction of information we collect, store, transmit, or otherwise process, the unavailability of such information, or other disruptions of our ability to provide solutions to our clients, regardless of whether it originates or occurs on our systems or those of third party service providers or clients, could expose us to significant liability under our contracts, regulatory actions, litigation, investigations, remediation obligations, damage to our reputation and brand, theft of intellectual property, supplemental disclosure obligations, loss of customer, consumer, and partner confidence in the security of our applications, destruction of information, indemnity obligations, impairment to our business, and resulting fees, costs, expenses, loss of revenues, and other potential liabilities and harms to our business. In addition, if a high profile security breach occurs within our industry, our customers and potential customers may lose trust in the security of our systems and information even if we are not directly affected.</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Many statutory requirements, both in China, the U.S., as well as in other jurisdictions in which we operate, include obligations for companies to notify individuals of security breaches involving certain personal data, which could result from breaches experienced by us or our external service providers. These laws are not consistent, and compliance in the event of a widespread data breach is difficult and may be costly. In addition, such mandatory disclosures could lead to negative publicity and may cause our current and prospective customers to lose confidence in the effectiveness of our data security measures. See “—Risk Factors—Risks Related to Our Business and Industry—Compliance with the rapidly evolving landscape of global data privacy and security laws may be challenging, and any failure or perceived failure to comply with such laws, or other concerns about our practices or policies with respect to the processing of personal data,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289"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32406B"/>
        </w:rPr>
        <w:t>We may in the future become involved in legal proceedings, litigations and disputes relating to alleged infringement of intellectual property rights, which could adversely affect our business, operating results and financial condition.</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There is considerable patent and other intellectual property development activity in our industry. Our future success depends, in part, on not infringing the intellectual property rights of others. Our competitors or other third parties may in the future claim that our products and services or platform and underlying technology infringe on their intellectual property rights, and we may be found to be infringing 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products and services, require us to develop alternative non-infringing technology or require that we comply with other unfavorable terms, any of which could have a material adverse effect on our business and results of operations. We may also be obligated to indemnify our customers or business partners in connection with any such litigation and to obtain licenses or modify our products and services or platform, which could further exhaust our resources. Even if we were to prevail in the event of claims or litigation against us, any claim or litigation regarding intellectual property could be costly and time-consuming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operating results and financial condition.</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If we are unable to hire, retain and motivate qualified personnel, our business will suffer.</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32406B"/>
        </w:rPr>
        <w:t>Our future success depends, in part, on our ability to continue to attract and retain highly skilled personnel. We believe that there is, and will continue to be, intense competition for highly skilled management, technical, sales and other personnel with experience in the industries in which we operate. We must provide competitive compensation packages and a high-quality work environment to hire, retain and motivate employees. If we are unable to retain and motivate our existing employees and attract qualified personnel to fill important positions,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32406B"/>
        </w:rPr>
        <w:t>we may be unable to manage our business effectively, including the development, marketing and sale of our products and services, which could adversely affect our business, operating results and financial condition. To the extent we hire personnel from competitors, we also may be subject to allegations that they have been improperly solicited or divulged proprietary or other confidential information.</w:t>
      </w:r>
    </w:p>
    <w:p>
      <w:pPr>
        <w:spacing w:after="0" w:line="273" w:lineRule="exact"/>
        <w:rPr>
          <w:sz w:val="20"/>
          <w:szCs w:val="20"/>
          <w:color w:val="auto"/>
        </w:rPr>
      </w:pPr>
    </w:p>
    <w:p>
      <w:pPr>
        <w:ind w:left="560" w:right="300"/>
        <w:spacing w:after="0" w:line="263" w:lineRule="auto"/>
        <w:rPr>
          <w:sz w:val="20"/>
          <w:szCs w:val="20"/>
          <w:color w:val="auto"/>
        </w:rPr>
      </w:pPr>
      <w:r>
        <w:rPr>
          <w:rFonts w:ascii="Arial" w:cs="Arial" w:eastAsia="Arial" w:hAnsi="Arial"/>
          <w:sz w:val="18"/>
          <w:szCs w:val="18"/>
          <w:b w:val="1"/>
          <w:bCs w:val="1"/>
          <w:i w:val="1"/>
          <w:iCs w:val="1"/>
          <w:color w:val="32406B"/>
        </w:rPr>
        <w:t>We may acquire or invest in business, technologies, services, products and other assets, which may divert our management’s attention and result in the incurrence of debt or dilution to our shareholders. We may be unable to integrate acquired businesses and technologies successfully or achieve the expected benefits of such acquisitions.</w:t>
      </w:r>
    </w:p>
    <w:p>
      <w:pPr>
        <w:spacing w:after="0" w:line="76"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32406B"/>
        </w:rPr>
        <w:t>We may evaluate and consider potential strategic transactions, including acquisitions of, or investments in, businesses, technologies, services, products and other assets in the future. We also may enter into relationships with other businesses to expand our products and services, which could involve preferred or exclusive licenses, additional channels of distribution, discount pricing or investments in other companies.</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Any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8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issue additional equity securities that would dilute our existing shareholders;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use cash that we may need in the future to operate our business;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incur large charges or substantial liabilities;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incur debt on terms unfavorable to us or that we are unable to repay;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7"/>
          <w:szCs w:val="17"/>
          <w:color w:val="32406B"/>
        </w:rPr>
      </w:pPr>
      <w:r>
        <w:rPr>
          <w:rFonts w:ascii="Arial" w:cs="Arial" w:eastAsia="Arial" w:hAnsi="Arial"/>
          <w:sz w:val="17"/>
          <w:szCs w:val="17"/>
          <w:color w:val="32406B"/>
        </w:rPr>
        <w:t>encounter difficulties retaining key employees of the acquired company or integrating diverse offerings or business cultures; or</w:t>
      </w:r>
    </w:p>
    <w:p>
      <w:pPr>
        <w:spacing w:after="0" w:line="142" w:lineRule="exact"/>
        <w:rPr>
          <w:rFonts w:ascii="Arial" w:cs="Arial" w:eastAsia="Arial" w:hAnsi="Arial"/>
          <w:sz w:val="17"/>
          <w:szCs w:val="17"/>
          <w:color w:val="32406B"/>
        </w:rPr>
      </w:pPr>
    </w:p>
    <w:p>
      <w:pPr>
        <w:ind w:left="1080" w:right="160" w:hanging="532"/>
        <w:spacing w:after="0" w:line="277" w:lineRule="auto"/>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become subject to adverse tax consequences, substantial depreciation, or deferred compensation charges. The occurrence of any of these foregoing could adversely affect our business, operating results and financial condition.</w:t>
      </w:r>
    </w:p>
    <w:p>
      <w:pPr>
        <w:spacing w:after="0" w:line="278"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32406B"/>
        </w:rPr>
        <w:t>Negative publicity about us, our products and services, operations and our directors, management and business partners may adversely affect our reputation and business.</w:t>
      </w:r>
    </w:p>
    <w:p>
      <w:pPr>
        <w:spacing w:after="0" w:line="6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32406B"/>
        </w:rPr>
        <w:t>We may, from time to time, receive negative publicity, including negative internet and blog postings, ratings or comments on social media platforms or through traditional media about our company, our business, our directors and management, our brands, our products and services, our suppliers or other business partners. Certain of such negative publicity may be the result of malicious harassment or unfair competition acts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40</w:t>
      </w:r>
    </w:p>
    <w:p>
      <w:pPr>
        <w:sectPr>
          <w:pgSz w:w="11900" w:h="16838" w:orient="portrait"/>
          <w:cols w:equalWidth="0" w:num="1">
            <w:col w:w="11060"/>
          </w:cols>
          <w:pgMar w:left="320" w:top="459"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32406B"/>
        </w:rPr>
        <w:t>We may receive complaints from our customers and end users on our products and services, pricing and customer support. If we do not handle customer complaints effectively, our brand and reputation may suffer, our customers and end users may lose confidence in us and they may reduce or cease their use of our products and services. Our success depends, in part, on our ability to generate positive customer feedback and minimize negative feedback on social media channels where existing and potential customers and end users seek and share information. If actions we take or changes we make to our products and services or platform upset these customers and end users, their online commentary could negatively affect our brand and reputation. Complaints or negative publicity about us, our products and services or platform could materially and adversely impact our ability to attract and retain customers and end users, our business, results of operations and financial condition.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Seasonality may cause fluctuations in our sales and operating results.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32406B"/>
        </w:rPr>
        <w:t>We have in the past experienced, and expect in the future to continue to experience, seasonal fluctuations in our revenue and sales from time to time, with the fourth quarter historically being our strongest quarter for sales to new and existing customers, as a result of the holiday season and customers’ buying patterns. We have experienced lower growth in revenue in the first quarter as a result the reduced capacity of OEM customers located in China due to the Lunar New Year. The rapid growth in our business has offset this seasonal trend to some extent, however, we expect the historical seasonality trends to continue to impact our results of operations and financial condition.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We face certain risks relating to the real properties that we lease.</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32406B"/>
        </w:rPr>
        <w:t>We lease office spaces from third parties for our operations in China, the United States, India, Germany, Japan and Colombia. Any limitations on the leased properties, or lessors’ title to such properties, may impact our use of the offices, or in extreme cases, result in relocation, which may in turn adversely affect our business operations. In addition, certain lease agreements of our leased properties in China have not been registered with the relevant PRC government authorities as required by PRC law, and although failure to do so does not in itself invalidate the leases, we may be exposed to potential fines if we fail to rectify within the prescribed time period after receiving notices from the relevant PRC government authorities. Furthermore, certain lessors of our leased properties have not provided us with valid property ownership certificates or any other documentation proving their right to lease those properties to us. As of the date of this prospectus, we are not aware of any actions or claims raised by any third parties challenging our use of these properties we currently lease, nor have we received any notices from the PRC government authorities. If our lessors are not the owners of the properties or they have not obtained consents from the owners or their lessors or permits from the relevant government authorities, our leases could be invalidated. If leases are invalid, we may face the risk of moving out of the leased property.</w:t>
      </w:r>
    </w:p>
    <w:p>
      <w:pPr>
        <w:spacing w:after="0" w:line="276" w:lineRule="exact"/>
        <w:rPr>
          <w:sz w:val="20"/>
          <w:szCs w:val="20"/>
          <w:color w:val="auto"/>
        </w:rPr>
      </w:pPr>
    </w:p>
    <w:p>
      <w:pPr>
        <w:ind w:left="560" w:right="500"/>
        <w:spacing w:after="0" w:line="308" w:lineRule="auto"/>
        <w:rPr>
          <w:sz w:val="20"/>
          <w:szCs w:val="20"/>
          <w:color w:val="auto"/>
        </w:rPr>
      </w:pPr>
      <w:r>
        <w:rPr>
          <w:rFonts w:ascii="Arial" w:cs="Arial" w:eastAsia="Arial" w:hAnsi="Arial"/>
          <w:sz w:val="17"/>
          <w:szCs w:val="17"/>
          <w:b w:val="1"/>
          <w:bCs w:val="1"/>
          <w:i w:val="1"/>
          <w:iCs w:val="1"/>
          <w:color w:val="32406B"/>
        </w:rPr>
        <w:t>Changes in laws and regulations related to the internet or changes in the internet infrastructure itself may diminish the demand for our products and services, and could adversely affect our business, operating results and financial condition.</w:t>
      </w:r>
    </w:p>
    <w:p>
      <w:pPr>
        <w:spacing w:after="0" w:line="3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32406B"/>
        </w:rPr>
        <w:t>The future success of our business depends on the continued use of the internet as well as continued demand for smart devices and our products and services. The PRC and foreign governments have in the past adopted, and may in the future adopt, laws or regulations affecting the use of the internet as a commercial medium.</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32406B"/>
        </w:rPr>
        <w:t>Almost all access to the internet in China is maintained through state-owned telecommunication operators under the administrative control and regulatory supervision of the MIIT. In addition, the national networks in China are connected to the internet through state-owned international gateways, which are the only channels through which a domestic user can connect to the internet outside of China. We may face similar or other limitations in other countries in which we operate. We may not have access to alternative networks in the event of disruptions, failures or other problems with the internet infrastructure in China or elsewhere. In addition, the internet infrastructure in the countries in which we operate may not support the demands associated with continued growth in internet usage.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41</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32406B"/>
        </w:rPr>
        <w:t>Changes in these laws or regulations could require us to modify our products and services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and services could decline, which could adversely affect our business, operating results and financial condition.</w:t>
      </w:r>
    </w:p>
    <w:p>
      <w:pPr>
        <w:spacing w:after="0" w:line="27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32406B"/>
        </w:rPr>
        <w:t>We may have insufficient computing resources, transmission bandwidth and storage space, which could result in disruptions and our business, results of operations and financial condition could be adversely affected.</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32406B"/>
        </w:rPr>
        <w:t>Our operations are dependent in part upon transmission bandwidth provided by third-party telecommunications network providers, access to data centers to house our servers and other computing resources. There can be no assurance that we are adequately prepared for unexpected increases in bandwidth and data center demands by our customers and end users. The bandwidth and data centers we use may become unavailable for a variety of reasons, including service outages, payment disputes, network providers going out of business, natural disasters, networks imposing traffic limits, or governments adopting regulations that impact network operations.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Such a failure could result in our inability to acquire new customers demanding capacity not available on our platform. See also “—We rely upon third-party providers of cloud-based infrastructure to host our platform. Any disruption in the operations of these third-party providers, limitations on capacity or interference with our use could adversely affect our business, financial condition and results of operations.”</w:t>
      </w:r>
    </w:p>
    <w:p>
      <w:pPr>
        <w:spacing w:after="0" w:line="280" w:lineRule="exact"/>
        <w:rPr>
          <w:sz w:val="20"/>
          <w:szCs w:val="20"/>
          <w:color w:val="auto"/>
        </w:rPr>
      </w:pPr>
    </w:p>
    <w:p>
      <w:pPr>
        <w:jc w:val="both"/>
        <w:ind w:left="560" w:right="640"/>
        <w:spacing w:after="0" w:line="311" w:lineRule="auto"/>
        <w:rPr>
          <w:sz w:val="20"/>
          <w:szCs w:val="20"/>
          <w:color w:val="auto"/>
        </w:rPr>
      </w:pPr>
      <w:r>
        <w:rPr>
          <w:rFonts w:ascii="Arial" w:cs="Arial" w:eastAsia="Arial" w:hAnsi="Arial"/>
          <w:sz w:val="16"/>
          <w:szCs w:val="16"/>
          <w:b w:val="1"/>
          <w:bCs w:val="1"/>
          <w:i w:val="1"/>
          <w:iCs w:val="1"/>
          <w:color w:val="32406B"/>
        </w:rPr>
        <w:t>Our products and services rely on the stable performance of servers, networks, IT infrastructure and data processing systems, and any disruption to such servers, networks, assets or systems due to internal or external factors could diminish demand for our products and services, harm our business, our reputation and results of operations and subject us to liability.</w:t>
      </w:r>
    </w:p>
    <w:p>
      <w:pPr>
        <w:spacing w:after="0" w:line="4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32406B"/>
        </w:rPr>
        <w:t>We rely in part upon the stable performance of our servers, networks, IT infrastructure, and data processing systems for provision of our products and services. Disruptions to such servers, networks, assets or systems may occur due to internal or external factors, such as inappropriate maintenance, defects in the servers, cyber-attacks or other malicious attacks or hacks targeted at us, occurrence of catastrophic events or human errors. Such disruptions could result in negative publicity, loss of or delay in market acceptance of our products and services, loss of competitive position, lower customer retention or claims by customers for losses sustained by them, or loss, destruction or unauthorized use of, or access to, data (including personal data for which we may incur liability under applicable data protection laws). In such an event, we may need to expend additional resources to bring the incident to an end, mitigate the liability associated with the fallout of such incident, make notifications to regulators and individuals affected, replace damaged systems or assets, defend ourselves in legal proceedings and compensate customers or end users. In addition, we may not carry insurance to compensate us for any losses that may result from claims arising from disruption in servers. As a result, our reputation and our brand could be harmed, and our business, results of operations and financial condition may be adversely affected.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32406B"/>
        </w:rPr>
        <w:t>We may, from time to time, rely on intellectual properties that we license from third parties, including product designs that are integrated with our internally developed products.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32406B"/>
        </w:rPr>
        <w:t>We may, from time to time, rely on intellectual properties that we license from third parties, including third-party product design, which is used with certain of our products. Although we may have executed contracts containing certain warranties of non-infringement of such licensed intellectual properties with such third parties, we cannot be certain that our licensors are not infringing the intellectual property rights of third parties or that our licensors have sufficient rights to the licensed intellectual property in all jurisdictions in which we may sell our products. Some of our agreements with our licensors may be terminated for convenience by them. If we are unable to continue to license any of these intellectual properties on commercially reasonable terms, we will face delays in releases of certain products or we will be required to re-design our products until equivalent, non-infringing design can be licensed or developed and integrated into our current products. This effort could take significant time (during which we would be unable to continue to offer our affected products) and expense and may ultimately not be successful. In addition, our inability to obtain certain licenses or other rights might require us to engage in litigation regarding these matters, which could have a material adverse effect on our business, results of operations, prospects, and financial condition.</w:t>
      </w:r>
    </w:p>
    <w:p>
      <w:pPr>
        <w:spacing w:after="0" w:line="293" w:lineRule="exact"/>
        <w:rPr>
          <w:sz w:val="20"/>
          <w:szCs w:val="20"/>
          <w:color w:val="auto"/>
        </w:rPr>
      </w:pPr>
    </w:p>
    <w:p>
      <w:pPr>
        <w:jc w:val="both"/>
        <w:ind w:left="560" w:right="260"/>
        <w:spacing w:after="0" w:line="263" w:lineRule="auto"/>
        <w:rPr>
          <w:sz w:val="20"/>
          <w:szCs w:val="20"/>
          <w:color w:val="auto"/>
        </w:rPr>
      </w:pPr>
      <w:r>
        <w:rPr>
          <w:rFonts w:ascii="Arial" w:cs="Arial" w:eastAsia="Arial" w:hAnsi="Arial"/>
          <w:sz w:val="18"/>
          <w:szCs w:val="18"/>
          <w:b w:val="1"/>
          <w:bCs w:val="1"/>
          <w:i w:val="1"/>
          <w:iCs w:val="1"/>
          <w:color w:val="32406B"/>
        </w:rPr>
        <w:t>We and our directors, management, employees and shareholders may from time to time be subject to claims, controversies, lawsuits, other legal and administrative proceedings and fines, which could have a material adverse effect on our business, results of operations, financial condition and reputation.</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We are currently not party to any material legal or administrative proceedings. However, we have been, and may from time to time in the future be, subject to or involved in various claims, controversies, lawsuits, other legal and administrative proceedings and fines relating to our business operations inside and outside China. Lawsuits and other administrative or legal proceedings that may arise in the course of our operations can involve substantial costs, including the costs associated with investigation, litigation and possible settlement, judgment, penalty or fine. In addition, lawsuits and other legal and administrative proceedings may be costly and time consuming and may require a commitment of management and personnel resources that will be diverted from our normal business operations. There may also be negative publicity associated with litigation that could decrease consumer acceptance of our product offerings, regardless of whether the allegations are valid or whether we are ultimately found liable. In addition, our directors, management, shareholders and employees may from time to time be subject to litigation, regulatory investigations, proceedings and/or negative publicity or otherwise face potential liability and expense in relation to commercial, labor, employment, securities or other matters, which could adversely affect our reputation and results of operations. As a result, litigation may adversely affect our business, financial condition, results of operations or liquidity.</w:t>
      </w:r>
    </w:p>
    <w:p>
      <w:pPr>
        <w:spacing w:after="0" w:line="290"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32406B"/>
        </w:rPr>
        <w:t>We may require additional capital to support our business and response to business opportunities, and this capital might not be available on acceptable terms, if at all.</w:t>
      </w:r>
    </w:p>
    <w:p>
      <w:pPr>
        <w:spacing w:after="0" w:line="62"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32406B"/>
        </w:rPr>
        <w:t>We intend to continue to make investments to support our business and may require additional funds. In particular, we may seek additional funds to develop new products and enhance our platform and existing products, expand our operations, including our sales and marketing efforts and our presence outside of China, improve our infrastructure or acquire complementary businesses, technologies, services, products and other assets. Accordingly, we may need to engage in equity or debt financings to secure additional funds. If we raise additional funds through future issuances of equity or convertible debt securities, our shareholders could suffer significant dilution, and any new equity securities we issue could have rights, preferences and privileges superior to holders of our ordinary shares.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43</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32406B"/>
        </w:rPr>
        <w:t>We face exposure to foreign currency exchange rate fluctuations, and such fluctuations could adversely affect our business, operating results and financial condition.</w:t>
      </w:r>
    </w:p>
    <w:p>
      <w:pPr>
        <w:spacing w:after="0" w:line="6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32406B"/>
        </w:rPr>
        <w:t>As we continue to expand our international operations, we will become increasingly exposed to the effects of fluctuations in currency exchange rates. Although the majority of our cash generated from revenue is denominated in Renminbi, a small amount is denominated in other currencies, and our expenses are generally denominated in the currencies of the jurisdictions in which we conduct our operations. Because we conduct business in currencies other than U.S. dollars but report our operating results in U.S. dollars, we also face translation exposure to fluctuations in currency exchange rates, which could hinder our ability to predict our future results and earnings and could impact our operating results.</w:t>
      </w:r>
    </w:p>
    <w:p>
      <w:pPr>
        <w:spacing w:after="0" w:line="16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32406B"/>
        </w:rPr>
        <w:t>The value of the Renminbi against the U.S. dollar and other currencies has in the past fluctuated significantly, and may in the future continue to do so, affected by, among other things, changes in political and economic conditions and the foreign exchange policy adopted by the PRC government.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32406B"/>
        </w:rPr>
        <w:t>We are a holding company and we rely on dividends paid by our WFOE in China for our cash needs. Any significant fluctuation of Renminbi against the U.S. dollar could adversely affect our business, operating results and financial condition, and the value of any dividends payable in U.S. dollars. To the extent that we need to convert U.S. dollars we receive from this offering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for other business purposes, appreciation of the U.S. dollar against the Renminbi would have a negative effect on the U.S. dollar amount.</w:t>
      </w:r>
    </w:p>
    <w:p>
      <w:pPr>
        <w:spacing w:after="0" w:line="286" w:lineRule="exact"/>
        <w:rPr>
          <w:sz w:val="20"/>
          <w:szCs w:val="20"/>
          <w:color w:val="auto"/>
        </w:rPr>
      </w:pPr>
    </w:p>
    <w:p>
      <w:pPr>
        <w:ind w:left="560" w:right="300"/>
        <w:spacing w:after="0" w:line="308" w:lineRule="auto"/>
        <w:rPr>
          <w:sz w:val="20"/>
          <w:szCs w:val="20"/>
          <w:color w:val="auto"/>
        </w:rPr>
      </w:pPr>
      <w:r>
        <w:rPr>
          <w:rFonts w:ascii="Arial" w:cs="Arial" w:eastAsia="Arial" w:hAnsi="Arial"/>
          <w:sz w:val="17"/>
          <w:szCs w:val="17"/>
          <w:b w:val="1"/>
          <w:bCs w:val="1"/>
          <w:i w:val="1"/>
          <w:iCs w:val="1"/>
          <w:color w:val="32406B"/>
        </w:rPr>
        <w:t>If we fail to establish and maintain proper and effective internal control over financial reporting to remediate our material weaknesses, we may be unable to accurately report our results of operations, meet our reporting obligations or prevent fraud.</w:t>
      </w:r>
    </w:p>
    <w:p>
      <w:pPr>
        <w:spacing w:after="0" w:line="3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Section 404 of the Sarbanes-Oxley Act of 2002, or Section 404, requires that we establish and maintain internal control over financial reporting and disclosure controls and procedures. An effective internal control environment is necessary to enable us to produce reliable financial reports and is an important component of our efforts to prevent and detect financial reporting errors and fraud. We have become a public company subject to the Sarbanes-Oxley Act of 2002. Section 404 requires that we include a report from management on the effectiveness of our internal control over financial reporting in our annual report on Form 20-F beginning with our annual report for the fiscal year ending December 31, 2022. In addition, once we cease to be an “emerging growth company” as such term is defined in the JOBS Act, our independent registered public accounting firm must attest to and report on the effectiveness of our internal control over financial reporting. In addition, as we are now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1"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32406B"/>
        </w:rPr>
        <w:t>In the course of preparing and auditing our consolidated financial statements as of and for the years ended December 31, 2019 and 2020, we and our independent registered public accounting firm identified a material weakness in our internal control over financial reporting. According to the U.S. Public Company Accounting Oversight Board, a “material weakness” is a deficiency, or a combination of deficiencies, in internal control over financial reporting, such that there is a reasonable possibility that a material misstatement of our company’s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44</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32406B"/>
        </w:rPr>
        <w:t>annual or interim consolidated financial statements will not be prevented or detected on a timely basis. The material weakness identified relates to our lack of sufficient and competent financial reporting and accounting personnel with appropriate knowledge and experience to address complex U.S. GAAP accounting issues and to prepare and review financial statements and related disclosures in accordance with U.S. GAAP and SEC reporting requirements. We are in the process of implementing a number of measures to address the material weakness. See “Management’s Discussion and Analysis of Financial Condition and Results of Operations—Internal Control Over Financial Reporting.” However, we cannot assure you that these measures may fully address the material weakness and deficiencies in our internal control over financial reporting or that we may conclude that they have been fully remediated.</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During the course of documenting and testing our internal control procedures, in order to satisfy the requirements of Section 404, we or our auditor may identify other deficiencies in our internal control over financial reporting that are deemed to be material weaknesses and render our internal control over financial reporting ineffective.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for prior periods.</w:t>
      </w:r>
    </w:p>
    <w:p>
      <w:pPr>
        <w:spacing w:after="0" w:line="293"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32406B"/>
        </w:rPr>
        <w:t>Our business is subject to the risks of earthquakes, fire, floods, pandemics and other natural catastrophic events, and to interruption by man-made problems such as power disruptions or terrorism.</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32406B"/>
        </w:rPr>
        <w:t>A significant natural disaster, such as an earthquake, fire, flood or pandemic, occurring at our headquarters, at one of our local offices and facilities or where a business partner is located could adversely affect our business, operating results and financial condition. Further, if a natural disaster or man-made problem were to affect our service providers, this could adversely affect the ability of our customers and end users to use our products and services. In addition, natural disasters and acts of terrorism could cause disruptions in our or our customers’ businesses, national economies or the world economy as a whole, as is the case currently due to the COVID-19 pandemic. 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operating results and financial condition.</w:t>
      </w:r>
    </w:p>
    <w:p>
      <w:pPr>
        <w:spacing w:after="0" w:line="16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32406B"/>
        </w:rPr>
        <w:t>In addition, computer malware, viruses and computer hacking, fraudulent use attempts and phishing attacks have become more prevalent in our industry, have occurred on our platform and have impacted some of our customers (i.e., solution providers) in the past and may occur on our platform in the future. Any failure to maintain performance, reliability, security, integrity and availability of our products and services and technical infrastructure, including third-party infrastructure and services upon which we rely, may expose us to significant consequences, including legal and financial exposure and loss of customers and end users, and give rise to litigation, consumer protection actions, or harm to our reputation, and as a result, may hinder our ability to retain existing customers and end users and attract new customers and end users.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375" w:lineRule="auto"/>
        <w:rPr>
          <w:sz w:val="20"/>
          <w:szCs w:val="20"/>
          <w:color w:val="auto"/>
        </w:rPr>
      </w:pPr>
      <w:r>
        <w:rPr>
          <w:rFonts w:ascii="Arial" w:cs="Arial" w:eastAsia="Arial" w:hAnsi="Arial"/>
          <w:sz w:val="15"/>
          <w:szCs w:val="15"/>
          <w:b w:val="1"/>
          <w:bCs w:val="1"/>
          <w:i w:val="1"/>
          <w:iCs w:val="1"/>
          <w:color w:val="32406B"/>
        </w:rPr>
        <w:t>We have limited business insurance coverage, so that any uninsured occurrence of business disruption may result in substantial costs to us and the diversion of our resources, which could have an adverse effect on our results of operations and financial condition.</w:t>
      </w:r>
    </w:p>
    <w:p>
      <w:pPr>
        <w:spacing w:after="0" w:line="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32406B"/>
        </w:rPr>
        <w:t>While we do maintain information and network technology errors or omissions liability insurance and cyber enterprise risk management insurance, our business insurance is limited; we do not maintain any liability insurance or property insurance policies covering our equipment and facilities for injuries, death or losses due to fire, earthquake, flood or any other disaster. Consistent with customary industry practice in China, we do not maintain business interruption insurance, nor do we maintain key-man life insurance. We have determined that the costs of insuring for related risks and the difficulties associated with acquiring such insurance on commercially reasonable terms make it impractical. Any uninsured damage to our facilities or technology infrastructures or disruption of our business operations could require us to incur substantial costs and divert our resources, which could have an adverse effect on our business, financial condition and results of operations.</w:t>
      </w:r>
    </w:p>
    <w:p>
      <w:pPr>
        <w:spacing w:after="0" w:line="285"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b w:val="1"/>
          <w:bCs w:val="1"/>
          <w:i w:val="1"/>
          <w:iCs w:val="1"/>
          <w:color w:val="32406B"/>
        </w:rPr>
        <w:t>We have granted, and may continue to grant, share-based awards, which will increase our share-based compensation and may have an adverse effect on our results of operations.</w:t>
      </w:r>
    </w:p>
    <w:p>
      <w:pPr>
        <w:spacing w:after="0" w:line="62"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32406B"/>
        </w:rPr>
        <w:t>We have adopted a share option scheme in December 2014 (the “2015 Equity Incentive Plan” or “2015 Plan,” as amended in July 2020 and February 2021). We account for compensation costs for all share-based awards using a fair-value based method and recognize expenses in our consolidated statements of comprehensive loss in accordance with U.S. GAAP. The maximum aggregate number of shares that we are authorized to issue pursuant to the 2015 Equity Incentive Plan, as amended, is 76,778,005, provided that, starting on January 1, 2022, on the first day of each fiscal year thereafter, the total number of shares available for issuance under the 2015 Plan will be increased by an amount equal to the least of (i) 2% of the aggregate number of shares of all classes of our ordinary shares issued and outstanding on the last day of the immediately preceding fiscal year and (ii) such number of shares as determined by our board of directors. As of the date of this prospectus, options to purchase a total of 62,965,000 have been granted and are outstanding under such plan. We did not issue any restricted shares or restricted share units under such plan as of the date of the prospectus. In 2019 and 2020, we recorded US$5.2 million and US$9.4 million, respectively, in share-based compensation expenses, respectively. In January 2021, we entered into agreements with certain optionees under the 2015 Plan to amend the exercise price of certain outstanding share options held by these optionees located outside the United States to purchase our ordinary shares. As a result of this share option repricing, we estimated a total incremental share-based compensation expense of approximately US$8.8 million to be recorded on our consolidated financial statements starting from 2021, which included approximately US$2.0 million (related to the legally vested share options) to be recognized immediately in January 2021, and the remaining US$6.8 million (related to the legally unvested share options) to be recognized on a prospective basis over the remaining requisite service period for the optionees. In January 2021, we granted total 9,255,000 share options under the 2015 Plan to our employees and non-employees, which was only subject to service conditions. As a result of this share option grant, we estimated a total share-based compensation expense of approximately US$113.1 million to be recorded on our consolidated financial statements over a vesting period of four years starting from 2021. In late February 2021, we granted a total of 5,405,000 share options under the 2015 Plan to our employees and non-employees, which was only subject to service conditions. As a result of this share option grant, we estimated a total share-based compensation expense of approximately US$77.1 million to be recorded on our consolidated financial statements over a vesting period of four years starting from 2021. We believe the granting of share-based awards is of significant importance to our ability to attract and retain key personnel and employees, and we will continue to grant share-based awards in the future. As a result, our expenses associated with share-based compensation will increase, which may have an adverse effect on our results of operations.</w:t>
      </w:r>
    </w:p>
    <w:p>
      <w:pPr>
        <w:spacing w:after="0" w:line="28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32406B"/>
        </w:rPr>
        <w:t>The estimates of market opportunity, forecasts of market growth included in this prospectus may prove to be inaccurate, and any real or perceived inaccuracies may harm our reputation and negatively affect our business.</w:t>
      </w:r>
    </w:p>
    <w:p>
      <w:pPr>
        <w:spacing w:after="0" w:line="6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32406B"/>
        </w:rPr>
        <w:t>Market opportunity estimates and growth forecasts included in this prospectus are subject to significant uncertainty and are based on assumptions and estimates that may not prove to be accurate. The variables that go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46</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32406B"/>
        </w:rPr>
        <w:t>into the calculation of our market opportunity are subject to change over time, and there is no guarantee that any particular number or percentage of addressable companies or end users covered by our market opportunity estimates will purchase our products and services at all or generate any particular level of revenue for us. Even if the market in which we compete meets the size estimates and growth forecasted in this prospectus, our business could fail to grow for a variety of reasons, including reasons outside of our control, such as competition in our industry.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Our Corporate Structure</w:t>
      </w:r>
    </w:p>
    <w:p>
      <w:pPr>
        <w:spacing w:after="0" w:line="121" w:lineRule="exact"/>
        <w:rPr>
          <w:sz w:val="20"/>
          <w:szCs w:val="20"/>
          <w:color w:val="auto"/>
        </w:rPr>
      </w:pPr>
    </w:p>
    <w:p>
      <w:pPr>
        <w:jc w:val="both"/>
        <w:ind w:left="560" w:right="340"/>
        <w:spacing w:after="0" w:line="311" w:lineRule="auto"/>
        <w:rPr>
          <w:sz w:val="20"/>
          <w:szCs w:val="20"/>
          <w:color w:val="auto"/>
        </w:rPr>
      </w:pPr>
      <w:r>
        <w:rPr>
          <w:rFonts w:ascii="Arial" w:cs="Arial" w:eastAsia="Arial" w:hAnsi="Arial"/>
          <w:sz w:val="16"/>
          <w:szCs w:val="16"/>
          <w:b w:val="1"/>
          <w:bCs w:val="1"/>
          <w:i w:val="1"/>
          <w:iCs w:val="1"/>
          <w:color w:val="32406B"/>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4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Foreign ownership of telecommunication businesses is subject to restrictions under current PRC laws and regulations. For example, foreign investors are generally not allowed to own more than 50% of the equity interests in an information service provider or other value-added telecommunication service provider (other than operating e-commerce) and the major foreign investor in a value-added telecommunication service provider in China must have experience in providing value-added telecommunications services overseas and maintain a good track record in accordance with the Guidance Catalog of Industries for Foreign Investment promulgated in 2007, as amended, the Catalog of Industries for Encouraged Foreign Investment (2019 Edition), the Special Management Measures (Negative List) for the Access of Foreign Investment (2020 Edition), and other applicable laws and regulations.</w:t>
      </w:r>
    </w:p>
    <w:p>
      <w:pPr>
        <w:spacing w:after="0" w:line="19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32406B"/>
        </w:rPr>
        <w:t>Accordingly, none of our subsidiaries is eligible to provide information service or other value-added telecommunication service, which foreign-owned companies are restricted from conducting in China. To comply with PRC laws and regulations, we may only conduct such business activities through our VIEs in China.</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32406B"/>
        </w:rPr>
        <w:t>We are a Cayman Islands company and currently conduct substantially all of our business operations in the PRC through Tuya Information, our wholly-owned subsidiary incorporated in the PRC. We have, through Tuya Information, entered into a series of contractual arrangements with our VIE and its shareholders, respectively, which enable us to (i) exercise effective control over our VIE, (ii) receive substantially all of the economic benefits of our VIE, (iii) have the pledge right over the equity interests in our VIE as the pledgee; and (iv) have an exclusive option to purchase all or part of the equity interests in our VIE when and to the extent permitted by PRC law. As a result of these contractual arrangements, we have control over and are the primary beneficiary of our VIE and hence consolidate their financial results under U.S. GAAP. See “Corporate History and Structure” for further details.</w:t>
      </w:r>
    </w:p>
    <w:p>
      <w:pPr>
        <w:spacing w:after="0" w:line="164"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32406B"/>
        </w:rPr>
        <w:t>In the opinion of our PRC legal counsel, Jia Yuan Law Offices, (i) the ownership structures of our WFOE and our VIE in China, both currently and immediately after giving effect to this offering, are not in violation of provisions of applicable PRC laws and regulations currently in effect; and</w:t>
      </w:r>
    </w:p>
    <w:p>
      <w:pPr>
        <w:ind w:left="120" w:right="20" w:hanging="4"/>
        <w:spacing w:after="0" w:line="287" w:lineRule="auto"/>
        <w:tabs>
          <w:tab w:leader="none" w:pos="385" w:val="left"/>
        </w:tabs>
        <w:numPr>
          <w:ilvl w:val="0"/>
          <w:numId w:val="29"/>
        </w:numPr>
        <w:rPr>
          <w:rFonts w:ascii="Arial" w:cs="Arial" w:eastAsia="Arial" w:hAnsi="Arial"/>
          <w:sz w:val="16"/>
          <w:szCs w:val="16"/>
          <w:color w:val="32406B"/>
        </w:rPr>
      </w:pPr>
      <w:r>
        <w:rPr>
          <w:rFonts w:ascii="Arial" w:cs="Arial" w:eastAsia="Arial" w:hAnsi="Arial"/>
          <w:sz w:val="16"/>
          <w:szCs w:val="16"/>
          <w:color w:val="32406B"/>
        </w:rPr>
        <w:t>the contractual arrangements between our WFOE, our VIE and its shareholders governed by PRC law are not in violation of provisions of applicable PRC laws or regulations currently in effect, and valid and binding upon each party to such arrangements and enforceable against each party thereto in accordance with their terms and applicable PRC laws and regulations currently in effect. However, we have been further advised by our PRC legal counsel that there are substantial uncertainties regarding the interpretation and application of current and future PRC laws, regulations and rules. Thus, the PRC governmental authorities may take a view contrary to the opinion of our PRC legal counsel. It is uncertain whether any new PRC laws or regulations relating to variable interest entity structure will be adopted or if adopted, what they would provide. If we or our VIE is found to be in violation of any existing or future PRC laws or regulations, or fail to obtain or maintain any of the required permits or approvals to operate our business, the relevant PRC governmental authorities would have broad discretion to take action in dealing with such violations or failures, including:</w:t>
      </w:r>
    </w:p>
    <w:p>
      <w:pPr>
        <w:spacing w:after="0" w:line="75" w:lineRule="exact"/>
        <w:rPr>
          <w:rFonts w:ascii="Arial" w:cs="Arial" w:eastAsia="Arial" w:hAnsi="Arial"/>
          <w:sz w:val="16"/>
          <w:szCs w:val="16"/>
          <w:color w:val="32406B"/>
        </w:rPr>
      </w:pPr>
    </w:p>
    <w:p>
      <w:pPr>
        <w:ind w:left="1080" w:hanging="532"/>
        <w:spacing w:after="0"/>
        <w:tabs>
          <w:tab w:leader="none" w:pos="1080" w:val="left"/>
        </w:tabs>
        <w:numPr>
          <w:ilvl w:val="1"/>
          <w:numId w:val="29"/>
        </w:numPr>
        <w:rPr>
          <w:rFonts w:ascii="Arial" w:cs="Arial" w:eastAsia="Arial" w:hAnsi="Arial"/>
          <w:sz w:val="18"/>
          <w:szCs w:val="18"/>
          <w:color w:val="32406B"/>
        </w:rPr>
      </w:pPr>
      <w:r>
        <w:rPr>
          <w:rFonts w:ascii="Arial" w:cs="Arial" w:eastAsia="Arial" w:hAnsi="Arial"/>
          <w:sz w:val="18"/>
          <w:szCs w:val="18"/>
          <w:color w:val="32406B"/>
        </w:rPr>
        <w:t>revoking the business licenses and/or operating licenses of such entities;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imposing fines on us;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confiscating any of our income that they deem to be obtained through illegal operations;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discontinuing or placing restrictions or onerous conditions on the operations of our VIE;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placing restrictions on our right to collect revenues;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shutting down our servers or blocking our app or websites; 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requiring us to restructure our ownership structure or operations;</w:t>
      </w:r>
    </w:p>
    <w:p>
      <w:pPr>
        <w:spacing w:after="0" w:line="22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32406B"/>
        </w:rPr>
        <w:t>Any of these events could cause significant disruption to our business operations and severely damage our reputation, which would in turn have a material adverse effect on our financial condition and results of operations. If occurrences of any of these events results in our inability to direct the activities of our VIE in China that most significantly impact its economic performance and/or our failure to receive the economic benefits and residual returns from our VIE, and we are unable to restructure our ownership structure and operations in a satisfactory manner, we may not be able to consolidate the financial results of our VIE in our consolidated financial statements in accordance with U.S. GAAP.</w:t>
      </w:r>
    </w:p>
    <w:p>
      <w:pPr>
        <w:spacing w:after="0" w:line="284" w:lineRule="exact"/>
        <w:rPr>
          <w:sz w:val="20"/>
          <w:szCs w:val="20"/>
          <w:color w:val="auto"/>
        </w:rPr>
      </w:pPr>
    </w:p>
    <w:p>
      <w:pPr>
        <w:ind w:left="560" w:right="220"/>
        <w:spacing w:after="0" w:line="308" w:lineRule="auto"/>
        <w:rPr>
          <w:sz w:val="20"/>
          <w:szCs w:val="20"/>
          <w:color w:val="auto"/>
        </w:rPr>
      </w:pPr>
      <w:r>
        <w:rPr>
          <w:rFonts w:ascii="Arial" w:cs="Arial" w:eastAsia="Arial" w:hAnsi="Arial"/>
          <w:sz w:val="17"/>
          <w:szCs w:val="17"/>
          <w:b w:val="1"/>
          <w:bCs w:val="1"/>
          <w:i w:val="1"/>
          <w:iCs w:val="1"/>
          <w:color w:val="32406B"/>
        </w:rPr>
        <w:t>We rely on contractual arrangements with our VIE and its shareholders to use, or otherwise benefit from, certain licenses and approvals we may need in the future, which may not be as effective as direct ownership in providing operational control.</w:t>
      </w:r>
    </w:p>
    <w:p>
      <w:pPr>
        <w:spacing w:after="0" w:line="3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We have relied and expect to continue to rely on contractual arrangements with our VIE and its shareholders to conduct a portion of our operations in China. These contractual arrangements, however, may not be as effective as direct ownership in providing us with control over our VIE. For example, our VIE and its shareholders could breach their contractual arrangements with us by, among other things, failing to conduct the operations of our VIE in an acceptable manner or taking other actions that are detrimental to our interests.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If we had direct ownership of our VIE in China, we would be able to exercise our rights as a shareholder to effect changes in the board of directors of our VIE, which in turn could implement changes, subject to any applicable fiduciary obligations, at the management and operational level. However, under the current contractual arrangements, we rely on the performance by our VIE and its shareholders of their obligations under the contracts to exercise control over our VIE.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“—Any failure by our VIE or its shareholders to perform their obligations under our contractual arrangements with them would have a material and adverse effect on part of our business”.</w:t>
      </w:r>
    </w:p>
    <w:p>
      <w:pPr>
        <w:spacing w:after="0" w:line="303"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32406B"/>
        </w:rPr>
        <w:t>Any failure by our VIE or its shareholders to perform their obligations under our contractual arrangements with them would have a material and adverse effect on part of our business.</w:t>
      </w:r>
    </w:p>
    <w:p>
      <w:pPr>
        <w:spacing w:after="0" w:line="6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32406B"/>
        </w:rPr>
        <w:t>If our VIE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For example, if the shareholders of our VIE were to refuse to transfer their equity interests in our VIE to us or our designee when we exercise the purchase option pursuant to these contractual arrangements, or if they were otherwise to act in bad faith toward us, then we may have to take legal actions to compel them to perform their contractual obligations.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32406B"/>
        </w:rPr>
        <w:t>All the agreements under our contractual arrangements are governed by PRC law and provide for the resolution of disputes through arbitration in China. Accordingly, these contracts would be interpreted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32406B"/>
        </w:rPr>
        <w:t>accordance with PRC law and any disputes would be resolved in accordance with PRC legal procedures. As a result, uncertainties in the PRC legal system could limit our ability to enforce these contractual arrangements. See “—Risks Related to Doing Business in China—The uncertainties in the PRC legal system could materially and adversely affect us”. Meanwhile, there are very few precedents and little formal guidance as to how contractual arrangements in the context of a consolidated variable interest entity should be interpreted or enforced under PRC law. There remain significant uncertainties regarding the ultimate outcome of such arbitration if legal action becomes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our VIE, and our business financial condition and results of operations may be negatively affected.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32406B"/>
        </w:rPr>
        <w:t>The shareholders of our VIE may have potential conflicts of interest with us, which may materially and adversely affect part of our business.</w:t>
      </w:r>
    </w:p>
    <w:p>
      <w:pPr>
        <w:spacing w:after="0" w:line="15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The shareholders of our VIE may have actual or potential conflicts of interest with us. These shareholders may breach, or cause our VIE to breach, or refuse to renew, the existing contractual arrangements we have with them and our VIE, which would have a material and adverse effect on our ability to effectively control our VIE and receive economic benefits from them. For example, the shareholders may be able to cause our agreements with our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9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32406B"/>
        </w:rPr>
        <w:t>Currently, we do not have any arrangements to address potential conflicts of interest between these shareholders and our company, except that we may invoke the right under the equity pledge agreements with the shareholders of the VIE to enforce the equity pledge in the case of the shareholders’ breach of the contractual arrangements.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our VIE have executed powers of attorney to appoint one of our WFOE or a person designated by one of our WFOE to vote on their behalf and exercise voting rights as shareholders of our VIE. If we cannot resolve any conflict of interest or dispute between us and the shareholders of our VIE, we would have to rely on legal proceedings, which could result in disruption of part of our business and subject us to substantial uncertainty as to the outcome of any such legal proceedings.</w:t>
      </w:r>
    </w:p>
    <w:p>
      <w:pPr>
        <w:spacing w:after="0" w:line="16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32406B"/>
        </w:rPr>
        <w:t>The shareholders of our VIE may be involved in personal disputes with third parties or other incidents that may have an adverse effect on their respective equity interests in our VIE and the validity or enforceability of our contractual arrangements with our VIE and its shareholders. For example, in the event that any of the shareholders of our VIE divorces his or her spouse, the spouse may claim that the equity interest of the VIE held by such shareholder is part of their community property and should be divided between such shareholder and the spouse. If such claim is supported by the court, the relevant equity interest may be obtained by the shareholder’s spouse or another third party who is not subject to obligations under our contractual arrangements, which could result in a loss of the effective control over the VIE by us. Similarly, if any of the equity interests of our VIE is inherited by a third party with whom the current contractual arrangements are not binding, we could lose our control over the VIE or have to maintain such control by incurring unpredictable costs, which could cause significant disruption to part of our business and operations and harm our financial condition and results of operations.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49</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32406B"/>
        </w:rPr>
        <w:t>Contractual arrangements we have entered into with our VIE may be subject to scrutiny by the PRC tax authorities. A finding that we owe additional taxes could negatively affect our financial condition and the value of your investment.</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32406B"/>
        </w:rPr>
        <w:t>Under applicable PRC laws and regulations, arrangements and transactions among related parties may be subject to audit or challenge by the PRC tax authorities. We could face material and adverse tax consequences if the PRC tax authorities determine that the contractual arrangements in relation to our VIE were not entered into on an arm’s-length basis in such a way as to result in an impermissible reduction in taxes under applicable PRC laws, rules and regulations, and adjust income of our VIE in the form of a transfer pricing adjustment. A transfer pricing adjustment could, among other things, result in a reduction of expense deductions recorded by our VIE for PRC tax purposes, which could in turn increase their tax liabilities without reducing our PRC subsidiaries’ tax expenses. In addition, the PRC tax authorities may impose late payment fees and other administrative sanctions on our VIE for the adjusted but unpaid taxes according to the applicable regulations. Our financial position could be materially and adversely affected if our VIE’s tax liabilities increase or if they are required to pay late payment fees and other penalties.</w:t>
      </w:r>
    </w:p>
    <w:p>
      <w:pPr>
        <w:spacing w:after="0" w:line="273"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32406B"/>
        </w:rPr>
        <w:t>We may lose the ability to use and benefit from assets held by our VIE that are material or supplementary to the operation of our business if our VIE goes bankrupt or becomes subject to dissolution or liquidation proceeding.</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32406B"/>
        </w:rPr>
        <w:t>As part of our contractual arrangements with our VIE, such entity may in the future hold certain assets that are material or supplementary to the operation of our business. If our VIE goes bankrupt and all or part of its assets become subject to liens or rights of creditors, we may be unable to continue some or all of our business activities we currently conduct through the contractual arrangement, which could materially and adversely affect our business, financial condition and results of operations. Under the contractual arrangements, our VIE may not, in any manner, sell, transfer, mortgage or dispose of their assets or legal or beneficial interests in the business without our prior consent. If our VIE undergoes voluntary or involuntary liquidation proceeding, unrelated creditors may claim rights to some or all of these assets, thereby hindering our ability to operate part of our business, which could materially and adversely affect our business, financial condition and results of operations.</w:t>
      </w:r>
    </w:p>
    <w:p>
      <w:pPr>
        <w:spacing w:after="0" w:line="285" w:lineRule="exact"/>
        <w:rPr>
          <w:sz w:val="20"/>
          <w:szCs w:val="20"/>
          <w:color w:val="auto"/>
        </w:rPr>
      </w:pPr>
    </w:p>
    <w:p>
      <w:pPr>
        <w:ind w:left="560" w:right="80"/>
        <w:spacing w:after="0" w:line="308" w:lineRule="auto"/>
        <w:rPr>
          <w:sz w:val="20"/>
          <w:szCs w:val="20"/>
          <w:color w:val="auto"/>
        </w:rPr>
      </w:pPr>
      <w:r>
        <w:rPr>
          <w:rFonts w:ascii="Arial" w:cs="Arial" w:eastAsia="Arial" w:hAnsi="Arial"/>
          <w:sz w:val="17"/>
          <w:szCs w:val="17"/>
          <w:b w:val="1"/>
          <w:bCs w:val="1"/>
          <w:i w:val="1"/>
          <w:iCs w:val="1"/>
          <w:color w:val="32406B"/>
        </w:rPr>
        <w:t>Substantial uncertainties exist with respect to the interpretation and implementation of the newly enacted Foreign Investment Law and how it may impact the viability of our current corporate structure, corporate governance and operations.</w:t>
      </w:r>
    </w:p>
    <w:p>
      <w:pPr>
        <w:spacing w:after="0" w:line="3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32406B"/>
        </w:rPr>
        <w:t>The value-added telecommunications services that we conduct through our VIE and its subsidiaries are subject to foreign investment restrictions set forth in the Special Management Measures (Negative List) for the Access of Foreign Investment issued by the Ministry of Commerce, or the MOFCOM, and the National Development and Reform Commission, or the NDRC, effective July 2020.</w:t>
      </w:r>
    </w:p>
    <w:p>
      <w:pPr>
        <w:spacing w:after="0" w:line="184"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32406B"/>
        </w:rPr>
        <w:t>On March 15, 2019, the National People’s Congress promulgated the Foreign Investment Law, or the Foreign Investment Law (2019), which became effective on January 1, 2020 and replaced the Sino-Foreign Equity Joint Venture Enterprise Law, the Sino-Foreign Cooperative Joint Venture Enterprise Law and the Wholly Foreign-Owned Enterprise Law to become the legal foundation for foreign investment in the PRC. Since it is relatively new, uncertainties still exist in relation to its interpretation and implementation. For instance, under the Foreign Investment Law (2019),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arrangements would not be interpreted as a type of indirect foreign investment activities in the future. In addition, the definition of foreign investment contains a catch-all provision which includes investments made by foreign investors through means stipulated in laws, administrative regulations or provisions of the State Council. Therefore, it still leaves leeway for future laws, administrative regulations or provisions promulgated by the State Council to provide for contractual arrangements as a form of foreign investment. In any of these cases,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32406B"/>
        </w:rPr>
        <w:t>it will be uncertain whether our contractual arrangements will be deemed to be in violation of the market access requirements for foreign investment under the PRC laws and regulations. If further actions shall be taken under future laws, administrative regulations or provisions of the State Council, we may face substantial uncertainties as to whether we can complete such actions. Failure to do so could materially and adversely affect our current corporate structure, corporate governance and operations.</w:t>
      </w:r>
    </w:p>
    <w:p>
      <w:pPr>
        <w:spacing w:after="0" w:line="295"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b w:val="1"/>
          <w:bCs w:val="1"/>
          <w:i w:val="1"/>
          <w:iCs w:val="1"/>
          <w:color w:val="32406B"/>
        </w:rPr>
        <w:t>Our post-offering amended and restated memorandum and articles of association designate the courts of the Cayman Islands as the sole and exclusive judicial forum for certain legal actions related to us, which may discourage lawsuits with respect to such claims.</w:t>
      </w:r>
    </w:p>
    <w:p>
      <w:pPr>
        <w:spacing w:after="0" w:line="1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Our post-offering amended and restated memorandum and articles of association provide that the courts of the Cayman Islands will be the sole and exclusive forum for lawsuits asserting certain stockholder claims (including claims asserted derivatively for our benefit), such as claims against directors and officers for breach of a fiduciary duty, claims arising under any provision of the Companies Act or our post-offering amended and restated memorandum and articles of association, or claims governed by the internal affairs doctrine; additionally, the federal courts of the United States of America shall have exclusive jurisdiction for claims arising under the federal securities laws of the United States, unless otherwise agreed by us in writing. This is a general summary of the article; you should refer to the language of our post-offering amended and restated memorandum and articles of association for details.</w:t>
      </w:r>
    </w:p>
    <w:p>
      <w:pPr>
        <w:spacing w:after="0" w:line="19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32406B"/>
        </w:rPr>
        <w:t>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as it applies to the Securities Act and that investors cannot waive compliance with the federal securities laws and the rules and regulations thereunder may have the effect of discouraging lawsuits against our directors and officers.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Doing Business in China</w:t>
      </w:r>
    </w:p>
    <w:p>
      <w:pPr>
        <w:spacing w:after="0" w:line="121"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32406B"/>
        </w:rPr>
        <w:t>A severe or prolonged downturn in the PRC or global economy could materially and adversely affect our business, results of operations and financial condition.</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32406B"/>
        </w:rPr>
        <w:t>The global macroeconomic environment is facing challenges, including the economic slowdown in the Eurozone since 2014, potential impact of the United Kingdom’s exit from the EU on January 31, 2020, and the adverse impact on the global economies and financial markets as the COVID-19 outbreak continues to evolve into a worldwide health crisis in 2020. The growth of the PRC economy has slowed down since 2012 compared to the previous decade and the trend may continue.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and over the conflicts involving Ukraine, Syria and North Korea. There have also been concerns on the relationship among China and other Asian countries, which may result in or intensify potential conflicts in relation to territorial disputes, and the trade disputes between the United States and China. The ongoing trade tensions between the United States and China may have tremendous negative impact on the economies of not merely the two countries concerned, but the global economy as a whole. It is unclear whether these challenges and uncertainties will be contained or resolved, and what effects they may have on the global political and economic conditions in the long term.</w:t>
      </w:r>
    </w:p>
    <w:p>
      <w:pPr>
        <w:spacing w:after="0" w:line="18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32406B"/>
        </w:rPr>
        <w:t>Economic conditions in China are sensitive to global economic conditions, changes in domestic economic and political policies, and the expected or perceived overall economic growth rate in China. While the economy in China has grown significantly over the past decades, growth has been uneven, both geographically and among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51</w:t>
      </w:r>
    </w:p>
    <w:p>
      <w:pPr>
        <w:sectPr>
          <w:pgSz w:w="11900" w:h="16838" w:orient="portrait"/>
          <w:cols w:equalWidth="0" w:num="1">
            <w:col w:w="11060"/>
          </w:cols>
          <w:pgMar w:left="320" w:top="459"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32406B"/>
        </w:rPr>
        <w:t>various sectors of the economy, and the rate of growth has been slowing in recent years. Although growth of China’s economy remained relatively stable, there is a possibility that China’s economic growth may materially decline in the near future. Any severe or prolonged slowdown in the global or PRC economy may materially and adversely affect our business, results of operations and financial condition.</w:t>
      </w:r>
    </w:p>
    <w:p>
      <w:pPr>
        <w:spacing w:after="0" w:line="292"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32406B"/>
        </w:rPr>
        <w:t>Changes in China’s economic, political or social conditions or government policies could have a material adverse effect on our business, financial condition and results of operations.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32406B"/>
        </w:rPr>
        <w:t>While the Chinese economy has experienced significant growth over past decades, growth has been uneven, both geographically and among various sectors of the economy. In addition, the rate of growth has been slowing since 2012, and the impact of COVID-19 on the Chinese and global economies in 2020 is likely to be severe. In particular, National Bureau of Statistics of China reported a 6.8% drop in gross domestic product (GDP) for the first quarter of 2020 compared with the same period of 2019. Any adverse changes in economic conditions in China, in the policies of the Chinese government or in the laws and regulations in China could have a material adverse effect on the overall economic growth of China. Such developments could adversely affect our business and results of operations, lead to a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results of operations.</w:t>
      </w:r>
    </w:p>
    <w:p>
      <w:pPr>
        <w:spacing w:after="0" w:line="280"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b w:val="1"/>
          <w:bCs w:val="1"/>
          <w:i w:val="1"/>
          <w:iCs w:val="1"/>
          <w:color w:val="32406B"/>
        </w:rPr>
        <w:t>If relations between China and the United States deteriorate, our business, operating results and financial condition could be adversely affected.</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32406B"/>
        </w:rPr>
        <w:t>At various times during recent years, the United States and China have had significant disagreements over monetary, economic, political and social issues, including currently in relation to the COVID-19 pandemic, and future relations between these two countries may deteriorate. Changes in political conditions and changes in the state of China-U.S. relations are difficult to predict and could adversely affect our business, operating results and financial condition. In addition, because we operate our business primarily in China, any deterioration in political or trade relations might cause a public perception in the United States or elsewhere that might cause our products and services to become less attractive. We cannot predict what effect any changes in China-U.S. relations may have on our ability to access capital or effectively do business in China or the United States. Any unfavorable government policies on international trade, such as capital controls or tariffs, or the U.S. dollar payment and settlement system may affect the demand for our products, impact the competitive position of our products, prevent us from selling products in certain countries, or even our participation in the U.S. dollar payment and settlement system, which would materially and adversely affect our international operations, results of operations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52</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32406B"/>
        </w:rPr>
        <w:t>and financial condition.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 Recently, the U.S. government escalated tensions between the U.S. and China by revoking Hong Kong’s special trading status and further sanctioning Chinese companies such as Huawei. Moreover, any political or trade controversies between the United States and China, whether or not directly related to our business, could cause investors to be unwilling to hold or buy the ADSs and consequently cause the trading price of the ADSs to decline.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32406B"/>
        </w:rPr>
        <w:t>We may be required to obtain and maintain permits and licenses to operate certain of our business operations under PRC law.</w:t>
      </w:r>
    </w:p>
    <w:p>
      <w:pPr>
        <w:spacing w:after="0" w:line="1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32406B"/>
        </w:rPr>
        <w:t>Telecommunications operators in China are subject to regulation by, and under the supervision of, the MIIT, the primary regulator of the telecommunications industry in China. Other PRC government authorities also take part in regulating the telecommunications industry in areas such as tariff policies and foreign investment. The MIIT, under the direction of the State Council, has been preparing a draft telecommunications law, which, once adopted, will become the fundamental telecommunications statute and the legal basis for telecommunications regulations in China. In 2000, the State Council promulgated a set of telecommunications regulations, or the Telecommunications Regulations, that apply in the interim period prior to the adoption of the telecommunications law.</w:t>
      </w:r>
    </w:p>
    <w:p>
      <w:pPr>
        <w:spacing w:after="0" w:line="19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32406B"/>
        </w:rPr>
        <w:t>Pursuant to the Catalog of Telecommunications Business of the PRC, or the Catalog, most recently amended in June 2019, providers of internet data center (IDC) services, including “internet-based resource collaboration” (IRC) services, are required to obtain an IDC license. As advised by Jia Yuan Law Firm, our PRC legal counsel, IRC services are defined quite broadly under the Catalog to include the provision “in a shared, collaborative manner” of “data storage, application deployment and other internet-based services that are readily accessible and easily modifiable on an on-demand basis.” We have recently inquired with competent PRC regulatory authorities for clarification of the requirement of IDC license and were informed that it generally applies to Infrastructure-as-a-Service, or IaaS, providers that engage in server hosting business or those that provide developers with internet-based development environments. It generally does not apply to providers of application development middleware, such as APIs and SDKs, or providers of data storage services where data is generated by individual users and is used for their personal use only.</w:t>
      </w:r>
    </w:p>
    <w:p>
      <w:pPr>
        <w:spacing w:after="0" w:line="165"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32406B"/>
        </w:rPr>
        <w:t>We rely on third-party cloud-hosting providers such as AWS, Microsoft Azure and Tencent Cloud to provide cloud infrastructure for our platform. We do not engage in server hosting business ourselves. In addition, while our business involves the transmission of IoT data, such data is dynamic, as opposed to static, meaning that it continually changes after it is recorded in order to maintain its integrity. The data, such as smart device usage data, is generally generated by individual users for their personal use only. Based on the above, we do not believe we are required to obtain an IDC license. Additionally, as of the date of this prospectus, we have not received any notice of warning or been subject to any penalties or disciplinary action from competent government authorities for not having an IDC license for IoT PaaS. However, there are still significant uncertainties relating to the interpretation and implementation of the scope of IDC and/or IRC services under the Catalog. We cannot assure you that the PRC regulatory authorities will not ultimately take a view contrary to our opinion, or that the requirements in the Catalog will not be interpreted and applied in a manner that is inconsistent with our understanding as described above. If this were to occur, we may be required to obtain an IDC license, and if we are not able to obtain such license in a timely manner, or at all, we may be subject to penalties and fines or, in extreme cases, confiscation of the gains derived from the operations or even being required to discontinue the operations for which the IDC license is required.</w:t>
      </w:r>
    </w:p>
    <w:p>
      <w:pPr>
        <w:spacing w:after="0" w:line="17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32406B"/>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32406B"/>
        </w:rPr>
        <w:t>China, including our business. We cannot assure you that we have obtained all the permits or licenses required for conducting our business in China or will be able to maintain our existing licenses or obtain new ones. If the PRC government considers that we were operating without the proper approvals, licenses or permits or promulgates new laws and regulations that require additional approvals or licenses or imposes additional restrictions on the operation of any part of our business, it has the power, among other things, to levy fines, confiscate our income, revoke our business licenses, and require us to discontinue our relevant business or impose restrictions on the affected portion of our business. Any of these actions by the PRC government may have a material adverse effect on our business and results of operations.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The uncertainties in the PRC legal system could materially and adversely affect us.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32406B"/>
        </w:rPr>
        <w:t>The PRC legal system is a civil law system based on written statutes. Unlike the common law system, prior court decisions under the civil law system may be cited for reference but have limited precedential value.</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32406B"/>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PRC legal system is based on written statutes and prior court decisions have limited value as precedents. Since these laws and regulations are relatively new and the PRC legal system continues to rapidly evolve, the interpretations of many laws, regulations and rules may not be uniform and enforcement of these laws, regulations and rules involves uncertainties.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280"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32406B"/>
        </w:rPr>
        <w:t>You may experience difficulties in effecting service of legal process, enforcing foreign judgments or bringing actions in China against us or our management named in the prospectus based on foreign laws.</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32406B"/>
        </w:rPr>
        <w:t>We are a company incorporated under the laws of the Cayman Islands, we conduct substantially all of our operations in China, and substantially all of our assets are located in China. In addition, some of our senior executive officers reside within China for a significant portion of the time and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17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32406B"/>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became effective in March 2020, no overseas securities regulator is allowed to directly conduct investigation or evidence collection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54</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32406B"/>
        </w:rPr>
        <w:t>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“—Risks Relating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65"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b w:val="1"/>
          <w:bCs w:val="1"/>
          <w:i w:val="1"/>
          <w:iCs w:val="1"/>
          <w:color w:val="32406B"/>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6"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32406B"/>
        </w:rPr>
        <w:t>We are a Cayman Islands holding company and we rely principally on dividends and other distributions on equity from our PRC subsidiaries for our cash requirements, including for services of any debt we may incur.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are required to set aside at least 10% of its after-tax profits each year, if any, to fund a statutory reserve until such reserve reaches 50% of each of their registered capitals.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66"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32406B"/>
        </w:rPr>
        <w:t>To address the persistent capital outflow and the RMB’s depreciation against the U.S. dollar in the fourth quarter of 2016, the People’s Bank of China and the State Administration of Foreign Exchange, or SAFE, have implemented a series of capital control measures in the subsequent months, including stricter vetting procedures for China-based companies to remit foreign currency for overseas acquisitions, dividend payments and shareholder loan repayments. For instance, the Circular on Promoting the Reform of Foreign Exchange Management and Improving Authenticity and Compliance Review, or the SAFE Circular 3, issued on January 26, 2017, provides that the banks shall, when dealing with dividend remittance transactions from domestic enterprise to its offshore shareholders of more than US$50,000, review the relevant board resolutions, original tax filing form and audited financial statements of such domestic enterprise based on the principal of genuine transaction. The PRC government may continue to strengthen its capital controls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6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32406B"/>
        </w:rPr>
        <w:t>In addition, the Enterprise Income Tax Law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 Pursuant to the tax agreement between Mainland China and the Hong Kong Special Administrative Region, the withholding tax rate in respect to the payment of dividends by a PRC enterprise to a Hong Kong enterprise may be reduced to 5% from a standard rate of 10% if the Hong Kong enterprise (i) directly holds at least 25% of the PRC enterprise, (ii) is a tax resident in Hong Kong and (iii) could be recognized as a beneficial owner of the dividend from PRC tax perspective. Under administrative guidance,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Nonresident enterprises are not required to obtain pre-approval from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55</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32406B"/>
        </w:rPr>
        <w:t>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our Hong Kong subsidiary may be able to benefit from the 5% withholding tax rate for the dividends it receives from our PRC subsidiaries, if it satisfies the conditions prescribed under Guoshuihan [2009] 81 and other relevant tax rules and regulations. However, if the relevant tax authorities consider the transactions or arrangements we have are for the primary purpose of enjoying a favorable tax treatment, the relevant tax authorities may adjust the favorable withholding tax in the future. Accordingly, there is no assurance that the reduced 5% will apply to dividends received by our Hong Kong subsidiary from our PRC subsidiaries. This withholding tax will reduce the amount of dividends we may receive from our PRC subsidiaries.</w:t>
      </w:r>
    </w:p>
    <w:p>
      <w:pPr>
        <w:spacing w:after="0" w:line="304"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32406B"/>
        </w:rPr>
        <w:t>The custodians or authorized users of our controlling non-tangible assets, including chops and seals, may fail to fulfill their responsibilities, or misappropriate or misuse these assets.</w:t>
      </w:r>
    </w:p>
    <w:p>
      <w:pPr>
        <w:spacing w:after="0" w:line="62"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32406B"/>
        </w:rPr>
        <w:t>Under the PRC law, legal documents for corporate transactions, including agreements and contracts are executed using the chop or seal of the signing entity or with the signature of a legal representative whose designation is registered and filed with relevant PRC market regulation authorities.</w:t>
      </w:r>
    </w:p>
    <w:p>
      <w:pPr>
        <w:spacing w:after="0" w:line="12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32406B"/>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VIE.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89"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32406B"/>
        </w:rPr>
        <w:t>If the preferential tax treatments and government subsidies granted by PRC government become unavailable, our results of operation and financial condition may be adversely affected.</w:t>
      </w:r>
    </w:p>
    <w:p>
      <w:pPr>
        <w:spacing w:after="0" w:line="62"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32406B"/>
        </w:rPr>
        <w:t>Our PRC subsidiaries are subject to the PRC corporate income tax at a standard rate of 25% on their taxable income, but in 2019 and 2020, preferential tax treatment was available to one of our PRC subsidiaries. Tuya Information was recognized as a “High-tech Enterprise” in November 2018, which allowed it to apply an income tax rate of 15% for the subsequent three years.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We cannot assure you that the PRC policies on preferential tax treatments will not change or that the current preferential tax treatments we enjoy or will be entitled to enjoy will not be canceled. Moreover, we cannot assure you that our PRC subsidiaries will be able to renew the same preferential tax treatments upon expiration. If any such change, cancelation or discontinuation of preferential tax treatment occurs, the relevant PRC subsidiaries will be subject to the PRC enterprise income tax, or EIT, at a rate of 25% on taxable income. As a result, the increase in our tax charge could materially and adversely affect our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b w:val="1"/>
          <w:bCs w:val="1"/>
          <w:i w:val="1"/>
          <w:iCs w:val="1"/>
          <w:color w:val="32406B"/>
        </w:rPr>
        <w:t>PRC regulation of loans to and direct investment in PRC entities by offshore holding companies and governmental control of currency conversion may restrict or delay us from using the proceeds of this offering to make loans or additional capital contributions to our PRC subsidiaries and making loans to our VIE or its subsidiaries, which could adversely affect our liquidity and our ability to fund and expand our business.</w:t>
      </w:r>
    </w:p>
    <w:p>
      <w:pPr>
        <w:spacing w:after="0" w:line="7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32406B"/>
        </w:rPr>
        <w:t>We are an offshore holding company conducting our operations in China through our PRC subsidiaries and our VIE. We may make loans to our PRC subsidiaries and VIE subject to the approval from governmental authorities and limitation of amount, or we may make additional capital contributions to our PRC subsidiaries in China.</w:t>
      </w:r>
    </w:p>
    <w:p>
      <w:pPr>
        <w:spacing w:after="0" w:line="184"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32406B"/>
        </w:rPr>
        <w:t>Any loans to our PRC subsidiaries in China, which are treated as foreign-invested enterprises under PRC law, are subject to PRC regulations and foreign exchange loan registrations. For example, loans by us to our PRC subsidiaries in China to finance their activities cannot exceed statutory limits and must be registered with the local counterpart of SAFE.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6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32406B"/>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 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this offering, to our PRC subsidiaries, which may adversely affect our liquidity and our ability to fund and expand our business in China.</w:t>
      </w:r>
    </w:p>
    <w:p>
      <w:pPr>
        <w:spacing w:after="0" w:line="180"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32406B"/>
        </w:rPr>
        <w:t>On October 23, 2019, SAFE issued Notice by the State Administration of Foreign Exchange of Further Facilitating Cross-border Trade and Investment, or Circular 28, which took effect on the same day. Circular 28, subject to certain conditions, allows foreign-invested enterprises whose business scope does not include investment, or non-investment foreign-invested enterprises, to use their capital funds to make equity investments in China. Since Circular 28 was issued only recently, its interpretation and implementation in practice are still subject to substantial uncertainties.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57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32406B"/>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VIE or future capital contributions by us to our wholly foreign-owned subsidiaries in China. As a result, uncertainties exist as to our ability to provide prompt financial support to our PRC subsidiaries or VIE when needed.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32406B"/>
        </w:rPr>
        <w:t>Governmental control of currency conversion may limit our ability to utilize our revenues effectively and affect the value of your investment.</w:t>
      </w:r>
    </w:p>
    <w:p>
      <w:pPr>
        <w:spacing w:after="0" w:line="15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32406B"/>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28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32406B"/>
        </w:rPr>
        <w:t>The approval of the China Securities Regulatory Commission, or the CSRC, may be required in connection with this offering under a PRC regulation.</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 xml:space="preserve">On August 8, 2006, six PRC regulatory agencies, including the MOFCOM, the State-Owned Assets Supervision and Administration Commission, or the SASAC, the SAT, the State Administration for Industry and Commerce, or the SAIC, the CSRC, and the State Administration of Foreign Exchange, or the SAFE, jointly adopted the </w:t>
      </w:r>
      <w:r>
        <w:rPr>
          <w:rFonts w:ascii="Arial" w:cs="Arial" w:eastAsia="Arial" w:hAnsi="Arial"/>
          <w:sz w:val="17"/>
          <w:szCs w:val="17"/>
          <w:i w:val="1"/>
          <w:iCs w:val="1"/>
          <w:color w:val="32406B"/>
        </w:rPr>
        <w:t>Regulations on Mergers and Acquisitions of Domestic Enterprises by Foreign Investors</w:t>
      </w:r>
      <w:r>
        <w:rPr>
          <w:rFonts w:ascii="Arial" w:cs="Arial" w:eastAsia="Arial" w:hAnsi="Arial"/>
          <w:sz w:val="17"/>
          <w:szCs w:val="17"/>
          <w:color w:val="32406B"/>
        </w:rPr>
        <w:t>, or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However, substantial uncertainty remains regarding the scope and applicability of the M&amp;A Rules to offshore special purpose vehicles.</w:t>
      </w:r>
    </w:p>
    <w:p>
      <w:pPr>
        <w:spacing w:after="0" w:line="181"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32406B"/>
        </w:rPr>
        <w:t>While the application of the M&amp;A Rules remains unclear, we believe, based on the advice of our PRC legal counsel, Jia Yuan Law Offices, that the CSRC approval is not required in the context of this offering because (1) our WFOE was incorporated as a foreign-invested enterprise by means of foreign direct investments rather than by merger with or acquisition of any PRC domestic companies as defined under the M&amp;A Rules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58</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86" w:lineRule="auto"/>
        <w:tabs>
          <w:tab w:leader="none" w:pos="375" w:val="left"/>
        </w:tabs>
        <w:numPr>
          <w:ilvl w:val="0"/>
          <w:numId w:val="31"/>
        </w:numPr>
        <w:rPr>
          <w:rFonts w:ascii="Arial" w:cs="Arial" w:eastAsia="Arial" w:hAnsi="Arial"/>
          <w:sz w:val="16"/>
          <w:szCs w:val="16"/>
          <w:color w:val="32406B"/>
        </w:rPr>
      </w:pPr>
      <w:r>
        <w:rPr>
          <w:rFonts w:ascii="Arial" w:cs="Arial" w:eastAsia="Arial" w:hAnsi="Arial"/>
          <w:sz w:val="16"/>
          <w:szCs w:val="16"/>
          <w:color w:val="32406B"/>
        </w:rPr>
        <w:t>there is no statutory provision that clearly classifies the contractual arrangement among our WFOE, our VIE and our VIE’s shareholders as transactions regulated by the M&amp;A Rules. There can be no assurance that the relevant PRC government agencies, including the CSRC, would reach the same conclusion as our PRC legal counsel. If the CSRC or other PRC regulatory body subsequently determines that we need to obtain the CSRC’s approval for this offering or if the CSRC or any other PRC government authorities promulgates any interpretation or implements rules that would require us to obtain CSRC or other governmental approvals for this offering, we may face adverse actions or sanctions by the CSRC or other PRC regulatory agencies. In any such event, these regulatory agencies may impose fines and penalties on our operations in China, limit our operating privileges in China, delay or restrict the repatriation of the proceeds from this offering into the PRC or take other actions that could adversely affect our business, operating results and financial condition, as well as our ability to complete this offering. The CSRC or other PRC regulatory agencies may also take actions requiring us, or making it advisable for us, to halt this offering before settlement and delivery of the ADSs offered by this prospectus. Consequently, if you engage in market trading or other activities in anticipation of and prior to settlement and delivery, you do so at the risk that such settlement and delivery may not occur. In addition, if the CSRC or other regulatory agencies later promulgate new rules or explanations requiring us to obtain their approvals for this offering, we may be unable to obtain waivers of such approval requirements. Any uncertainties or negative publicity regarding such approval requirements could materially and adversely affect the trading price of the ADSs.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Certain PRC regulations may make it more difficult for us to pursue growth through acquisitions.</w:t>
      </w:r>
    </w:p>
    <w:p>
      <w:pPr>
        <w:spacing w:after="0" w:line="117"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6"/>
          <w:szCs w:val="16"/>
          <w:color w:val="32406B"/>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MOFCOM be notified in advance of any change of control transaction in which a foreign investor takes control of a PRC domestic enterprise, if (i) any important industry is concerned,</w:t>
      </w:r>
    </w:p>
    <w:p>
      <w:pPr>
        <w:spacing w:after="0" w:line="1" w:lineRule="exact"/>
        <w:rPr>
          <w:sz w:val="20"/>
          <w:szCs w:val="20"/>
          <w:color w:val="auto"/>
        </w:rPr>
      </w:pPr>
    </w:p>
    <w:p>
      <w:pPr>
        <w:ind w:left="120" w:hanging="4"/>
        <w:spacing w:after="0" w:line="268" w:lineRule="auto"/>
        <w:tabs>
          <w:tab w:leader="none" w:pos="385"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such transaction involves factors that have or may have impact on the national economic security, or (iii) such transaction will lead to a change in control of a domestic enterprise which holds a famous trademark or PRC time-honored brand. Moreover, the Anti-Monopoly Law promulgated by the Standing Committee of the NPC which became effective in 2008 requires that transactions which are deemed concentrations and involve parties with specified turnover thresholds must be cleared by the relevant anti-monopoly authority before they can be completed. In addition, PRC national security review rules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competent governmental authority, may delay or inhibit our ability to complete such transactions, which could affect our ability to expand our business or maintain our market share.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32406B"/>
        </w:rPr>
        <w:t>Failure to make adequate contributions to various employee benefit plans as required by PRC regulations may subject us to penalties.</w:t>
      </w:r>
    </w:p>
    <w:p>
      <w:pPr>
        <w:spacing w:after="0" w:line="14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32406B"/>
        </w:rPr>
        <w:t>We are required under PRC laws and regulations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If we fail to make adequate payments in the future, we may be required to make up the contributions for these plans in the amount of 110% of the amount in the preceding month. If we fail to make or supplement contributions of social security premiums within the stipulated period, the social security premiums collection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32406B"/>
        </w:rPr>
        <w:t>agency may enquire into the deposit accounts of the employer with banks and other financial institutions. In an extreme situation, where we failed to contribute social security premiums in full amount and do not provide guarantee, the social security premiums collection agency may apply to a Chinese court for seizure, foreclosure or auction of our properties of value equivalent to the amount of social security premiums payable, and the proceeds from auction shall be used for contribution of social security premiums. If we are subject to deposit, seizure, foreclosure or auction in relation to the underpaid employee benefits, our financial condition and results of operations may be adversely affected.</w:t>
      </w:r>
    </w:p>
    <w:p>
      <w:pPr>
        <w:spacing w:after="0" w:line="284" w:lineRule="exact"/>
        <w:rPr>
          <w:sz w:val="20"/>
          <w:szCs w:val="20"/>
          <w:color w:val="auto"/>
        </w:rPr>
      </w:pPr>
    </w:p>
    <w:p>
      <w:pPr>
        <w:ind w:left="560" w:right="220"/>
        <w:spacing w:after="0" w:line="311" w:lineRule="auto"/>
        <w:rPr>
          <w:sz w:val="20"/>
          <w:szCs w:val="20"/>
          <w:color w:val="auto"/>
        </w:rPr>
      </w:pPr>
      <w:r>
        <w:rPr>
          <w:rFonts w:ascii="Arial" w:cs="Arial" w:eastAsia="Arial" w:hAnsi="Arial"/>
          <w:sz w:val="16"/>
          <w:szCs w:val="16"/>
          <w:b w:val="1"/>
          <w:bCs w:val="1"/>
          <w:i w:val="1"/>
          <w:iCs w:val="1"/>
          <w:color w:val="32406B"/>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4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32406B"/>
        </w:rPr>
        <w:t>In July 2014, SAFE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19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32406B"/>
        </w:rPr>
        <w:t>SAFE Circular 37 requires registration with, and approval from, Chinese government authorities in connection with direct or indirect control of an offshore entity by PRC residents. The term “control” under SAFE Circular 37 is broadly defined as the operation rights, beneficiary rights or decision-making rights acquired by PRC residents in the offshore special purpose vehicles, or SPVs, by means of acquisition, trust, proxy, voting rights, repurchase, convertible bonds or other arrangements. In addition, any PRC resident who is a direct or indirect shareholder of an SPV is required to update its filed registration with the local branch of SAFE with respect to that SPV, to reflect any material change.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These regulations may have a significant impact on our present and future structuring and investment. We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Any failure or inability by such individuals or entities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8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32406B"/>
        </w:rPr>
        <w:t>Furthermore, as these foreign exchange regulations are still relatively new and their interpretation and implementation has been constantly evolving, it is unclear how these regulations, and any future regulation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60</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32406B"/>
        </w:rPr>
        <w:t>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86"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32406B"/>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32406B"/>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In addition, SAFE Circular 37 stipulates that PRC residents who participate in a share incentive plan of an overseas non-publicly-listed special purpose company may register with SAFE or its local branches before they obtain the incentive shares or exercise the share options. We and our executive officers and other employees who are PRC citizens or who reside in the PRC for a continuous period of not less than one year and who have been or will be granted incentive shares or options are or will be subject to these regulations. Failure to complete the SAFE registrations may subject them to fines and legal sanctions, and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 See “Regulation—Regulation Related to Stock Incentive Plans.”</w:t>
      </w:r>
    </w:p>
    <w:p>
      <w:pPr>
        <w:spacing w:after="0" w:line="28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32406B"/>
        </w:rPr>
        <w:t>If we are classified as a PRC resident enterprise for PRC enterprise income tax purposes, such classification could result in unfavorable tax consequences to us and our non-PRC shareholders and ADS holders.</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32406B"/>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61</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32406B"/>
        </w:rPr>
        <w:t>enterprise’s primary assets, accounting books and records, company seals, and board and shareholder resolutions are located or maintained in the PRC; and (iv) at least 50% of voting board members or senior executives habitually reside in the PRC.</w:t>
      </w:r>
    </w:p>
    <w:p>
      <w:pPr>
        <w:spacing w:after="0" w:line="17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32406B"/>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offshore subsidiaries is a PRC resident enterprise for enterprise income tax purposes, our company or the relevant offshore subsidiaries will be subject to PRC enterprise income on its worldwide income at the rate of 25%. Furthermore, if we are treated as a PRC tax resident enterprise, we will be required to withhold a 10% tax from dividends we pay to our shareholders that are non- resident enterprises, including the holders of the ADSs. In addition, non-resident enterprise shareholders (including our ADS holders) may be subject to PRC tax at a rate of 10% on gains realized on the sale or other disposition of ADSs or ordinary shares, if such gain is treated as derived from a PRC source.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our non-PRC shareholders would, in practice, be able to obtain the benefits of any tax treaties between their country of tax residence and the PRC in the event that we are treated as a PRC resident enterprise. Any such tax may reduce the returns on your investment in the ADSs or ordinary shares.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32406B"/>
        </w:rPr>
        <w:t>We face uncertainty with respect to indirect transfers of equity interests in PRC resident enterprises by their non-PRC resident companies.</w:t>
      </w:r>
    </w:p>
    <w:p>
      <w:pPr>
        <w:spacing w:after="0" w:line="14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32406B"/>
        </w:rPr>
        <w:t>On February 3, 2015, the SAT issued the Public Notice Regarding Certain Corporate Income Tax Matters on Indirect Transfer of Properties by Non- Tax Resident Enterprises, or SAT Bulletin 7, which came into effect on February 3, 2015, but will also apply to cases where their PRC tax treatments are not yet concluded. SAT Bulletin 7 redefines the applicable scope to expand the subject of the indirect share transfers to China taxable assets which includes equity investments in PRC resident enterprises, assets of Chinese establishment and immoveable properties in China.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w:t>
      </w:r>
    </w:p>
    <w:p>
      <w:pPr>
        <w:spacing w:after="0" w:line="16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32406B"/>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Where a non-resident enterprise transfers taxable assets in China indirectly by disposing of the equity interests of an overseas holding company, which is an Indirect Transfer, the non-resident enterprise as either transferor or transferee, or the PRC entity whose equity is transferred,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We face uncertainties as to the reporting and other implications of certain past and future transactions where PRC taxable assets are involved, such as offshore restructuring, sale of the shares in our offshore subsidiaries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62</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32406B"/>
        </w:rPr>
        <w:t>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72"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32406B"/>
        </w:rPr>
        <w:t>Regulation and censorship of information disseminated over the internet in China may adversely affect our business and reputation and subject us to liability for information displayed on our website.</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32406B"/>
        </w:rPr>
        <w:t>China has enacted laws and regulations governing Internet access and the distribution of products, services, news, information, audio-video programs and other content through the Internet. In the past, the PRC government has prohibited the distribution of information through the internet that it deems to be in violation of PRC laws and regulations. If any of the information offered on our platform was deemed by the PRC government to violate any content restrictions, we would not be able to continue to display such content and could become subject to penalties, including confiscation of income, fines, suspension of business and revocation of required licenses, which could materially and adversely affect our business, financial condition and results of operations.</w:t>
      </w:r>
    </w:p>
    <w:p>
      <w:pPr>
        <w:spacing w:after="0" w:line="300"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32406B"/>
        </w:rPr>
        <w:t>The audit report included in this prospectus is prepared by an accounting firm that is not inspected by the PCAOB and, as such, our investors are deprived of the benefits of such inspection.</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32406B"/>
        </w:rPr>
        <w:t>Our audit report included in this prospectus is prepared by an accounting firm that is not inspected by the PCAOB. Companies that are publicly traded in the United States must have their financial statements audited by an independent public accounting firm registered with the PCAOB. This lack of the PCAOB inspections in China prevents the PCAOB from fully evaluating audits and quality control procedures of our auditor. As a result, we and investors in our ADSs are deprived of the benefits of such PCAOB inspections, which could cause investors in our ADSs to lose confidence in our audit procedures and the quality of our financial statements.</w:t>
      </w:r>
    </w:p>
    <w:p>
      <w:pPr>
        <w:spacing w:after="0" w:line="296" w:lineRule="exact"/>
        <w:rPr>
          <w:sz w:val="20"/>
          <w:szCs w:val="20"/>
          <w:color w:val="auto"/>
        </w:rPr>
      </w:pPr>
    </w:p>
    <w:p>
      <w:pPr>
        <w:ind w:left="560" w:right="120"/>
        <w:spacing w:after="0" w:line="286" w:lineRule="auto"/>
        <w:rPr>
          <w:sz w:val="20"/>
          <w:szCs w:val="20"/>
          <w:color w:val="auto"/>
        </w:rPr>
      </w:pPr>
      <w:r>
        <w:rPr>
          <w:rFonts w:ascii="Arial" w:cs="Arial" w:eastAsia="Arial" w:hAnsi="Arial"/>
          <w:sz w:val="17"/>
          <w:szCs w:val="17"/>
          <w:b w:val="1"/>
          <w:bCs w:val="1"/>
          <w:i w:val="1"/>
          <w:iCs w:val="1"/>
          <w:color w:val="32406B"/>
        </w:rPr>
        <w:t>The continued impasse on the ability of the PCAOB to inspect or investigate PCAOB-registered accounting firms in China and U.S. regulatory and legislative focus, including recent enactment of the Holding Foreign Companies Accountable Act, may (i) adversely affect the market price of our ADSs and (ii) eventually require us to delist our securities from the U.S. markets.</w:t>
      </w:r>
    </w:p>
    <w:p>
      <w:pPr>
        <w:spacing w:after="0" w:line="5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32406B"/>
        </w:rPr>
        <w:t>Over the past decade, the U.S. securities regulators (SEC and PCAOB) and their Chinese counterparts (the China Securities Regulatory Commission, or CSRC, and the PRC Ministry of Finance) have been in an impasse over the PCAOB’s ability to inspect or investigate the audit work of accounting firms that audit the financial statements of China-based companies. Under U.S. securities laws, publicly listed companies are required to have their financial statements audited by independent public accounting firms registered with the PCAOB. Under the Sarbanes-Oxley Act of 2002, the PCAOB is required to inspect the PCAOB-registered accounting firms to assess compliance with auditing standards and bring enforcement actions for non-compliance with such standards. If requested by the PCAOB or the SEC, PCAOB-registered accounting firms are required to provide the audit work papers and other related information for inspection. However, the PCAOB currently does not have free access to inspect the work of auditors of China-based companies, including our company. Article 177 of the revised PRC Securities Law prohibits, without the approval of the securities regulatory authority in China, (i) foreign securities regulators from engaging in any inspection activities within China and (ii) anyone from providing any documents or materials relating to capital markets activities to foreign parties.</w:t>
      </w:r>
    </w:p>
    <w:p>
      <w:pPr>
        <w:spacing w:after="0" w:line="18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32406B"/>
        </w:rPr>
        <w:t>To seek a framework for cooperation, in May 2013, the PCAOB entered into a Memorandum of Understanding on Enforcement Cooperation, or the MOU, with the CSRC and the PRC Ministry of Finance, which establishes a cooperative framework among the parties for the production and exchange of audit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32406B"/>
        </w:rPr>
        <w:t>documents relevant to investigations undertaken by the PCAOB, the CSRC or the PRC Ministry of Finance in the United States and the PRC, respectively. Despite the MOU, the Chairmen of each of the SEC and the PCAOB issued a joint statement in December 2018 alleging continuing, significant issues relating to the ability of the PCAOB to inspect the audit work papers and practices of PCAOB-registered accounting firms in China with respect to their audit work of U.S.-listed companies with operations in China. The SEC and the PCAOB reiterated these allegations and highlighted such risks in another joint statement in April 2020.</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32406B"/>
        </w:rPr>
        <w:t>As part of the continued regulatory scrutiny in the United States on access to audit and other information currently protected by laws in China, in December 2020, the U.S. Congress passed the Holding Foreign Companies Accountable Act, or the HFCAA, which had passed the U.S. Senate in May 2020. The HFCAA was signed into law by the President in December 2020. The HFCAA would amend the Sarbanes-Oxley Act to require the SEC to determine each company that is required to file periodic reports with the SEC that has retained an accounting firm: (i) that is located in a foreign jurisdiction and (ii) whom the PCAOB is unable to inspect or investigate due to the position taken by an authority in the foreign jurisdiction (as determined by the PCAOB). If the SEC determines that the PCAOB has been unable to inspect or investigate such accounting firm for three consecutive years, it will prohibit such company from trading its securities on a U.S. securities exchange or in any “over-the-counter” exchange. It is unclear when the SEC will issue the implementation rules of the HFCAA and when such rules will become effective.</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32406B"/>
        </w:rPr>
        <w:t>In addition, in August 2020, the President’s Working Group on Financial Markets, or the PWG, released a report recommending that the SEC take certain steps, including adopting enhanced listing standards on U.S. stock exchanges, to protect U.S. investors from the perceived risks of Chinese companies. This would require, as a condition to initial and continued listing on a U.S. stock exchange, PCAOB access to work papers of the principal audit firm for the audit of the listed company. Companies unable to satisfy this standard as a result of governmental restrictions may satisfy this standard by providing a co-audit from an audit firm with comparable resources and experience where the PCAOB determines it has sufficient access to audit work papers and practices to conduct an appropriate inspection of the co-audit firm. There is currently no legal framework under which such a co-audit may be legally conducted for companies based in China. The proposed new listing standards would allow for a transition period until January 1, 2022 for listed companies, but would apply immediately to ban new listings once the necessary rulemakings and standard-setting are effective.</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32406B"/>
        </w:rPr>
        <w:t>It is unclear if and when the SEC will make rules to implement the recommendations proposed in the PWG report, especially in light of its rulemaking pursuant to the HFCAA. Upon the effectiveness of the SEC implementation rules relating to the HFCAA (and PWG report, if applicable), we will be subject to the requirement to have our financial statements audited by an accounting firm for which the PCAOB can inspect and investigate. Failure to comply with such requirements could ultimately result in a de-listing of the ADSs from NYSE. In addition, the uncertainty around the HFCAA and PWG report could adversely affect the market price of our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the ADSs and this Offering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32406B"/>
        </w:rPr>
        <w:t>An active trading market for our ordinary shares or the ADSs may not develop and the trading price for the ADSs may fluctuate significantly.</w:t>
      </w:r>
    </w:p>
    <w:p>
      <w:pPr>
        <w:spacing w:after="0" w:line="15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32406B"/>
        </w:rPr>
        <w:t>We have been approved to list the ADSs on the NYSE.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will be determined by negotiation between us and the underwriters based upon several factors, and the trading price of the ADSs after this offering could decline below the initial public offering price. As a result, investors in our securities may experience a significant decrease in the value of their ADSs.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64</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32406B"/>
        </w:rPr>
        <w:t>Certain existing shareholders and their affiliates and third-party investors have subscribed for, and been allocated by the underwriters, an aggregate of 14,725,000 ADSs in this offering, including (i) 2,375,000 ADSs from our existing shareholder Tencent, (ii) 2,375,000 ADSs from Gaoling Fund, L.P. and YHG Investment, L.P., affiliates of our existing shareholder, or collectively Hillhouse Capital, and (iii) 9,975,000 ADSs from Canada Pension Plan Investment Board, one or more funds affiliated with Dragoneer Investment Group, LLC, GIC Private Limited, funds affiliated with Tiger Global Management, LLC, and/or their affiliates. The subscriptions for ADSs are at the initial public offering price and on the same terms as the other ADSs being offered in this offering. The number of ADSs subscribed by these investors represents approximately 33.8% of the ADSs being offered in this offering, assuming the underwriters do not exercise their option to purchase additional ADSs. Such subscriptions may reduce the available public float for the ADSs, which may consequently reduce the liquidity of the ADSs relative to what it would have been had these ADSs been subscribed by the public.</w:t>
      </w:r>
    </w:p>
    <w:p>
      <w:pPr>
        <w:spacing w:after="0" w:line="304"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32406B"/>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32406B"/>
        </w:rPr>
        <w:t>We have not determined a specific use for a portion of the net proceeds of this offering, and our management will have considerable discretion in the application of the proceeds received by us. You will not have the opportunity, as part of your investment decision, to assess whether proceeds are being used appropriately. The proceeds may be used for corporate purposes that do not improve our efforts to achieve or maintain profitability or increase our ADS price. The proceeds from this offering may be placed in investments that do not produce income or that lose value.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The trading price of the ADSs is likely to be volatile, which could result in substantial losses to investors.</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32406B"/>
        </w:rPr>
        <w:t>The trading price of the ADSs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Furthermore, the stock market in general has experienced extreme price and volume fluctuations that have often been unrelated or disproportionate to the operating performance of companies like us. These broad market and industry factors may materially reduce the market price of the ADSs, regardless of our operating performance. In addition to market and industry factors, the price and trading volume for the ADSs may be highly volatile for factors specific to our own operations, including but not limited to the following:</w:t>
      </w:r>
    </w:p>
    <w:p>
      <w:pPr>
        <w:spacing w:after="0" w:line="70"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macro-economic factors in China;</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variations in our net revenues, earnings and cash flows;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announcements of new investments, acquisitions or joint ventures by us or our competitors;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announcements of new offerings, solutions and expansions by us or our competitors;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changes in financial estimates by securities analysts;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detrimental adverse publicity about us, our services or our industry;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announcements of new regulations, rules or policies relevant to our business;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additions or departures of key personnel;</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allegations of a lack of effective internal control over financial reporting, inadequate corporate governance policies, or allegations of fraud, among other things, involving China- based issuers;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our major shareholders’ business performance and reputation;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release of lock-up or other transfer restrictions on our outstanding equity securities or sales of additional equity securities;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political or trade tensions between the United States and China;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actual or potential litigation or regulatory investigations.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65</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Any of these factors may result in large and sudden changes in the volume and price at which the ADSs will trade.</w:t>
      </w:r>
    </w:p>
    <w:p>
      <w:pPr>
        <w:spacing w:after="0" w:line="333"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b w:val="1"/>
          <w:bCs w:val="1"/>
          <w:i w:val="1"/>
          <w:iCs w:val="1"/>
          <w:color w:val="32406B"/>
        </w:rPr>
        <w:t>Because our initial public offering price is substantially higher than our net tangible book value per share, you will experience immediate and substantial dilution.</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32406B"/>
        </w:rPr>
        <w:t>If you purchase ADSs in this offering, you will pay more for your ADSs than the amount paid by our existing shareholders for their ordinary shares on a per ADS basis. As a result, you will experience immediate and substantial dilution of approximately US$18.78 per ADS, based on the initial public offering price of US$21.00 per ADS. See “Dilution” for a more complete description of how the value of your investment in the ADSs will be diluted upon completion of this offering.</w:t>
      </w:r>
    </w:p>
    <w:p>
      <w:pPr>
        <w:spacing w:after="0" w:line="295"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32406B"/>
        </w:rPr>
        <w:t>If securities or industry analysts do not publish research or reports about our business, or if they adversely change their recommendations regarding the ADSs, the market price for the ADSs and trading volume could decline.</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The trading market for the ADSs depends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market price for the ADSs would likely decline. If one or more of these analysts cease coverage of our company or fail to publish reports on us regularly, we could lose visibility in the financial markets, which, in turn, could cause the market price or trading volume for the ADSs to decline.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32406B"/>
        </w:rPr>
        <w:t>Substantial future sales or perceived potential sales of the ADSs in the public market could cause the price of the ADSs to decline.</w:t>
      </w:r>
    </w:p>
    <w:p>
      <w:pPr>
        <w:spacing w:after="0" w:line="1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32406B"/>
        </w:rPr>
        <w:t>Sales of the ADSs in the public market after this offering, or the perception that these sales could occur, could cause the market price of the ADSs to decline. All ADSs sold in this offering will be freely transferable without restriction or additional registration under the Securities Act. The remaining ordinary shares issued and outstanding after this offering will be available for sale, upon the expiration of the 180-day lock-up period (or the one-year lock-up period for Tencent Mobility Limited, one of our shareholders) beginning from the date of this prospectus, subject to volume and other restrictions as applicable provided in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the ADSs could decline.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Techniques employed by short sellers may drive down the market price of the ADSs.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32406B"/>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32406B"/>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enforcement actions by the SEC or other U.S. authorities.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66</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32406B"/>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303"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32406B"/>
        </w:rPr>
        <w:t>Because we do not expect to pay dividends in the foreseeable future after this offering, you must rely on a price appreciation of the ADSs for a return on your investment.</w:t>
      </w:r>
    </w:p>
    <w:p>
      <w:pPr>
        <w:spacing w:after="0" w:line="6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32406B"/>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after this offering or even maintain the price at which you purchased the ADSs. You may not realize a return on your investment in the ADSs and you may even lose your entire investment in the ADSs.</w:t>
      </w:r>
    </w:p>
    <w:p>
      <w:pPr>
        <w:spacing w:after="0" w:line="29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32406B"/>
        </w:rPr>
        <w:t>You may not have the same voting rights as the holders of our Class A ordinary shares and may not be able to exercise your right to direct how the Class A ordinary shares represented by your ADSs are voted.</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32406B"/>
        </w:rPr>
        <w:t>Holders of the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Class A ordinary shares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withdraw the shares and become the registered holder of such shares prior to the record date for the general meeting. Under our post-offering amended and restated memorandum and articles of association that will become effective immediately prior to the completion of this offering, the minimum notice period required to be given by our company to our registered shareholders for convening a general meeting is seven business days.</w:t>
      </w:r>
    </w:p>
    <w:p>
      <w:pPr>
        <w:spacing w:after="0" w:line="17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32406B"/>
        </w:rPr>
        <w:t>When a general meeting is convened, you may not receive sufficient advance notice of the meeting to surrender your ADSs for the purpose of withdrawal of the Class A ordinary shares underlying your ADSs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67</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32406B"/>
        </w:rPr>
        <w:t>become the registered holder of such shares to allow you to vote directly with respect to any specific matter or resolution to be considered and voted upon at the general meeting. In addition, under our post-offering amended and restated memorandum and articles of association that will become effective immediately prior to completion of this offering, for the purposes of determining those shareholders who are entitled to attend and vote at any general meeting, our directors may close our register of members and fix in advance a record date for such meeting, and such closure of our register of members or the setting of such a record date may prevent you from surrendering your ADS for the purpose of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40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your ADSs are voted and you may have no legal remedy if the Class A ordinary shares underlying your ADSs are not voted as you requested.</w:t>
      </w:r>
    </w:p>
    <w:p>
      <w:pPr>
        <w:spacing w:after="0" w:line="27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32406B"/>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32406B"/>
        </w:rPr>
        <w:t>We are an exempted company incorporated under the laws of the Cayman Islands. Our corporate affairs are governed by our memorandum and articles of association, the Companies Act (2020 Revision)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Moreover,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w:t>
      </w:r>
    </w:p>
    <w:p>
      <w:pPr>
        <w:spacing w:after="0" w:line="174" w:lineRule="exact"/>
        <w:rPr>
          <w:sz w:val="20"/>
          <w:szCs w:val="20"/>
          <w:color w:val="auto"/>
        </w:rPr>
      </w:pPr>
    </w:p>
    <w:p>
      <w:pPr>
        <w:jc w:val="both"/>
        <w:ind w:left="120" w:right="40" w:firstLine="440"/>
        <w:spacing w:after="0" w:line="273" w:lineRule="auto"/>
        <w:rPr>
          <w:sz w:val="20"/>
          <w:szCs w:val="20"/>
          <w:color w:val="auto"/>
        </w:rPr>
      </w:pPr>
      <w:r>
        <w:rPr>
          <w:rFonts w:ascii="Arial" w:cs="Arial" w:eastAsia="Arial" w:hAnsi="Arial"/>
          <w:sz w:val="17"/>
          <w:szCs w:val="17"/>
          <w:color w:val="32406B"/>
        </w:rPr>
        <w:t>Shareholders of Cayman Islands exempted companies like us have no general rights under Cayman Islands law to inspect corporate records (other than the memorandum and articles of association, the register of mortgages and charges and any special resolutions passed by shareholders)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32406B"/>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32406B"/>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“Description of Share Capital—Differences in Corporate Law.”</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It may be difficult for overseas regulators to conduct investigations or collect evidence within China.</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32406B"/>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Certain judgments obtained against us by our shareholders may not be enforceable.</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We are an exempted company limited by shares incorporated under the laws of the Cayman Islands and substantially all of our assets are located outside of the United States. Substantially all of our current operations are conducted in China. In addition, some of our current directors and officers are nationals and residents of countries other than the United States. Most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 However, the deposit agreement gives you the right to submit claims against us to binding arbitration, and arbitration awards may be enforceable against us and our assets in China even when court judgments are not.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You may not receive cash dividends if the depositary decides it is impractical to make them available to you.</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32406B"/>
        </w:rPr>
        <w:t>The depositary will pay cash dividends on the ADSs only to the extent that we decide to distribute dividends on our ordinary shares or other deposited securities, and we do not have any present plan to pay any cash dividends on our ordinary shares in the foreseeable future. To the extent that there is a distribution, the depositary of the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69</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32406B"/>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32406B"/>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8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32406B"/>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9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32406B"/>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92"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32406B"/>
        </w:rPr>
        <w:t>Nevertheless, if this jury trial waiver is not permitted by applicable law, an action could proceed under the terms of the deposit agreement with a jury trial. No condition, stipulation or provision of the deposit agreement or the ADSs serves as a waiver by any owners or holders of ADSs or by us or the depositary of compliance with any substantive provision of the U.S. federal securities laws and the rules and regulations promulgated thereunder.</w:t>
      </w:r>
    </w:p>
    <w:p>
      <w:pPr>
        <w:spacing w:after="0" w:line="257" w:lineRule="exact"/>
        <w:rPr>
          <w:sz w:val="20"/>
          <w:szCs w:val="20"/>
          <w:color w:val="auto"/>
        </w:rPr>
      </w:pPr>
    </w:p>
    <w:p>
      <w:pPr>
        <w:ind w:left="560" w:right="40"/>
        <w:spacing w:after="0" w:line="311" w:lineRule="auto"/>
        <w:rPr>
          <w:sz w:val="20"/>
          <w:szCs w:val="20"/>
          <w:color w:val="auto"/>
        </w:rPr>
      </w:pPr>
      <w:r>
        <w:rPr>
          <w:rFonts w:ascii="Arial" w:cs="Arial" w:eastAsia="Arial" w:hAnsi="Arial"/>
          <w:sz w:val="16"/>
          <w:szCs w:val="16"/>
          <w:b w:val="1"/>
          <w:bCs w:val="1"/>
          <w:i w:val="1"/>
          <w:iCs w:val="1"/>
          <w:color w:val="32406B"/>
        </w:rPr>
        <w:t>Our proposed dual-class share structure with different voting rights, as well as the concentration of our share ownership among executive officers, directors and principal shareholders, may limit your ability to influence corporate matters and could discourage others from pursuing any change of control transactions that holders of our Class A ordinary shares and the ADSs may view as beneficial.</w:t>
      </w:r>
    </w:p>
    <w:p>
      <w:pPr>
        <w:spacing w:after="0" w:line="4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32406B"/>
        </w:rPr>
        <w:t>We have adopted a dual-class share structure such that our ordinary shares will consist of Class A ordinary shares and Class B ordinary shares, which is conditional upon, and will become effective immediately prior to the completion of this offering. In respect of matters requiring the votes of shareholders, each Class A ordinary share is entitled to one vote and each Class B ordinary share is entitled to 15 votes. Each Class B ordinary share is convertible into one Class A ordinary share at any time by the holder thereof. Class A ordinary shares are not convertible into Class B ordinary shares under any circumstances. We will sell Class A ordinary shares represented by the ADSs in this offering. For more information, see “Description of Share Capital.”</w:t>
      </w:r>
    </w:p>
    <w:p>
      <w:pPr>
        <w:spacing w:after="0" w:line="192"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Mr. Xueji (Jerry) Wang, our Chief Executive Officer and director, and Mr. Liaohan (Leo) Chen, our director, will collectively beneficially own all of our issued and outstanding Class B ordinary shares immediately prior to the completion of this offering. These Class B ordinary shares will constitute approximately 25.4% of our total issued and outstanding share capital and 83.7% of the aggregate voting power of our total issued and outstanding share capital immediately following the completion of this offering, assuming the underwriters do not exercise their option to purchase additional ADSs.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70</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As a result of this dual-class share structure and the concentration of control, upon completion of this offering, Mr. Xueji (Jerry) Wang and Mr. Liaohan (Leo) Chen as a group will have significant influence over our business, including decisions regarding mergers, consolidations, liquidations and the sale of all or substantially all of our assets, election of directors and other significant corporate actions. In addition, our executive officers, directors, and principal shareholders and their affiliated entities together beneficially own approximately 63.8% of our outstanding ordinary shares on an as-converted basis immediately after the completion of this offering, assuming the underwriters do not exercise their option to purchase additional ADSs. These shareholders may take actions that are not in the best interest of us or our other shareholders. This concentration of control may discourage, delay or prevent a change in control of our company, which could have the effect of depriving our other shareholders of the opportunity to receive a premium for their shares as part of a sale of our company and may reduce the price of the ADSs. It will also limit your ability to influence corporate matters and could discourage others from pursuing any potential merger, takeover or other change of control transactions that holders of Class A ordinary shares and ADSs may view as beneficial.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You may experience dilution of your holdings due to the inability to participate in rights offerings.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32406B"/>
        </w:rPr>
        <w:t>We may, from time to time, distribute rights to our shareholders, including rights to acquire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You may be subject to limitations on the transfer of your ADSs.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32406B"/>
        </w:rPr>
        <w:t>Your ADSs are transferable on the books of the depositary. However, the depositary may close its books at any time or from time to time when it deems it expedient in connection with the performance of its duties.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84" w:lineRule="exact"/>
        <w:rPr>
          <w:sz w:val="20"/>
          <w:szCs w:val="20"/>
          <w:color w:val="auto"/>
        </w:rPr>
      </w:pPr>
    </w:p>
    <w:p>
      <w:pPr>
        <w:ind w:left="560" w:right="780"/>
        <w:spacing w:after="0" w:line="277" w:lineRule="auto"/>
        <w:rPr>
          <w:sz w:val="20"/>
          <w:szCs w:val="20"/>
          <w:color w:val="auto"/>
        </w:rPr>
      </w:pPr>
      <w:r>
        <w:rPr>
          <w:rFonts w:ascii="Arial" w:cs="Arial" w:eastAsia="Arial" w:hAnsi="Arial"/>
          <w:sz w:val="18"/>
          <w:szCs w:val="18"/>
          <w:b w:val="1"/>
          <w:bCs w:val="1"/>
          <w:i w:val="1"/>
          <w:iCs w:val="1"/>
          <w:color w:val="32406B"/>
        </w:rPr>
        <w:t>We are an emerging growth company within the meaning of the Securities Act and may take advantage of certain reduced reporting requirements.</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32406B"/>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71</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b w:val="1"/>
          <w:bCs w:val="1"/>
          <w:i w:val="1"/>
          <w:iCs w:val="1"/>
          <w:color w:val="32406B"/>
        </w:rPr>
        <w:t>The post-offering amended and restated memorandum and articles of association that we will adopt and will become effective immediately prior to the completion of this offering contain anti-takeover provisions that could discourage a third party from acquiring us and adversely affect the rights of holders of our ordinary shares and ADSs.</w:t>
      </w:r>
    </w:p>
    <w:p>
      <w:pPr>
        <w:spacing w:after="0" w:line="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32406B"/>
        </w:rPr>
        <w:t>Our post-offering amended and restated memorandum and articles of association that we will adopt and will become effective immediately prior to the completion of this offering contain certain provisions to limit the ability of others to acquire control of our company or cause us to engage in change-of-control transactions, including provisions that authorize our board of directors to issue preferred shares in one or more series and to designate the price, rights, preferences, privileges and restrictions of such preferred shares without any further vote or action by our shareholders. These provisions could have the effect of depriving our shareholders and ADS holders of the opportunity to sell their shares or ADSs at a premium over the prevailing market price by discouraging third parties from seeking to obtain control of our company in a tender offer or similar transactions.</w:t>
      </w:r>
    </w:p>
    <w:p>
      <w:pPr>
        <w:spacing w:after="0" w:line="272"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32406B"/>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32406B"/>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the rules under the Exchange Act requiring the filing with the SEC of quarterly reports on Form 10-Q or current reports on Form 8-K;</w:t>
      </w:r>
    </w:p>
    <w:p>
      <w:pPr>
        <w:spacing w:after="0" w:line="142" w:lineRule="exact"/>
        <w:rPr>
          <w:rFonts w:ascii="Arial" w:cs="Arial" w:eastAsia="Arial" w:hAnsi="Arial"/>
          <w:sz w:val="17"/>
          <w:szCs w:val="17"/>
          <w:color w:val="32406B"/>
        </w:rPr>
      </w:pPr>
    </w:p>
    <w:p>
      <w:pPr>
        <w:ind w:left="1080" w:right="160" w:hanging="532"/>
        <w:spacing w:after="0" w:line="277" w:lineRule="auto"/>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32406B"/>
        </w:rPr>
      </w:pPr>
    </w:p>
    <w:p>
      <w:pPr>
        <w:ind w:left="1080" w:right="340" w:hanging="532"/>
        <w:spacing w:after="0" w:line="277" w:lineRule="auto"/>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selective disclosure rules by issuers of material nonpublic information under Regulation FD.</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We are required to file an annual report on Form 20-F within four months of the end of each fiscal year. In addition, we intend to publish our results on a quarterly basis as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which may be difficult for overseas regulators to conduct investigation or collect evidence within China.</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32406B"/>
        </w:rPr>
        <w:t>We will incur increased costs as a result of being a public company, particularly after we cease to qualify as an emerging growth company.</w:t>
      </w:r>
    </w:p>
    <w:p>
      <w:pPr>
        <w:spacing w:after="0" w:line="15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32406B"/>
        </w:rPr>
        <w:t>We have become a public company and expect to incur significant legal, accounting and other expenses that we did not incur as a private company. The Sarbanes-Oxley Act of 2002, as well as rules subsequently implemented by the SEC and NYSE, impose various requirements on the corporate governance practices of public companies. As a company with less than US$1.07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72</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32406B"/>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6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0"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b w:val="1"/>
          <w:bCs w:val="1"/>
          <w:i w:val="1"/>
          <w:iCs w:val="1"/>
          <w:color w:val="32406B"/>
        </w:rPr>
        <w:t>As an exempted company incorporated in the Cayman Islands, we are permitted to adopt certain home country practices in relation to corporate governance matters that differ significantly from the NYSE corporate governance listing standards. These practices may afford less protection to shareholders than they would enjoy if we complied fully with the NYSE corporate governance listing standards.</w:t>
      </w:r>
    </w:p>
    <w:p>
      <w:pPr>
        <w:spacing w:after="0" w:line="4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As a Cayman Islands exempted company listed on the NYSE, we are subject to corporate governance listing standards of NYSE. However,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 We currently intend to follow Cayman Islands corporate governance practices in lieu of the corporate governance requirements of the NYSE that listed companies must have a majority of independent directors and that the audit committee consists of at least three members. To the extent that we choose to follow home country practice, our shareholders may be afforded less protection than they otherwise would enjoy under NYSE corporate governance listing standards applicable to U.S. domestic issuers.</w:t>
      </w:r>
    </w:p>
    <w:p>
      <w:pPr>
        <w:spacing w:after="0" w:line="303"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b w:val="1"/>
          <w:bCs w:val="1"/>
          <w:i w:val="1"/>
          <w:iCs w:val="1"/>
          <w:color w:val="32406B"/>
        </w:rPr>
        <w:t>We may be a passive foreign investment company, which could result in adverse U.S. federal income tax consequences to U.S. investors owning the ADSs or ordinary shares.</w:t>
      </w:r>
    </w:p>
    <w:p>
      <w:pPr>
        <w:spacing w:after="0" w:line="6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32406B"/>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generally a passive asset for these purposes. The value of a company’s goodwill is an active asset under the PFIC rules to the extent attributable to activities that produce active income.</w:t>
      </w:r>
    </w:p>
    <w:p>
      <w:pPr>
        <w:spacing w:after="0" w:line="19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32406B"/>
        </w:rPr>
        <w:t>Based on the expected composition of our income and assets and the estimated value of our assets, including goodwill, which is based on the expected price of the ADSs in this offering, we do not expect to be a PFIC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73</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32406B"/>
        </w:rPr>
        <w:t>our current taxable year or in the foreseeable future. However, our PFIC status for any taxable year is an annual determination that can be made only after the end of that year and will depend on the composition of our income and assets and the value of our assets (including goodwill) from time to time. The value of our goodwill may be determined, in large part, by reference to the market price of the ADSs, which could be volatile. Furthermore, we will hold a substantial amount of cash following this offering and therefore our risk of being a PFIC for any taxable year will increase if our market capitalization declines. Moreover, it is not entirely clear how the contractual arrangements between us and our VIE will be treated for purposes of the PFIC rules, and we may be or become a PFIC if our VIE is not treated as owned by us for these purposes. Accordingly, there can be no assurance that we will not be a PFIC for our current or any future taxable year.</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If we were a PFIC for any taxable year during which a U.S. investor held an ADS or an ordinary share, certain adverse U.S. federal income tax consequences could apply to the U.S. Holder. See “Taxation—Material U.S. Federal Income Tax Considerations—Passive Foreign Investment Company Rules.”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74</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CAUTIONARY STATEMENT REGARDING FORWARD-LOOKING STATEMENTS</w:t>
      </w:r>
    </w:p>
    <w:p>
      <w:pPr>
        <w:spacing w:after="0" w:line="229"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32406B"/>
        </w:rPr>
        <w:t>This prospectus contains statements that constitute forward-looking statements. Many of the forward-looking statements contained in this prospectus can be identified by the use of forward-looking words such as “anticipate,” “believe,” “could,” “expect,” “should,” “plan,” “intend,” “estimate” and “potential,” among others.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32406B"/>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8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general economic, political, demographic and business conditions in China and globally;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our ability to implement our growth strategy;</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the success of operating initiatives, including advertising and promotional efforts and new product and service development by us and our competitors;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our ability to develop and apply our technologies to support and expand our product and service offerings;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the expected growth of the IoT PaaS and SaaS industries in China and globally;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the availability of qualified personnel and the ability to retain such personnel;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competition in the IoT PaaS and SaaS industries;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changes in government policies and regulation;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other factors that may affect our financial condition, liquidity and results of operations;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other risk factors discussed under “Risk Factors.”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32406B"/>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75</w:t>
      </w:r>
    </w:p>
    <w:p>
      <w:pPr>
        <w:sectPr>
          <w:pgSz w:w="11900" w:h="16838" w:orient="portrait"/>
          <w:cols w:equalWidth="0" w:num="1">
            <w:col w:w="11020"/>
          </w:cols>
          <w:pgMar w:left="320" w:top="459" w:right="5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32406B"/>
        </w:rPr>
        <w:t>USE OF PROCEEDS</w:t>
      </w:r>
    </w:p>
    <w:p>
      <w:pPr>
        <w:spacing w:after="0" w:line="22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32406B"/>
        </w:rPr>
        <w:t>We expect to receive total estimated net proceeds from this offering of approximately US$874.75 million, or approximately US$1,006.57 million if the underwriters exercise their option to purchase additional ADSs in full, after deducting underwriting discounts and commissions and the estimated offering expenses payable by 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intend to use the net proceeds from this offering for the following purposes:</w:t>
      </w:r>
    </w:p>
    <w:p>
      <w:pPr>
        <w:spacing w:after="0" w:line="13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research and development;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investment in technology infrastructure, marketing and branding, and other capital expenditure;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other general corporate purposes.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32406B"/>
        </w:rPr>
        <w:t>If an unforeseen event occurs or business conditions change, we may use the proceeds of this offering differently than as described in this prospectus. In utilizing the proceeds from this offering, we are permitted under PRC laws and regulations to provide funding to our PRC subsidiaries only through loans or capital contributions, and to our consolidated VIE only through loans, and only if we satisfy the applicable government registration and approval requirements. We cannot assure you that we will be able to meet these requirements on a timely basis, if at all. See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subsidiary, which could materially and adversely affect our liquidity and our ability to fund and expand our business.”</w:t>
      </w:r>
    </w:p>
    <w:p>
      <w:pPr>
        <w:spacing w:after="0" w:line="166" w:lineRule="exact"/>
        <w:rPr>
          <w:sz w:val="20"/>
          <w:szCs w:val="20"/>
          <w:color w:val="auto"/>
        </w:rPr>
      </w:pPr>
    </w:p>
    <w:p>
      <w:pPr>
        <w:jc w:val="center"/>
        <w:ind w:left="500" w:right="380"/>
        <w:spacing w:after="0" w:line="449" w:lineRule="auto"/>
        <w:rPr>
          <w:sz w:val="20"/>
          <w:szCs w:val="20"/>
          <w:color w:val="auto"/>
        </w:rPr>
      </w:pPr>
      <w:r>
        <w:rPr>
          <w:rFonts w:ascii="Arial" w:cs="Arial" w:eastAsia="Arial" w:hAnsi="Arial"/>
          <w:sz w:val="18"/>
          <w:szCs w:val="18"/>
          <w:color w:val="32406B"/>
        </w:rPr>
        <w:t>Pending use of the net proceeds, we intend to hold our net proceeds in short-term, interest-bearing, financial instruments or demand deposits. 76</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32406B"/>
        </w:rPr>
        <w:t>DIVIDEND POLICY</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32406B"/>
        </w:rPr>
        <w:t>We have not previously declared or paid any cash dividend or dividend in kind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32406B"/>
        </w:rPr>
        <w:t>We are a holding company incorporated in the Cayman Islands. We may rely on dividends from our PRC subsidiaries for our cash requirements, including any payment of dividends to our shareholders. PRC regulations may restrict the ability of our PRC subsidiaries to pay dividends to us. See “Regulation—Regulations on Foreign Exchange—Dividend Distribution.”</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“Description of American Depositary Shares.”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77</w:t>
      </w:r>
    </w:p>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32406B"/>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table below sets forth our capitalization as of December 31, 2020:</w:t>
      </w:r>
    </w:p>
    <w:p>
      <w:pPr>
        <w:spacing w:after="0" w:line="13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on an actual basis;</w:t>
      </w:r>
    </w:p>
    <w:p>
      <w:pPr>
        <w:spacing w:after="0" w:line="130" w:lineRule="exact"/>
        <w:rPr>
          <w:rFonts w:ascii="Arial" w:cs="Arial" w:eastAsia="Arial" w:hAnsi="Arial"/>
          <w:sz w:val="18"/>
          <w:szCs w:val="18"/>
          <w:color w:val="32406B"/>
        </w:rPr>
      </w:pPr>
    </w:p>
    <w:p>
      <w:pPr>
        <w:ind w:left="1080" w:right="20" w:hanging="532"/>
        <w:spacing w:after="0" w:line="293" w:lineRule="auto"/>
        <w:tabs>
          <w:tab w:leader="none" w:pos="1080" w:val="left"/>
        </w:tabs>
        <w:numPr>
          <w:ilvl w:val="0"/>
          <w:numId w:val="37"/>
        </w:numPr>
        <w:rPr>
          <w:rFonts w:ascii="Arial" w:cs="Arial" w:eastAsia="Arial" w:hAnsi="Arial"/>
          <w:sz w:val="16"/>
          <w:szCs w:val="16"/>
          <w:color w:val="32406B"/>
        </w:rPr>
      </w:pPr>
      <w:r>
        <w:rPr>
          <w:rFonts w:ascii="Arial" w:cs="Arial" w:eastAsia="Arial" w:hAnsi="Arial"/>
          <w:sz w:val="16"/>
          <w:szCs w:val="16"/>
          <w:color w:val="32406B"/>
        </w:rPr>
        <w:t>on a pro forma basis to give effect to (i) the automatic conversion or redesignation of 65,288,360 issued and outstanding Series A preferred shares, 12,222,267 issued and outstanding Series A-1 preferred shares, 87,756,440 issued and outstanding Series B preferred shares, 60,468,490 issued and outstanding Series C preferred shares, 52,428,242 issued and outstanding Series D preferred shares and 79,580,000 issued and outstanding ordinary shares into Class A ordinary shares, on a one-for-one basis, immediately prior to the completion of this offering, and (ii) the automatic conversion or redesignation of a total of 142,400,000 issued and outstanding ordinary shares into Class B ordinary shares, on a one-for-one basis, immediately prior to the completion of this offering; and</w:t>
      </w:r>
    </w:p>
    <w:p>
      <w:pPr>
        <w:spacing w:after="0" w:line="69" w:lineRule="exact"/>
        <w:rPr>
          <w:rFonts w:ascii="Arial" w:cs="Arial" w:eastAsia="Arial" w:hAnsi="Arial"/>
          <w:sz w:val="16"/>
          <w:szCs w:val="16"/>
          <w:color w:val="32406B"/>
        </w:rPr>
      </w:pPr>
    </w:p>
    <w:p>
      <w:pPr>
        <w:ind w:left="1080" w:hanging="532"/>
        <w:spacing w:after="0" w:line="269" w:lineRule="auto"/>
        <w:tabs>
          <w:tab w:leader="none" w:pos="108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on a pro forma as adjusted basis to give effect to (i) the automatic conversion or re-designation of 65,288,360 issued and outstanding Series A preferred shares, 12,222,267 issued and outstanding Series A-1 preferred shares, 87,756,440 issued and outstanding Series B preferred shares, 60,468,490 issued and outstanding Series C preferred shares, 52,428,242 issued and outstanding Series D preferred shares and 79,580,000 issued and outstanding ordinary shares into Class A ordinary shares, on a one-for-one basis, immediately prior to the completion of this offering, (ii) the automatic conversion or redesignation of a total of 142,400,000 issued and outstanding ordinary shares into Class B ordinary shares, on a one-for-one basis, immediately prior to the completion of this offering; (iii) the issuance and sale of Class A ordinary shares in this offering, and the receipt of approximately US$874.75 million in estimated net proceeds, considering the offering price of US$21.00 per ADS, after deduction of the underwriting discounts and commissions and estimated offering expenses payable by us, and the use of proceeds therefrom; and (iv) the issuance and sale of an aggregate of 16,026,282 ordinary shares to NVMB XIV Holdings Limited and Tencent Mobility Limited on February 1, 2021 and February 2, 2021, respectively, with total consideration of approximately US$200 million.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78</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32406B"/>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32406B"/>
              </w:rPr>
              <w:t>As of December 31, 2020</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32406B"/>
              </w:rPr>
              <w:t>Actual</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32406B"/>
                <w:w w:val="96"/>
              </w:rPr>
              <w:t>Pro forma</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76"/>
              </w:rPr>
              <w:t>as</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4"/>
              </w:rPr>
              <w:t>adjusted</w:t>
            </w:r>
            <w:r>
              <w:rPr>
                <w:rFonts w:ascii="Arial" w:cs="Arial" w:eastAsia="Arial" w:hAnsi="Arial"/>
                <w:sz w:val="12"/>
                <w:szCs w:val="12"/>
                <w:b w:val="1"/>
                <w:bCs w:val="1"/>
                <w:color w:val="32406B"/>
                <w:w w:val="94"/>
              </w:rPr>
              <w:t>(1)</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32406B"/>
              </w:rPr>
              <w:t>US$</w:t>
            </w:r>
          </w:p>
        </w:tc>
        <w:tc>
          <w:tcPr>
            <w:tcW w:w="2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87"/>
              </w:rPr>
              <w:t>US$</w:t>
            </w:r>
          </w:p>
        </w:tc>
        <w:tc>
          <w:tcPr>
            <w:tcW w:w="22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87"/>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32406B"/>
                <w:w w:val="89"/>
              </w:rPr>
              <w:t>(in thousands)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Mezzanine equity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32406B"/>
                <w:w w:val="93"/>
              </w:rPr>
              <w:t>Series A preferred shares (US$0.00005 par value; 65,288,360 shares authorized, 65,288,360 shares issued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tcPr>
          <w:p>
            <w:pPr>
              <w:ind w:left="180"/>
              <w:spacing w:after="0"/>
              <w:rPr>
                <w:sz w:val="20"/>
                <w:szCs w:val="20"/>
                <w:color w:val="auto"/>
              </w:rPr>
            </w:pPr>
            <w:r>
              <w:rPr>
                <w:rFonts w:ascii="Arial" w:cs="Arial" w:eastAsia="Arial" w:hAnsi="Arial"/>
                <w:sz w:val="18"/>
                <w:szCs w:val="18"/>
                <w:color w:val="32406B"/>
                <w:w w:val="91"/>
              </w:rPr>
              <w:t>and outstanding on an actual basis, and none outstanding on a pro forma or a pro forma as adjusted basis)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32406B"/>
              </w:rPr>
              <w:t>9,000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8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32406B"/>
                <w:w w:val="91"/>
              </w:rPr>
              <w:t>Series A-1 preferred shares (US$0.00005 par value; 15,959,140 shares authorized, 12,222,267 shares issued</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32406B"/>
                <w:w w:val="91"/>
              </w:rPr>
              <w:t>and outstanding on an actual basis, and none outstanding on a pro forma or a pro forma as adjusted basis)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2,680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32406B"/>
                <w:w w:val="89"/>
              </w:rPr>
              <w:t>Series B preferred shares (US$0.00005 par value; 90,782,550 shares authorized, 87,756,440 shares issued and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tcPr>
          <w:p>
            <w:pPr>
              <w:ind w:left="180"/>
              <w:spacing w:after="0"/>
              <w:rPr>
                <w:sz w:val="20"/>
                <w:szCs w:val="20"/>
                <w:color w:val="auto"/>
              </w:rPr>
            </w:pPr>
            <w:r>
              <w:rPr>
                <w:rFonts w:ascii="Arial" w:cs="Arial" w:eastAsia="Arial" w:hAnsi="Arial"/>
                <w:sz w:val="18"/>
                <w:szCs w:val="18"/>
                <w:color w:val="32406B"/>
                <w:w w:val="95"/>
              </w:rPr>
              <w:t>outstanding on an actual basis, and none outstanding on a pro forma or a pro forma as adjusted basis)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32406B"/>
              </w:rPr>
              <w:t>29,000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8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32406B"/>
                <w:w w:val="89"/>
              </w:rPr>
              <w:t>Series C preferred shares (US$0.00005 par value; 60,469,840 shares authorized, 60,468,490 shares issued and</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32406B"/>
                <w:w w:val="95"/>
              </w:rPr>
              <w:t>outstanding on an actual basis, and none outstanding on a pro forma or a pro forma as adjusted basis)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115,007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32406B"/>
                <w:w w:val="92"/>
              </w:rPr>
              <w:t>Series D preferred shares (US$0.00005 par value; 75,000,000 shares authorized, 52,428,242 shares issued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3"/>
          </w:tcPr>
          <w:p>
            <w:pPr>
              <w:ind w:left="180"/>
              <w:spacing w:after="0"/>
              <w:rPr>
                <w:sz w:val="20"/>
                <w:szCs w:val="20"/>
                <w:color w:val="auto"/>
              </w:rPr>
            </w:pPr>
            <w:r>
              <w:rPr>
                <w:rFonts w:ascii="Arial" w:cs="Arial" w:eastAsia="Arial" w:hAnsi="Arial"/>
                <w:sz w:val="18"/>
                <w:szCs w:val="18"/>
                <w:color w:val="32406B"/>
                <w:w w:val="91"/>
              </w:rPr>
              <w:t>and outstanding on an actual basis, and none outstanding on a pro forma or a pro forma as adjusted basis)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32406B"/>
              </w:rPr>
              <w:t>177,980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Total mezzanine equity</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32406B"/>
              </w:rPr>
              <w:t>333,667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32406B"/>
                <w:w w:val="95"/>
              </w:rPr>
              <w:t>Ordinary shares (US$0.00005 par value; 692,500,110 shares authorized, 221,980,000 shares issued and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3"/>
          </w:tcPr>
          <w:p>
            <w:pPr>
              <w:ind w:left="180"/>
              <w:spacing w:after="0"/>
              <w:rPr>
                <w:sz w:val="20"/>
                <w:szCs w:val="20"/>
                <w:color w:val="auto"/>
              </w:rPr>
            </w:pPr>
            <w:r>
              <w:rPr>
                <w:rFonts w:ascii="Arial" w:cs="Arial" w:eastAsia="Arial" w:hAnsi="Arial"/>
                <w:sz w:val="18"/>
                <w:szCs w:val="18"/>
                <w:color w:val="32406B"/>
                <w:w w:val="93"/>
              </w:rPr>
              <w:t>outstanding on an actual basis, 500,143,799 shares issued and outstanding on a pro forma basis, and no</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20" w:type="dxa"/>
            <w:vAlign w:val="bottom"/>
            <w:gridSpan w:val="3"/>
          </w:tcPr>
          <w:p>
            <w:pPr>
              <w:ind w:left="180"/>
              <w:spacing w:after="0"/>
              <w:rPr>
                <w:sz w:val="20"/>
                <w:szCs w:val="20"/>
                <w:color w:val="auto"/>
              </w:rPr>
            </w:pPr>
            <w:r>
              <w:rPr>
                <w:rFonts w:ascii="Arial" w:cs="Arial" w:eastAsia="Arial" w:hAnsi="Arial"/>
                <w:sz w:val="18"/>
                <w:szCs w:val="18"/>
                <w:color w:val="32406B"/>
              </w:rPr>
              <w:t>shares issued and outstanding on a pro forma as adjusted basis)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32406B"/>
              </w:rPr>
              <w:t>11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8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32406B"/>
                <w:w w:val="90"/>
              </w:rPr>
              <w:t>Class A ordinary shares (US$0.00005 par value; none outstanding on an actual basis, 357,743,799 issued and</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32406B"/>
                <w:w w:val="97"/>
              </w:rPr>
              <w:t>outstanding on a pro forma basis, and 417,360,081 shares issued and outstanding on a pro forma as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32406B"/>
              </w:rPr>
              <w:t>adjusted basis)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21</w:t>
            </w:r>
          </w:p>
        </w:tc>
        <w:tc>
          <w:tcPr>
            <w:tcW w:w="0" w:type="dxa"/>
            <w:vAlign w:val="bottom"/>
          </w:tcPr>
          <w:p>
            <w:pPr>
              <w:spacing w:after="0"/>
              <w:rPr>
                <w:sz w:val="1"/>
                <w:szCs w:val="1"/>
                <w:color w:val="auto"/>
              </w:rPr>
            </w:pPr>
          </w:p>
        </w:tc>
      </w:tr>
      <w:tr>
        <w:trPr>
          <w:trHeight w:val="202"/>
        </w:trPr>
        <w:tc>
          <w:tcPr>
            <w:tcW w:w="8020" w:type="dxa"/>
            <w:vAlign w:val="bottom"/>
            <w:gridSpan w:val="3"/>
          </w:tcPr>
          <w:p>
            <w:pPr>
              <w:spacing w:after="0" w:line="201" w:lineRule="exact"/>
              <w:rPr>
                <w:sz w:val="20"/>
                <w:szCs w:val="20"/>
                <w:color w:val="auto"/>
              </w:rPr>
            </w:pPr>
            <w:r>
              <w:rPr>
                <w:rFonts w:ascii="Arial" w:cs="Arial" w:eastAsia="Arial" w:hAnsi="Arial"/>
                <w:sz w:val="18"/>
                <w:szCs w:val="18"/>
                <w:color w:val="32406B"/>
                <w:w w:val="90"/>
              </w:rPr>
              <w:t>Class B ordinary shares (US$0.00005 par value; none outstanding on an actual basis, 142,400,000 issued and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20" w:type="dxa"/>
            <w:vAlign w:val="bottom"/>
            <w:gridSpan w:val="3"/>
          </w:tcPr>
          <w:p>
            <w:pPr>
              <w:ind w:left="180"/>
              <w:spacing w:after="0"/>
              <w:rPr>
                <w:sz w:val="20"/>
                <w:szCs w:val="20"/>
                <w:color w:val="auto"/>
              </w:rPr>
            </w:pPr>
            <w:r>
              <w:rPr>
                <w:rFonts w:ascii="Arial" w:cs="Arial" w:eastAsia="Arial" w:hAnsi="Arial"/>
                <w:sz w:val="18"/>
                <w:szCs w:val="18"/>
                <w:color w:val="32406B"/>
              </w:rPr>
              <w:t>outstanding on a pro forma basis and a pro forma as adjusted basis)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32406B"/>
              </w:rPr>
              <w:t>7</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Additional paid-in capital</w:t>
            </w:r>
            <w:r>
              <w:rPr>
                <w:rFonts w:ascii="Arial" w:cs="Arial" w:eastAsia="Arial" w:hAnsi="Arial"/>
                <w:sz w:val="15"/>
                <w:szCs w:val="15"/>
                <w:color w:val="32406B"/>
              </w:rPr>
              <w:t>(2)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27,315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360,968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1,435,714</w:t>
            </w:r>
          </w:p>
        </w:tc>
        <w:tc>
          <w:tcPr>
            <w:tcW w:w="0" w:type="dxa"/>
            <w:vAlign w:val="bottom"/>
          </w:tcPr>
          <w:p>
            <w:pPr>
              <w:spacing w:after="0"/>
              <w:rPr>
                <w:sz w:val="1"/>
                <w:szCs w:val="1"/>
                <w:color w:val="auto"/>
              </w:rPr>
            </w:pPr>
          </w:p>
        </w:tc>
      </w:tr>
      <w:tr>
        <w:trPr>
          <w:trHeight w:val="216"/>
        </w:trPr>
        <w:tc>
          <w:tcPr>
            <w:tcW w:w="8020" w:type="dxa"/>
            <w:vAlign w:val="bottom"/>
            <w:gridSpan w:val="3"/>
          </w:tcPr>
          <w:p>
            <w:pPr>
              <w:spacing w:after="0"/>
              <w:rPr>
                <w:sz w:val="20"/>
                <w:szCs w:val="20"/>
                <w:color w:val="auto"/>
              </w:rPr>
            </w:pPr>
            <w:r>
              <w:rPr>
                <w:rFonts w:ascii="Arial" w:cs="Arial" w:eastAsia="Arial" w:hAnsi="Arial"/>
                <w:sz w:val="18"/>
                <w:szCs w:val="18"/>
                <w:color w:val="32406B"/>
              </w:rPr>
              <w:t>Subscription receivables from shareholders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Accumulated other comprehensive loss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481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481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481</w:t>
            </w:r>
          </w:p>
        </w:tc>
        <w:tc>
          <w:tcPr>
            <w:tcW w:w="0" w:type="dxa"/>
            <w:vAlign w:val="bottom"/>
          </w:tcPr>
          <w:p>
            <w:pPr>
              <w:spacing w:after="0"/>
              <w:rPr>
                <w:sz w:val="1"/>
                <w:szCs w:val="1"/>
                <w:color w:val="auto"/>
              </w:rPr>
            </w:pPr>
          </w:p>
        </w:tc>
      </w:tr>
      <w:tr>
        <w:trPr>
          <w:trHeight w:val="216"/>
        </w:trPr>
        <w:tc>
          <w:tcPr>
            <w:tcW w:w="8020" w:type="dxa"/>
            <w:vAlign w:val="bottom"/>
            <w:gridSpan w:val="3"/>
          </w:tcPr>
          <w:p>
            <w:pPr>
              <w:spacing w:after="0"/>
              <w:rPr>
                <w:sz w:val="20"/>
                <w:szCs w:val="20"/>
                <w:color w:val="auto"/>
              </w:rPr>
            </w:pPr>
            <w:r>
              <w:rPr>
                <w:rFonts w:ascii="Arial" w:cs="Arial" w:eastAsia="Arial" w:hAnsi="Arial"/>
                <w:sz w:val="18"/>
                <w:szCs w:val="18"/>
                <w:color w:val="32406B"/>
              </w:rPr>
              <w:t>Accumulated deficit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32406B"/>
              </w:rPr>
              <w:t>(192,474)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32406B"/>
              </w:rPr>
              <w:t>(192,474)</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32406B"/>
              </w:rPr>
              <w:t>(192,474)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Total shareholders’ (deficit)/equity</w:t>
            </w:r>
            <w:r>
              <w:rPr>
                <w:rFonts w:ascii="Arial" w:cs="Arial" w:eastAsia="Arial" w:hAnsi="Arial"/>
                <w:sz w:val="15"/>
                <w:szCs w:val="15"/>
                <w:b w:val="1"/>
                <w:bCs w:val="1"/>
                <w:color w:val="32406B"/>
              </w:rPr>
              <w:t>(2)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(164,667)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32406B"/>
              </w:rPr>
              <w:t>169,000</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32406B"/>
                <w:w w:val="94"/>
              </w:rPr>
              <w:t>1,243,749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20" w:type="dxa"/>
            <w:vAlign w:val="bottom"/>
            <w:gridSpan w:val="3"/>
          </w:tcPr>
          <w:p>
            <w:pPr>
              <w:spacing w:after="0"/>
              <w:rPr>
                <w:sz w:val="20"/>
                <w:szCs w:val="20"/>
                <w:color w:val="auto"/>
              </w:rPr>
            </w:pPr>
            <w:r>
              <w:rPr>
                <w:rFonts w:ascii="Arial" w:cs="Arial" w:eastAsia="Arial" w:hAnsi="Arial"/>
                <w:sz w:val="18"/>
                <w:szCs w:val="18"/>
                <w:b w:val="1"/>
                <w:bCs w:val="1"/>
                <w:color w:val="32406B"/>
              </w:rPr>
              <w:t>Total liabilities, mezzanine equity and shareholders’ (deficit)/equity</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32406B"/>
              </w:rPr>
              <w:t>267,323</w:t>
            </w: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32406B"/>
              </w:rPr>
              <w:t>267,323</w:t>
            </w:r>
          </w:p>
        </w:tc>
        <w:tc>
          <w:tcPr>
            <w:tcW w:w="880" w:type="dxa"/>
            <w:vAlign w:val="bottom"/>
          </w:tcPr>
          <w:p>
            <w:pPr>
              <w:jc w:val="right"/>
              <w:ind w:right="14"/>
              <w:spacing w:after="0"/>
              <w:rPr>
                <w:sz w:val="20"/>
                <w:szCs w:val="20"/>
                <w:color w:val="auto"/>
              </w:rPr>
            </w:pPr>
            <w:r>
              <w:rPr>
                <w:rFonts w:ascii="Arial" w:cs="Arial" w:eastAsia="Arial" w:hAnsi="Arial"/>
                <w:sz w:val="18"/>
                <w:szCs w:val="18"/>
                <w:b w:val="1"/>
                <w:bCs w:val="1"/>
                <w:color w:val="32406B"/>
                <w:w w:val="94"/>
              </w:rPr>
              <w:t>1,342,072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Borders>
              <w:bottom w:val="single" w:sz="8" w:color="32406B"/>
            </w:tcBorders>
          </w:tcPr>
          <w:p>
            <w:pPr>
              <w:spacing w:after="0"/>
              <w:rPr>
                <w:sz w:val="11"/>
                <w:szCs w:val="11"/>
                <w:color w:val="auto"/>
              </w:rPr>
            </w:pPr>
          </w:p>
        </w:tc>
        <w:tc>
          <w:tcPr>
            <w:tcW w:w="380" w:type="dxa"/>
            <w:vAlign w:val="bottom"/>
            <w:tcBorders>
              <w:bottom w:val="single" w:sz="8" w:color="32406B"/>
            </w:tcBorders>
          </w:tcPr>
          <w:p>
            <w:pPr>
              <w:spacing w:after="0"/>
              <w:rPr>
                <w:sz w:val="11"/>
                <w:szCs w:val="11"/>
                <w:color w:val="auto"/>
              </w:rPr>
            </w:pPr>
          </w:p>
        </w:tc>
        <w:tc>
          <w:tcPr>
            <w:tcW w:w="6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20"/>
                <w:szCs w:val="20"/>
                <w:color w:val="auto"/>
              </w:rPr>
            </w:pPr>
            <w:r>
              <w:rPr>
                <w:rFonts w:ascii="Arial" w:cs="Arial" w:eastAsia="Arial" w:hAnsi="Arial"/>
                <w:sz w:val="14"/>
                <w:szCs w:val="14"/>
                <w:color w:val="32406B"/>
              </w:rPr>
              <w:t>Note:   (1)</w:t>
            </w:r>
          </w:p>
        </w:tc>
        <w:tc>
          <w:tcPr>
            <w:tcW w:w="7180" w:type="dxa"/>
            <w:vAlign w:val="bottom"/>
            <w:gridSpan w:val="2"/>
          </w:tcPr>
          <w:p>
            <w:pPr>
              <w:ind w:left="120"/>
              <w:spacing w:after="0"/>
              <w:rPr>
                <w:sz w:val="20"/>
                <w:szCs w:val="20"/>
                <w:color w:val="auto"/>
              </w:rPr>
            </w:pPr>
            <w:r>
              <w:rPr>
                <w:rFonts w:ascii="Arial" w:cs="Arial" w:eastAsia="Arial" w:hAnsi="Arial"/>
                <w:sz w:val="14"/>
                <w:szCs w:val="14"/>
                <w:color w:val="32406B"/>
              </w:rPr>
              <w:t>The pro forma as adjusted information discussed above is illustrative only.</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080" w:right="40" w:hanging="424"/>
        <w:spacing w:after="0" w:line="255" w:lineRule="auto"/>
        <w:tabs>
          <w:tab w:leader="none" w:pos="1080" w:val="left"/>
        </w:tabs>
        <w:numPr>
          <w:ilvl w:val="0"/>
          <w:numId w:val="38"/>
        </w:numPr>
        <w:rPr>
          <w:rFonts w:ascii="Arial" w:cs="Arial" w:eastAsia="Arial" w:hAnsi="Arial"/>
          <w:sz w:val="13"/>
          <w:szCs w:val="13"/>
          <w:color w:val="32406B"/>
        </w:rPr>
      </w:pPr>
      <w:r>
        <w:rPr>
          <w:rFonts w:ascii="Arial" w:cs="Arial" w:eastAsia="Arial" w:hAnsi="Arial"/>
          <w:sz w:val="13"/>
          <w:szCs w:val="13"/>
          <w:color w:val="32406B"/>
        </w:rPr>
        <w:t>Assuming the number of ADSs offered by us as set forth on the cover page of this prospectus remains the same, and after deduction of underwriting discounts and commissions and the estimated offering expenses payable by us, a US$1.00 change in the initial public offering price of US$21.00 per ADS would, in the case of an increase, increase and, in the case of a decrease, decrease each of additional paid-in capital, total shareholders’ (deficit)/equity and total capitalization by US$41.85 million.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79</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DILUTION</w:t>
      </w:r>
    </w:p>
    <w:p>
      <w:pPr>
        <w:spacing w:after="0" w:line="229"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32406B"/>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Class A ordinary share is substantially in excess of the book value per ordinary share attributable to the existing shareholders for our presently outstanding ordinary shares.</w:t>
      </w:r>
    </w:p>
    <w:p>
      <w:pPr>
        <w:spacing w:after="0" w:line="14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32406B"/>
        </w:rPr>
        <w:t>Our net tangible book value as of December 31, 2020 was approximately US$168.46 million, or US$0.76 per Class A ordinary share and US$0.76 per ADS. Our net tangible book value as of December 31, 2020 as adjusted to reflect the issuance and sale of an aggregate of 16,026,282 ordinary shares to NVMB XIV Holdings Limited and Tencent Mobility Limited on February 1, 2021 and February 2, 2021, respectively was approximately US$368.46 million, or US$1.55 per Class A ordinary share and US$1.55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initial public offering price of US$21.00 per Class A ordinary share, and after deducting underwriting discounts and commissions and estimated offering expenses payable by us.</w:t>
      </w:r>
    </w:p>
    <w:p>
      <w:pPr>
        <w:spacing w:after="0" w:line="16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32406B"/>
        </w:rPr>
        <w:t>Without taking into account any other changes in such net tangible book value after December 31, 2020, other than to give effect to (i) the conversion of all of our ordinary shares and preferred shares into Class A ordinary shares or Class B ordinary shares, as the case may be, on a one-to-one basis which will occur automatically immediately prior to the completion of this offering; (ii) our issuance and sale of Class A ordinary shares represented by the 43,590,000 ADS offered in this offering at the initial public offering price of US$21.00 per ADS, after deduction of the underwriting discounts and commissions and estimated offering expenses payable by us, and (iii) the issuance and sale of an aggregate of 16,026,282 ordinary shares to NVMB XIV Holdings Limited and Tencent Mobility Limited on February 1, 2021 and February 2, 2021, respectively, and the automatic conversion or re-designation of these ordinary shares into Class A ordinary shares, on a one-for-one basis, immediately prior to the completion of this offering, our pro forma as adjusted net tangible book value as of December 31, 2020 would have been approximately US$1,243.20 million, or US$2.22 per ordinary share and US$2.22 per ADS, to existing shareholders and an immediate dilution in net tangible book value of US$18.78 per ordinary share, or US$18.78 per ADS, to purchasers of ADSs in this offering. The following table illustrates such dilution:</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32406B"/>
              </w:rPr>
              <w:t>Initial public offering price per Class A ordinary share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32406B"/>
                <w:w w:val="91"/>
              </w:rPr>
              <w:t>US$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4"/>
              </w:rPr>
              <w:t>21.00</w:t>
            </w: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32406B"/>
              </w:rPr>
              <w:t>Net tangible book value per ordinary share as of December 31, 2020</w:t>
            </w:r>
          </w:p>
        </w:tc>
        <w:tc>
          <w:tcPr>
            <w:tcW w:w="340" w:type="dxa"/>
            <w:vAlign w:val="bottom"/>
          </w:tcPr>
          <w:p>
            <w:pPr>
              <w:spacing w:after="0"/>
              <w:rPr>
                <w:sz w:val="20"/>
                <w:szCs w:val="20"/>
                <w:color w:val="auto"/>
              </w:rPr>
            </w:pPr>
            <w:r>
              <w:rPr>
                <w:rFonts w:ascii="Arial" w:cs="Arial" w:eastAsia="Arial" w:hAnsi="Arial"/>
                <w:sz w:val="18"/>
                <w:szCs w:val="18"/>
                <w:color w:val="32406B"/>
                <w:w w:val="91"/>
              </w:rPr>
              <w:t>US$</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32406B"/>
              </w:rPr>
              <w:t>0.76</w:t>
            </w:r>
          </w:p>
        </w:tc>
      </w:tr>
      <w:tr>
        <w:trPr>
          <w:trHeight w:val="202"/>
        </w:trPr>
        <w:tc>
          <w:tcPr>
            <w:tcW w:w="1022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7"/>
              </w:rPr>
              <w:t>Net tangible book value per ordinary share as of December 31, 2020 as adjusted to reflect the issuance and sale of an aggregate of</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16,026,282 ordinary shares to NVMB XIV Holdings Limited and Tencent Mobility Limited on February 1, 2021 and February</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2, 2021, respectively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32406B"/>
                <w:w w:val="91"/>
              </w:rPr>
              <w:t>US$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1.55</w:t>
            </w: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32406B"/>
              </w:rPr>
              <w:t>Pro forma net tangible book value per ordinary share after giving effect to the automatic conversion of all of our preferred shares</w:t>
            </w:r>
          </w:p>
        </w:tc>
        <w:tc>
          <w:tcPr>
            <w:tcW w:w="340" w:type="dxa"/>
            <w:vAlign w:val="bottom"/>
          </w:tcPr>
          <w:p>
            <w:pPr>
              <w:spacing w:after="0"/>
              <w:rPr>
                <w:sz w:val="20"/>
                <w:szCs w:val="20"/>
                <w:color w:val="auto"/>
              </w:rPr>
            </w:pPr>
            <w:r>
              <w:rPr>
                <w:rFonts w:ascii="Arial" w:cs="Arial" w:eastAsia="Arial" w:hAnsi="Arial"/>
                <w:sz w:val="18"/>
                <w:szCs w:val="18"/>
                <w:color w:val="32406B"/>
                <w:w w:val="91"/>
              </w:rPr>
              <w:t>US$</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32406B"/>
              </w:rPr>
              <w:t>0.34</w:t>
            </w:r>
          </w:p>
        </w:tc>
      </w:tr>
      <w:tr>
        <w:trPr>
          <w:trHeight w:val="202"/>
        </w:trPr>
        <w:tc>
          <w:tcPr>
            <w:tcW w:w="1022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9"/>
              </w:rPr>
              <w:t>Pro forma net tangible book value per ordinary share as adjusted to give effect to the automatic conversion of all of our preferred</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shares and this offering and issuance and sale of an aggregate of 16,026,282 ordinary shares to NVMB XIV Holdings Limited</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1022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and Tencent Mobility Limited on February 1, 2021 and February 2, 2021, respectively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32406B"/>
                <w:w w:val="91"/>
              </w:rPr>
              <w:t>US$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2.22</w:t>
            </w:r>
          </w:p>
        </w:tc>
      </w:tr>
      <w:tr>
        <w:trPr>
          <w:trHeight w:val="223"/>
        </w:trPr>
        <w:tc>
          <w:tcPr>
            <w:tcW w:w="10220" w:type="dxa"/>
            <w:vAlign w:val="bottom"/>
          </w:tcPr>
          <w:p>
            <w:pPr>
              <w:spacing w:after="0"/>
              <w:rPr>
                <w:sz w:val="20"/>
                <w:szCs w:val="20"/>
                <w:color w:val="auto"/>
              </w:rPr>
            </w:pPr>
            <w:r>
              <w:rPr>
                <w:rFonts w:ascii="Arial" w:cs="Arial" w:eastAsia="Arial" w:hAnsi="Arial"/>
                <w:sz w:val="18"/>
                <w:szCs w:val="18"/>
                <w:color w:val="32406B"/>
              </w:rPr>
              <w:t>Amount of dilution in net tangible book value per ordinary share to new investors in this offering</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91"/>
              </w:rPr>
              <w:t>US$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4"/>
              </w:rPr>
              <w:t>18.78</w:t>
            </w:r>
          </w:p>
        </w:tc>
        <w:tc>
          <w:tcPr>
            <w:tcW w:w="60" w:type="dxa"/>
            <w:vAlign w:val="bottom"/>
          </w:tcPr>
          <w:p>
            <w:pPr>
              <w:spacing w:after="0"/>
              <w:rPr>
                <w:sz w:val="19"/>
                <w:szCs w:val="19"/>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32406B"/>
              </w:rPr>
              <w:t>Amount of dilution in net tangible book value per ADS to new investors in this offering</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32406B"/>
                <w:w w:val="91"/>
              </w:rPr>
              <w:t>US$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4"/>
              </w:rPr>
              <w:t>18.78</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pro forma information discussed above is illustrative only.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80</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32406B"/>
        </w:rPr>
        <w:t>The following table summarizes, on a pro forma basis as of December 31, 2020 as adjusted to reflect the issuance and sale of an aggregate of 16,026,282 ordinary shares to NVMB XIV Holdings Limited and Tencent Mobility Limited on February 1, 2021 and February 2, 2021, respectively the differences between the existing shareholders and the new investors with respect to the number of Class A ordinary shares purchased from us in this offering, the total consideration paid and the average price per Class A ordinary share paid at the initial public offering price of US$21.00 per ADS, before deducting underwriting discounts and commissions and estimated offering expenses. The total number of ordinary shares does not include the Class A ordinary shares underlying the ADSs issuable upon the exercise of the over-allotment option granted to the underwriters.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32406B"/>
              </w:rPr>
              <w:t>Total Consideration</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92"/>
              </w:rPr>
              <w:t>Average Price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0" w:type="dxa"/>
            <w:vAlign w:val="bottom"/>
            <w:gridSpan w:val="4"/>
            <w:vMerge w:val="restart"/>
          </w:tcPr>
          <w:p>
            <w:pPr>
              <w:jc w:val="center"/>
              <w:ind w:right="420"/>
              <w:spacing w:after="0" w:line="113" w:lineRule="exact"/>
              <w:rPr>
                <w:sz w:val="20"/>
                <w:szCs w:val="20"/>
                <w:color w:val="auto"/>
              </w:rPr>
            </w:pPr>
            <w:r>
              <w:rPr>
                <w:rFonts w:ascii="Arial" w:cs="Arial" w:eastAsia="Arial" w:hAnsi="Arial"/>
                <w:sz w:val="13"/>
                <w:szCs w:val="13"/>
                <w:b w:val="1"/>
                <w:bCs w:val="1"/>
                <w:color w:val="32406B"/>
              </w:rPr>
              <w:t>Ordinary shares</w:t>
            </w: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2"/>
            <w:vMerge w:val="restart"/>
          </w:tcPr>
          <w:p>
            <w:pPr>
              <w:jc w:val="center"/>
              <w:ind w:right="280"/>
              <w:spacing w:after="0" w:line="113" w:lineRule="exact"/>
              <w:rPr>
                <w:sz w:val="20"/>
                <w:szCs w:val="20"/>
                <w:color w:val="auto"/>
              </w:rPr>
            </w:pPr>
            <w:r>
              <w:rPr>
                <w:rFonts w:ascii="Arial" w:cs="Arial" w:eastAsia="Arial" w:hAnsi="Arial"/>
                <w:sz w:val="13"/>
                <w:szCs w:val="13"/>
                <w:b w:val="1"/>
                <w:bCs w:val="1"/>
                <w:color w:val="32406B"/>
              </w:rPr>
              <w:t>Per Ordinary</w:t>
            </w:r>
          </w:p>
        </w:tc>
        <w:tc>
          <w:tcPr>
            <w:tcW w:w="960" w:type="dxa"/>
            <w:vAlign w:val="bottom"/>
            <w:gridSpan w:val="2"/>
            <w:vMerge w:val="restart"/>
          </w:tcPr>
          <w:p>
            <w:pPr>
              <w:jc w:val="center"/>
              <w:ind w:right="60"/>
              <w:spacing w:after="0" w:line="113" w:lineRule="exact"/>
              <w:rPr>
                <w:sz w:val="20"/>
                <w:szCs w:val="20"/>
                <w:color w:val="auto"/>
              </w:rPr>
            </w:pPr>
            <w:r>
              <w:rPr>
                <w:rFonts w:ascii="Arial" w:cs="Arial" w:eastAsia="Arial" w:hAnsi="Arial"/>
                <w:sz w:val="13"/>
                <w:szCs w:val="13"/>
                <w:b w:val="1"/>
                <w:bCs w:val="1"/>
                <w:color w:val="32406B"/>
                <w:w w:val="99"/>
              </w:rPr>
              <w:t>Average Price</w:t>
            </w:r>
          </w:p>
        </w:tc>
        <w:tc>
          <w:tcPr>
            <w:tcW w:w="0" w:type="dxa"/>
            <w:vAlign w:val="bottom"/>
          </w:tcPr>
          <w:p>
            <w:pPr>
              <w:spacing w:after="0"/>
              <w:rPr>
                <w:sz w:val="1"/>
                <w:szCs w:val="1"/>
                <w:color w:val="auto"/>
              </w:rPr>
            </w:pPr>
          </w:p>
        </w:tc>
      </w:tr>
      <w:tr>
        <w:trPr>
          <w:trHeight w:val="65"/>
        </w:trPr>
        <w:tc>
          <w:tcPr>
            <w:tcW w:w="4400" w:type="dxa"/>
            <w:vAlign w:val="bottom"/>
          </w:tcPr>
          <w:p>
            <w:pPr>
              <w:spacing w:after="0"/>
              <w:rPr>
                <w:sz w:val="5"/>
                <w:szCs w:val="5"/>
                <w:color w:val="auto"/>
              </w:rPr>
            </w:pPr>
          </w:p>
        </w:tc>
        <w:tc>
          <w:tcPr>
            <w:tcW w:w="2200" w:type="dxa"/>
            <w:vAlign w:val="bottom"/>
            <w:gridSpan w:val="4"/>
            <w:vMerge w:val="continue"/>
          </w:tcPr>
          <w:p>
            <w:pPr>
              <w:spacing w:after="0"/>
              <w:rPr>
                <w:sz w:val="5"/>
                <w:szCs w:val="5"/>
                <w:color w:val="auto"/>
              </w:rPr>
            </w:pPr>
          </w:p>
        </w:tc>
        <w:tc>
          <w:tcPr>
            <w:tcW w:w="1360" w:type="dxa"/>
            <w:vAlign w:val="bottom"/>
            <w:gridSpan w:val="2"/>
            <w:vMerge w:val="restart"/>
          </w:tcPr>
          <w:p>
            <w:pPr>
              <w:jc w:val="center"/>
              <w:ind w:right="260"/>
              <w:spacing w:after="0" w:line="119" w:lineRule="exact"/>
              <w:rPr>
                <w:sz w:val="20"/>
                <w:szCs w:val="20"/>
                <w:color w:val="auto"/>
              </w:rPr>
            </w:pPr>
            <w:r>
              <w:rPr>
                <w:rFonts w:ascii="Arial" w:cs="Arial" w:eastAsia="Arial" w:hAnsi="Arial"/>
                <w:sz w:val="13"/>
                <w:szCs w:val="13"/>
                <w:b w:val="1"/>
                <w:bCs w:val="1"/>
                <w:color w:val="32406B"/>
              </w:rPr>
              <w:t>Amount (in</w:t>
            </w: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1220" w:type="dxa"/>
            <w:vAlign w:val="bottom"/>
            <w:gridSpan w:val="2"/>
            <w:vMerge w:val="restart"/>
          </w:tcPr>
          <w:p>
            <w:pPr>
              <w:jc w:val="center"/>
              <w:ind w:left="480"/>
              <w:spacing w:after="0" w:line="151" w:lineRule="exact"/>
              <w:rPr>
                <w:sz w:val="20"/>
                <w:szCs w:val="20"/>
                <w:color w:val="auto"/>
              </w:rPr>
            </w:pPr>
            <w:r>
              <w:rPr>
                <w:rFonts w:ascii="Arial" w:cs="Arial" w:eastAsia="Arial" w:hAnsi="Arial"/>
                <w:sz w:val="14"/>
                <w:szCs w:val="14"/>
                <w:b w:val="1"/>
                <w:bCs w:val="1"/>
                <w:color w:val="32406B"/>
                <w:w w:val="92"/>
              </w:rPr>
              <w:t>Purchased</w:t>
            </w: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32406B"/>
                <w:w w:val="92"/>
              </w:rPr>
              <w:t>Share</w:t>
            </w:r>
          </w:p>
        </w:tc>
        <w:tc>
          <w:tcPr>
            <w:tcW w:w="260" w:type="dxa"/>
            <w:vAlign w:val="bottom"/>
          </w:tcPr>
          <w:p>
            <w:pPr>
              <w:spacing w:after="0"/>
              <w:rPr>
                <w:sz w:val="4"/>
                <w:szCs w:val="4"/>
                <w:color w:val="auto"/>
              </w:rPr>
            </w:pPr>
          </w:p>
        </w:tc>
        <w:tc>
          <w:tcPr>
            <w:tcW w:w="88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32406B"/>
                <w:w w:val="96"/>
              </w:rPr>
              <w:t>Per ADS</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220" w:type="dxa"/>
            <w:vAlign w:val="bottom"/>
            <w:tcBorders>
              <w:bottom w:val="single" w:sz="8" w:color="auto"/>
            </w:tcBorders>
            <w:gridSpan w:val="2"/>
            <w:vMerge w:val="continue"/>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32406B"/>
                <w:w w:val="95"/>
              </w:rPr>
              <w:t>thousands of</w:t>
            </w: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32406B"/>
              </w:rPr>
              <w:t>Number</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32406B"/>
                <w:w w:val="97"/>
              </w:rPr>
              <w:t>Percent</w:t>
            </w:r>
          </w:p>
        </w:tc>
        <w:tc>
          <w:tcPr>
            <w:tcW w:w="4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3"/>
              </w:rPr>
              <w:t>US$)</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2406B"/>
                <w:w w:val="97"/>
              </w:rPr>
              <w:t>Percent</w:t>
            </w:r>
          </w:p>
        </w:tc>
        <w:tc>
          <w:tcPr>
            <w:tcW w:w="4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5"/>
              </w:rPr>
              <w:t>US$</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5"/>
              </w:rPr>
              <w:t>US$</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32406B"/>
              </w:rPr>
              <w:t>Existing shareholders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516,170,081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92.21%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537,367,992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36.99%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32406B"/>
              </w:rPr>
              <w:t>New investors</w:t>
            </w:r>
          </w:p>
        </w:tc>
        <w:tc>
          <w:tcPr>
            <w:tcW w:w="960" w:type="dxa"/>
            <w:vAlign w:val="bottom"/>
          </w:tcPr>
          <w:p>
            <w:pPr>
              <w:jc w:val="right"/>
              <w:spacing w:after="0"/>
              <w:rPr>
                <w:sz w:val="20"/>
                <w:szCs w:val="20"/>
                <w:color w:val="auto"/>
              </w:rPr>
            </w:pPr>
            <w:r>
              <w:rPr>
                <w:rFonts w:ascii="Arial" w:cs="Arial" w:eastAsia="Arial" w:hAnsi="Arial"/>
                <w:sz w:val="18"/>
                <w:szCs w:val="18"/>
                <w:color w:val="32406B"/>
              </w:rPr>
              <w:t>43,590,000</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32406B"/>
              </w:rPr>
              <w:t>7.79%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32406B"/>
              </w:rPr>
              <w:t>915,390,000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32406B"/>
              </w:rPr>
              <w:t>63.01%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rPr>
              <w:t>21.00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32406B"/>
              </w:rPr>
              <w:t>21.00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32406B"/>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559,760,081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5"/>
              </w:rPr>
              <w:t>100.00%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3"/>
              </w:rPr>
              <w:t>1,452,757,992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5"/>
              </w:rPr>
              <w:t>100.00%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32406B"/>
        </w:rPr>
        <w:t>The discussion and tables above also assume no exercise of any stock options outstanding as of the date of this prospectus. As of the date of this prospectus, there are 62,965,000 ordinary shares issuable upon exercise of outstanding stock options, and there are a total of 13,813,005 ordinary shares available for future issuance upon the exercise of grants under our 2015 Equity Incentive Plan. Our 2015 Equity Incentive Plan provides for annual automatic increases in the number of ordinary shares reserved thereunder. See the section of this prospectus captioned “Management—Equity Incentive Plan—2015 Equity Incentive Plan.” To the extent that any of these options are exercised, there will be further dilution to new investors.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81</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32406B"/>
        </w:rPr>
        <w:t>ENFORCEABILITY OF CIVIL LIABILITIES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Cayman Islands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are incorporated in the Cayman Islands as an exempted company with limited liability in order to enjoy the following benefits:</w:t>
      </w:r>
    </w:p>
    <w:p>
      <w:pPr>
        <w:spacing w:after="0" w:line="13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political and economic stability;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an effective judicial system;</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a favorable tax system;</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absence of exchange control or currency restrictions;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availability of professional and support services.</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32406B"/>
        </w:rPr>
        <w:t>However, certain disadvantages accompany incorporation in the Cayman Islands. These disadvantages include, but are not limited to, the following:</w:t>
      </w:r>
    </w:p>
    <w:p>
      <w:pPr>
        <w:spacing w:after="0" w:line="76" w:lineRule="exact"/>
        <w:rPr>
          <w:sz w:val="20"/>
          <w:szCs w:val="20"/>
          <w:color w:val="auto"/>
        </w:rPr>
      </w:pPr>
    </w:p>
    <w:p>
      <w:pPr>
        <w:ind w:left="1080" w:right="580" w:hanging="532"/>
        <w:spacing w:after="0" w:line="277" w:lineRule="auto"/>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the Cayman Islands has a less developed body of securities laws as compared to the United States and these securities laws provide significantly less protection to investors;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Cayman Islands companies may not have standing to sue before the federal courts of the United States.</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32406B"/>
        </w:rPr>
        <w:t>Our constitutional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Substantially all of our operations are conducted in China, and substantially all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We have appointed Cogency Global Inc. as our agent upon whom process may be served in any action brought against us under the securities laws of the United States.</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32406B"/>
        </w:rPr>
        <w:t>Maples and Calder (Hong Kong) LLP, our counsel as to Cayman Islands law, and Jia Yuan Law Offices, our counsel as to PRC law, have advised us, respectively, that there is uncertainty as to whether the courts of the Cayman Islands and China, respectively, would:</w:t>
      </w:r>
    </w:p>
    <w:p>
      <w:pPr>
        <w:spacing w:after="0" w:line="52" w:lineRule="exact"/>
        <w:rPr>
          <w:sz w:val="20"/>
          <w:szCs w:val="20"/>
          <w:color w:val="auto"/>
        </w:rPr>
      </w:pPr>
    </w:p>
    <w:p>
      <w:pPr>
        <w:ind w:left="1080" w:right="280" w:hanging="532"/>
        <w:spacing w:after="0" w:line="277" w:lineRule="auto"/>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32406B"/>
        </w:rPr>
      </w:pPr>
    </w:p>
    <w:p>
      <w:pPr>
        <w:ind w:left="1080" w:right="180" w:hanging="532"/>
        <w:spacing w:after="0" w:line="277" w:lineRule="auto"/>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32406B"/>
        </w:rPr>
        <w:t>Maples and Calder (Hong Kong) LLP has informed us that it is uncertain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 Maples and Calder (Hong Kong) LLP has informed us that although there is no statutory enforcement in the Cayman Islands of judgments obtained in the federal or state courts of the United States (and the Cayman Islands are not a party to any treaties for the reciprocal enforcement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82</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32406B"/>
        </w:rPr>
        <w:t>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PRC</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32406B"/>
        </w:rPr>
        <w:t>We have been advised by Jia Yuan Law Offices,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Jia Yuan Law Offices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the PRC Law on Choice of Law for Foreign-related Civil Relationships,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ordinary shares.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83</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OUR HISTORY AND CORPORATE 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Corporate History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commenced our operations in June 2014 through Hangzhou Tuya Technology Co., Ltd., or Hangzhou Tuya Technology.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August 2014, Tuya, Inc., our current ultimate holding company, was incorporated under the laws of the Cayman Islands.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In September 2014, Tuya (HK) Limited, currently a wholly-owned subsidiary of Tuya Inc., was incorporated under the laws of Hong Kong.</w:t>
      </w:r>
    </w:p>
    <w:p>
      <w:pPr>
        <w:spacing w:after="0" w:line="23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32406B"/>
        </w:rPr>
        <w:t>In December 2014, Hangzhou Tuya Information Technology Co., Ltd. (formerly known as Hangzhou Aixiangji Technology Co., Ltd.), or Tuya Information, was incorporated in the PRC. Tuya Information is currently a wholly-owned subsidiary of Tuya (HK) Limited.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In June 2018, we effected a 10-for-1 share subdivision, following which each of our issued and unissued ordinary shares and preferred shares was subdivided into ten ordinary shares and preferred shares, respectively.</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32406B"/>
        </w:rPr>
        <w:t>Tuya Information has entered into a series of contractual arrangements, as amended and restated, with Hangzhou Tuya Technology and its shareholders, through which we obtained control over Hangzhou Tuya Technology and its subsidiaries. As a result, we are regarded as the primary beneficiary of Hangzhou Tuya Technology and its subsidiaries. We treat them as our consolidated affiliated entities under U.S. GAAP, and have consolidated the financial results of these entities in our consolidated financial statements in accordance with U.S. GAAP. We refer to Tuya Information as our wholly foreign owned entity, or WFOE, and to Hangzhou Tuya Technology as our variable interest entity, or VIE, in this prospectus. For more details and risks related to our VIE structure, please see “—Contractual Arrangements with our VIE and Its Shareholders” and “Risk Factors—Risks Related to Our Corporate Structure.”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84</w:t>
      </w:r>
    </w:p>
    <w:p>
      <w:pPr>
        <w:sectPr>
          <w:pgSz w:w="11900" w:h="16838" w:orient="portrait"/>
          <w:cols w:equalWidth="0" w:num="1">
            <w:col w:w="11060"/>
          </w:cols>
          <w:pgMar w:left="320" w:top="459"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Corporate Structure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following chart illustrates our corporate structure, including our significant subsidiaries as that term is defined under Section 1-02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Regulation S-X under the Securities Act, our VIE and certain other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094730" cy="27863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94730" cy="278638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4"/>
          <w:szCs w:val="14"/>
          <w:color w:val="32406B"/>
        </w:rPr>
        <w:t>Note:</w:t>
      </w:r>
      <w:r>
        <w:rPr>
          <w:sz w:val="20"/>
          <w:szCs w:val="20"/>
          <w:color w:val="auto"/>
        </w:rPr>
        <w:tab/>
      </w:r>
      <w:r>
        <w:rPr>
          <w:rFonts w:ascii="Arial" w:cs="Arial" w:eastAsia="Arial" w:hAnsi="Arial"/>
          <w:sz w:val="13"/>
          <w:szCs w:val="13"/>
          <w:color w:val="32406B"/>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00"/>
        <w:spacing w:after="0" w:line="233" w:lineRule="auto"/>
        <w:rPr>
          <w:sz w:val="20"/>
          <w:szCs w:val="20"/>
          <w:color w:val="auto"/>
        </w:rPr>
      </w:pPr>
      <w:r>
        <w:rPr>
          <w:rFonts w:ascii="Arial" w:cs="Arial" w:eastAsia="Arial" w:hAnsi="Arial"/>
          <w:sz w:val="14"/>
          <w:szCs w:val="14"/>
          <w:color w:val="32406B"/>
        </w:rPr>
        <w:t>Shareholders of Hangzhou Tuya Technology are Xueji (Jerry) Wang (our director and CEO), Liaohan (Leo) Chen (our director), Yaona Lin (our employee), Ruixin Zhou (our CTO) and Peihong Chen (our employee), each holding approximately 60.7%, 13.1%, 11.5%, 9.8% and 4.9%, respectively, of Hangzhou Tuya Technology’s equity interests. Xueji (Jerry) Wang, Liaohan (Leo) Chen, Yaona Lin, Ruixin Zhou and Peihong Chen each holds approximately 20.3%, 5.1%, 4.5%, 3.9% and 1.9%, respectively, of our equity interests immediately after the completion of this offering.</w:t>
      </w:r>
    </w:p>
    <w:p>
      <w:pPr>
        <w:spacing w:after="0" w:line="200" w:lineRule="exact"/>
        <w:rPr>
          <w:sz w:val="20"/>
          <w:szCs w:val="20"/>
          <w:color w:val="auto"/>
        </w:rPr>
      </w:pPr>
    </w:p>
    <w:p>
      <w:pPr>
        <w:sectPr>
          <w:pgSz w:w="11900" w:h="16838" w:orient="portrait"/>
          <w:cols w:equalWidth="0" w:num="2">
            <w:col w:w="740" w:space="680"/>
            <w:col w:w="9700"/>
          </w:cols>
          <w:pgMar w:left="320" w:top="459" w:right="459" w:bottom="1440" w:gutter="0" w:footer="0" w:header="0"/>
          <w:type w:val="continuous"/>
        </w:sectPr>
      </w:pP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Contractual Arrangements with Our VIE and its Shareholders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32406B"/>
        </w:rPr>
        <w:t>We are a company organized under the law of the Cayman Islands and currently conducts substantially all of our business operations in the PRC through Tuya Information, our wholly-owned subsidiary incorporated in the PRC.</w:t>
      </w:r>
    </w:p>
    <w:p>
      <w:pPr>
        <w:spacing w:after="0" w:line="170"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32406B"/>
        </w:rPr>
        <w:t>Current PRC laws and regulations impose certain restrictions or prohibitions on foreign ownership of companies that engage in value-added telecommunication services and certain other businesses. As we may in the future engage in such services and businesses, we have, through Tuya Information, entered into a series of contractual arrangements, as amended and restated, with Hangzhou Tuya Technology, our VIE, as well as its shareholders. As a result of these contractual arrangements, we exert effective control over, and are considered the primary beneficiary of, our VIE and consolidate its operating results in our financial statements under the U.S. GAAP.</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following is a summary of the contractual arrangements by and among Tuya Information, Hangzhou Tuya Technology and the shareholders of Hangzhou Tuya Technology. For the complete text of these contractual arrangements, please see the copies filed as exhibits to the registration statement filed with the SEC of which this prospectus forms a part.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32406B"/>
        </w:rPr>
        <w:t>In the opinion of Jia Yuan Law Offices, our PRC legal counsel, the contractual arrangements described below are valid, binding and enforceable under current PRC law. However, these contractual arrangements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85</w:t>
      </w:r>
    </w:p>
    <w:p>
      <w:pPr>
        <w:sectPr>
          <w:pgSz w:w="11900" w:h="16838" w:orient="portrait"/>
          <w:cols w:equalWidth="0" w:num="1">
            <w:col w:w="11120"/>
          </w:cols>
          <w:pgMar w:left="320" w:top="459" w:right="45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32406B"/>
        </w:rPr>
        <w:t>not be as effective in providing control as direct ownership. There are substantial uncertainties regarding the interpretation and application of current or future PRC laws and regulations. We have been further advised by our PRC legal counsel that if the PRC government finds that the agreements that establish the VIE structure do not comply with applicable PRC laws and regulations, we could be subject to penalties including being required to cease the operations carried out through the VIE. For a detailed discussion of the risks and uncertainties related to these contractual arrangements and our corporate structure, please see “Risk Factors—Risks Related to Our Corporate Structure.”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Exclusive Business Cooperation Agreement</w:t>
      </w:r>
    </w:p>
    <w:p>
      <w:pPr>
        <w:spacing w:after="0" w:line="11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32406B"/>
        </w:rPr>
        <w:t>Under this exclusive business cooperation agreement, Tuya Information has agreed to provide the following services to Hangzhou Tuya Technology:</w:t>
      </w:r>
    </w:p>
    <w:p>
      <w:pPr>
        <w:spacing w:after="0" w:line="76"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licensing of software legally owned by Tuya Information;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development, maintenance and update of software involved in Hangzhou Tuya Technology’s business;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design, installation, daily management, maintenance and updating of network system, hardware and databased design;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technical support and training for employees of Hangzhou Tuya Technology;</w:t>
      </w:r>
    </w:p>
    <w:p>
      <w:pPr>
        <w:spacing w:after="0" w:line="130" w:lineRule="exact"/>
        <w:rPr>
          <w:rFonts w:ascii="Arial" w:cs="Arial" w:eastAsia="Arial" w:hAnsi="Arial"/>
          <w:sz w:val="18"/>
          <w:szCs w:val="18"/>
          <w:color w:val="32406B"/>
        </w:rPr>
      </w:pPr>
    </w:p>
    <w:p>
      <w:pPr>
        <w:ind w:left="1080" w:right="460" w:hanging="532"/>
        <w:spacing w:after="0" w:line="277" w:lineRule="auto"/>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assistance in consultancy, collection and research of technology and market information (excluding market research business that wholly foreign-owned enterprises are prohibited from conducting under PRC law;</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provision of business management consultation;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provision of marketing and promotion services;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the leasing of equipment or properties;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other services requested by Hangzhou Tuya Technology from time to time to the extent permitted under PRC law.</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Hangzhou Tuya Technology has agreed to pay monthly services fees to Tuya Information in discretion of Hangzhou Tuya Technology after considering certain factors as specified in the exclusive business cooperation agreement. This agreement was effective from December 23, 2014 and will continue to be effective unless it is terminated by written notice of Tuya Information or according to the provisions in the agreement. Unless otherwise required by applicable laws, Hangzhou Tuya Technology shall not have any right to terminate this exclusive business cooperation agreement in any event.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Equity Interest Pledge Agreement</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32406B"/>
        </w:rPr>
        <w:t>Xueji (Jerry) Wang, one of the shareholders of Hangzhou Tuya Technology, entered into an equity pledge agreement with Tuya Information and Hangzhou Tuya Technology, originally dated December 23, 2014 and amended and restated on August 23, 2019. Each of Liaohan (Leo) Chen, Yaona Lin, Ruixin Zhou and Peihong Chen, the shareholders of Hangzhou Tuya Technology, entered into an equity pledge agreement with Tuya Information and Hangzhou Tuya Technology, each originally dated December 23, 2014 and amended on August 23, 2019. Under such equity interest pledge agreements, each of Xueji (Jerry) Wang, Liaohan (Leo) Chen, Yaona Lin, Ruixin Zhou and Peihong Chen pledged his or her respective equity interest in Hangzhou Tuya Technology to Tuya Information to secure his or her obligations under the applicable exclusive business cooperation agreement, exclusive option agreement, and powers of attorney. Each of Xueji (Jerry) Wang, Liaohan (Leo) Chen, Yaona Lin, Ruixin Zhou and Peihong Chen further agreed to not transfer or pledge his or her respective equity interest in Hangzhou Tuya Technology without the prior written consent of Tuya</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32406B"/>
        </w:rPr>
        <w:t>Information. Each of the equity pledge agreement will remain binding until the respective pledger, Xueji (Jerry) Wang, Liaohan (Leo) Chen, Yaona Lin, Ruixin Zhou and Peihong Chen, as the case may be, discharges all his or her obligations and pays all his or her indebtedness under the above-mentioned agreements. As the date of this prospectus, the equity pledges under the equity interest pledge agreement have been registered with competent PRC regulatory authority.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Exclusive Option Agreement</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32406B"/>
        </w:rPr>
        <w:t>Under the exclusive option agreement entered into by Tuya Information, Hangzhou Tuya Technology and Xueji (Jerry) Wang, originally dated December 23, 2014 and amended and restated on August 23, 2019, and the exclusive option agreements entered into by Tuya Information, Hangzhou Tuya Technology and each of Liaohan (Leo) Chen, Yaona Lin, Ruixin Zhou and Peihong Chen, each dated December 23, 2014, each of Xueji (Jerry) Wang, Liaohan (Leo) Chen, Yaona Lin, Ruixin Zhou and Peihong Chen granted Tuya Information an option to purchase all or a portion of his or her respective equity interest in Hangzhou Tuya Technology at a price equal to the higher of RMB1.0 and the minimum amount of consideration permitted by PRC law. In addition, under each exclusive purchase option agreement, Hangzhou Tuya Technology has granted Tuya Information an option to purchase all or a portion of the assets held by Hangzhou Tuya Technology or its subsidiaries for the minimum amount of consideration permitted by PRC law. Each of Hangzhou Tuya Technology, Xueji (Jerry) Wang, Liaohan (Leo) Chen, Yaona Lin, Ruixin Zhou and Peihong Chen agreed not to transfer, mortgage or permit any security interest to be created on any equity interest in or material assets of Hangzhou Tuya Technology without the prior written consent of Tuya Information. Each exclusive purchase option agreement shall remain in effect until all of the equity interests in Hangzhou Tuya Technology have been acquired by Tuya Information.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Powers of Attorney</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32406B"/>
        </w:rPr>
        <w:t>Pursuant to a power of attorney issued by Xueji (Jerry) Wang and accepted by Tuya Information on August 23, 2019 and a series of powers of attorney issued by each of Liaohan (Leo) Chen, Yaona Lin, Ruixin Zhou and Peihong Chen and accepted by Tuya Information on December 23, 2014, each of Xueji (Jerry) Wang, Liaohan (Leo) Chen, Yaona Lin, Ruixin Zhou and Peihong Chen irrevocably appointed Tuya Information as their exclusive agent and attorney to act on their behalf on all shareholder matters of Hangzhou Tuya Technology and exercise all rights as shareholders of Hangzhou Tuya Technology. These powers of attorney shall remain valid during the period that each of them is a shareholder of Hangzhou Tuya Technology.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Spousal Consents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Each of the spouse of Xueji (Jerry) Wang, Liaohan (Leo) Chen, Yaona Lin, Ruixin Zhou and Peihong Chen has signed a spousal consent. Under each of the spousal consent, the signing spouse undertook not to make any assertions in connection with the equity interests in Hangzhou Tuya Technology held by her spouse. Moreover, each spouse agreed that the disposition of the equity interest in Hangzhou Tuya Technology which is held by and registered under the name of her spouse shall be made pursuant to the above-mentioned exclusive business cooperation agreement, exclusive option agreement and powers of attorney, as amended from time to time. In addition, in the event that any of them obtains any equity interest in Hangzhou Tuya Technology held by their respective spouses for any reason, such spouse agreed to be bound by similar obligations and agreed to enter into similar contractual arrangements.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87</w:t>
      </w:r>
    </w:p>
    <w:p>
      <w:pPr>
        <w:sectPr>
          <w:pgSz w:w="11900" w:h="16838" w:orient="portrait"/>
          <w:cols w:equalWidth="0" w:num="1">
            <w:col w:w="11080"/>
          </w:cols>
          <w:pgMar w:left="32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SELECTED CONSOLIDATED OPERATING AND FINANCIAL DATA</w:t>
      </w:r>
    </w:p>
    <w:p>
      <w:pPr>
        <w:spacing w:after="0" w:line="2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32406B"/>
        </w:rPr>
        <w:t>The following selected consolidated statements of comprehensive loss data for the years ended December 31, 2019 and 2020, summary consolidated balance sheets data as of December 31, 2019 and 2020 and selected consolidated cash flows data for the years ended December 31, 2019 and 2020 have been derived from audited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Selected Consolidated Operating and Financial Data section together with our consolidated financial statements and the related notes and “Management’s Discussion and Analysis of Financial Condition and Results of Operations” included elsewhere in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3180" w:type="dxa"/>
            <w:vAlign w:val="bottom"/>
            <w:tcBorders>
              <w:bottom w:val="single" w:sz="8" w:color="auto"/>
            </w:tcBorders>
            <w:gridSpan w:val="4"/>
          </w:tcPr>
          <w:p>
            <w:pPr>
              <w:jc w:val="center"/>
              <w:ind w:left="453"/>
              <w:spacing w:after="0"/>
              <w:rPr>
                <w:sz w:val="20"/>
                <w:szCs w:val="20"/>
                <w:color w:val="auto"/>
              </w:rPr>
            </w:pPr>
            <w:r>
              <w:rPr>
                <w:rFonts w:ascii="Arial" w:cs="Arial" w:eastAsia="Arial" w:hAnsi="Arial"/>
                <w:sz w:val="14"/>
                <w:szCs w:val="14"/>
                <w:b w:val="1"/>
                <w:bCs w:val="1"/>
                <w:color w:val="32406B"/>
                <w:w w:val="93"/>
              </w:rPr>
              <w:t>For the 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12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32406B"/>
              </w:rPr>
              <w:t>2019</w:t>
            </w: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32406B"/>
              </w:rPr>
              <w:t>2020</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120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32406B"/>
              </w:rPr>
              <w:t>US$</w:t>
            </w: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32406B"/>
              </w:rPr>
              <w:t>%</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32406B"/>
              </w:rPr>
              <w:t>US$</w:t>
            </w: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32406B"/>
              </w:rPr>
              <w:t>%</w:t>
            </w:r>
          </w:p>
        </w:tc>
        <w:tc>
          <w:tcPr>
            <w:tcW w:w="140" w:type="dxa"/>
            <w:vAlign w:val="bottom"/>
          </w:tcPr>
          <w:p>
            <w:pPr>
              <w:spacing w:after="0"/>
              <w:rPr>
                <w:sz w:val="12"/>
                <w:szCs w:val="12"/>
                <w:color w:val="auto"/>
              </w:rPr>
            </w:pPr>
          </w:p>
        </w:tc>
      </w:tr>
      <w:tr>
        <w:trPr>
          <w:trHeight w:val="119"/>
        </w:trPr>
        <w:tc>
          <w:tcPr>
            <w:tcW w:w="7160" w:type="dxa"/>
            <w:vAlign w:val="bottom"/>
          </w:tcPr>
          <w:p>
            <w:pPr>
              <w:spacing w:after="0"/>
              <w:rPr>
                <w:sz w:val="10"/>
                <w:szCs w:val="10"/>
                <w:color w:val="auto"/>
              </w:rPr>
            </w:pPr>
          </w:p>
        </w:tc>
        <w:tc>
          <w:tcPr>
            <w:tcW w:w="372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32406B"/>
                <w:w w:val="96"/>
              </w:rPr>
              <w:t>(in thousands, except for percentages, shares and</w:t>
            </w:r>
          </w:p>
        </w:tc>
        <w:tc>
          <w:tcPr>
            <w:tcW w:w="140" w:type="dxa"/>
            <w:vAlign w:val="bottom"/>
          </w:tcPr>
          <w:p>
            <w:pPr>
              <w:spacing w:after="0"/>
              <w:rPr>
                <w:sz w:val="10"/>
                <w:szCs w:val="10"/>
                <w:color w:val="auto"/>
              </w:rPr>
            </w:pPr>
          </w:p>
        </w:tc>
      </w:tr>
      <w:tr>
        <w:trPr>
          <w:trHeight w:val="171"/>
        </w:trPr>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gridSpan w:val="3"/>
          </w:tcPr>
          <w:p>
            <w:pPr>
              <w:jc w:val="center"/>
              <w:ind w:right="592"/>
              <w:spacing w:after="0"/>
              <w:rPr>
                <w:sz w:val="20"/>
                <w:szCs w:val="20"/>
                <w:color w:val="auto"/>
              </w:rPr>
            </w:pPr>
            <w:r>
              <w:rPr>
                <w:rFonts w:ascii="Arial" w:cs="Arial" w:eastAsia="Arial" w:hAnsi="Arial"/>
                <w:sz w:val="14"/>
                <w:szCs w:val="14"/>
                <w:b w:val="1"/>
                <w:bCs w:val="1"/>
                <w:color w:val="32406B"/>
                <w:w w:val="93"/>
              </w:rPr>
              <w:t>per share data)</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Selected Consolidated Statements of Operation:</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32406B"/>
              </w:rPr>
              <w:t>Revenue</w:t>
            </w: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32406B"/>
              </w:rPr>
              <w:t>105,789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32406B"/>
              </w:rPr>
              <w:t>100.0</w:t>
            </w: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32406B"/>
              </w:rPr>
              <w:t>179,874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32406B"/>
              </w:rPr>
              <w:t>100.0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Cost of revenue</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32406B"/>
              </w:rPr>
              <w:t>(78,003)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(73.7)</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32406B"/>
              </w:rPr>
              <w:t>(117,937)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(65.6)</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32406B"/>
              </w:rPr>
              <w:t>Gross profit</w:t>
            </w: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32406B"/>
              </w:rPr>
              <w:t>27,786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32406B"/>
              </w:rPr>
              <w:t>26.3</w:t>
            </w: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32406B"/>
              </w:rPr>
              <w:t>61,937</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32406B"/>
              </w:rPr>
              <w:t>34.4</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Operating expenses: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1200" w:type="dxa"/>
            <w:vAlign w:val="bottom"/>
          </w:tcPr>
          <w:p>
            <w:pPr>
              <w:jc w:val="right"/>
              <w:ind w:right="33"/>
              <w:spacing w:after="0"/>
              <w:rPr>
                <w:sz w:val="20"/>
                <w:szCs w:val="20"/>
                <w:color w:val="auto"/>
              </w:rPr>
            </w:pPr>
            <w:r>
              <w:rPr>
                <w:rFonts w:ascii="Arial" w:cs="Arial" w:eastAsia="Arial" w:hAnsi="Arial"/>
                <w:sz w:val="18"/>
                <w:szCs w:val="18"/>
                <w:color w:val="32406B"/>
              </w:rPr>
              <w:t>(52,003)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2406B"/>
              </w:rPr>
              <w:t>(49.2)</w:t>
            </w:r>
          </w:p>
        </w:tc>
        <w:tc>
          <w:tcPr>
            <w:tcW w:w="1240" w:type="dxa"/>
            <w:vAlign w:val="bottom"/>
          </w:tcPr>
          <w:p>
            <w:pPr>
              <w:jc w:val="right"/>
              <w:ind w:right="52"/>
              <w:spacing w:after="0"/>
              <w:rPr>
                <w:sz w:val="20"/>
                <w:szCs w:val="20"/>
                <w:color w:val="auto"/>
              </w:rPr>
            </w:pPr>
            <w:r>
              <w:rPr>
                <w:rFonts w:ascii="Arial" w:cs="Arial" w:eastAsia="Arial" w:hAnsi="Arial"/>
                <w:sz w:val="18"/>
                <w:szCs w:val="18"/>
                <w:color w:val="32406B"/>
              </w:rPr>
              <w:t>(77,430)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32406B"/>
              </w:rPr>
              <w:t>(43.1)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32406B"/>
              </w:rPr>
              <w:t>Sales and marketing expenses</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32406B"/>
              </w:rPr>
              <w:t>(37,017)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(35.0)</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2406B"/>
              </w:rPr>
              <w:t>(37,556)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(20.9)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32406B"/>
              </w:rPr>
              <w:t>General and administrative expenses</w:t>
            </w:r>
          </w:p>
        </w:tc>
        <w:tc>
          <w:tcPr>
            <w:tcW w:w="1200" w:type="dxa"/>
            <w:vAlign w:val="bottom"/>
          </w:tcPr>
          <w:p>
            <w:pPr>
              <w:jc w:val="right"/>
              <w:ind w:right="33"/>
              <w:spacing w:after="0"/>
              <w:rPr>
                <w:sz w:val="20"/>
                <w:szCs w:val="20"/>
                <w:color w:val="auto"/>
              </w:rPr>
            </w:pPr>
            <w:r>
              <w:rPr>
                <w:rFonts w:ascii="Arial" w:cs="Arial" w:eastAsia="Arial" w:hAnsi="Arial"/>
                <w:sz w:val="18"/>
                <w:szCs w:val="18"/>
                <w:color w:val="32406B"/>
              </w:rPr>
              <w:t>(12,196)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2406B"/>
              </w:rPr>
              <w:t>(11.5)</w:t>
            </w:r>
          </w:p>
        </w:tc>
        <w:tc>
          <w:tcPr>
            <w:tcW w:w="1240" w:type="dxa"/>
            <w:vAlign w:val="bottom"/>
          </w:tcPr>
          <w:p>
            <w:pPr>
              <w:jc w:val="right"/>
              <w:ind w:right="52"/>
              <w:spacing w:after="0"/>
              <w:rPr>
                <w:sz w:val="20"/>
                <w:szCs w:val="20"/>
                <w:color w:val="auto"/>
              </w:rPr>
            </w:pPr>
            <w:r>
              <w:rPr>
                <w:rFonts w:ascii="Arial" w:cs="Arial" w:eastAsia="Arial" w:hAnsi="Arial"/>
                <w:sz w:val="18"/>
                <w:szCs w:val="18"/>
                <w:color w:val="32406B"/>
              </w:rPr>
              <w:t>(17,868)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32406B"/>
              </w:rPr>
              <w:t>(9.9)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32406B"/>
              </w:rPr>
              <w:t>Other operating (expenses)/incomes, net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32406B"/>
              </w:rPr>
              <w:t>(10)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(0.0)</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rPr>
              <w:t>1,071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0.6</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32406B"/>
              </w:rPr>
              <w:t>Total operating expenses</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32406B"/>
              </w:rPr>
              <w:t>(101,226)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(95.7)</w:t>
            </w: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32406B"/>
              </w:rPr>
              <w:t>(131,783)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32406B"/>
              </w:rPr>
              <w:t>(73.3)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Loss from operations</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32406B"/>
              </w:rPr>
              <w:t>(73,440)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(69.4)</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32406B"/>
              </w:rPr>
              <w:t>(69,846)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(38.9)</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32406B"/>
              </w:rPr>
              <w:t>Other income/(loss):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32406B"/>
              </w:rPr>
              <w:t>Financial income, net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32406B"/>
              </w:rPr>
              <w:t>3,326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3.1</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rPr>
              <w:t>3,220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32406B"/>
              </w:rPr>
              <w:t>Foreign exchange loss, net</w:t>
            </w:r>
          </w:p>
        </w:tc>
        <w:tc>
          <w:tcPr>
            <w:tcW w:w="1200" w:type="dxa"/>
            <w:vAlign w:val="bottom"/>
          </w:tcPr>
          <w:p>
            <w:pPr>
              <w:jc w:val="right"/>
              <w:ind w:right="33"/>
              <w:spacing w:after="0"/>
              <w:rPr>
                <w:sz w:val="20"/>
                <w:szCs w:val="20"/>
                <w:color w:val="auto"/>
              </w:rPr>
            </w:pPr>
            <w:r>
              <w:rPr>
                <w:rFonts w:ascii="Arial" w:cs="Arial" w:eastAsia="Arial" w:hAnsi="Arial"/>
                <w:sz w:val="18"/>
                <w:szCs w:val="18"/>
                <w:color w:val="32406B"/>
              </w:rPr>
              <w:t>(239)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2406B"/>
              </w:rPr>
              <w:t>(0.2)</w:t>
            </w:r>
          </w:p>
        </w:tc>
        <w:tc>
          <w:tcPr>
            <w:tcW w:w="1240" w:type="dxa"/>
            <w:vAlign w:val="bottom"/>
          </w:tcPr>
          <w:p>
            <w:pPr>
              <w:jc w:val="right"/>
              <w:ind w:right="52"/>
              <w:spacing w:after="0"/>
              <w:rPr>
                <w:sz w:val="20"/>
                <w:szCs w:val="20"/>
                <w:color w:val="auto"/>
              </w:rPr>
            </w:pPr>
            <w:r>
              <w:rPr>
                <w:rFonts w:ascii="Arial" w:cs="Arial" w:eastAsia="Arial" w:hAnsi="Arial"/>
                <w:sz w:val="18"/>
                <w:szCs w:val="18"/>
                <w:color w:val="32406B"/>
              </w:rPr>
              <w:t>(80)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32406B"/>
              </w:rPr>
              <w:t>(0.0)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Loss before income tax expense</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32406B"/>
              </w:rPr>
              <w:t>(70,353)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(66.5)</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32406B"/>
              </w:rPr>
              <w:t>(66,706)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(37.1)</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32406B"/>
              </w:rPr>
              <w:t>Income tax expense</w:t>
            </w:r>
          </w:p>
        </w:tc>
        <w:tc>
          <w:tcPr>
            <w:tcW w:w="1200" w:type="dxa"/>
            <w:vAlign w:val="bottom"/>
          </w:tcPr>
          <w:p>
            <w:pPr>
              <w:jc w:val="right"/>
              <w:ind w:right="33"/>
              <w:spacing w:after="0"/>
              <w:rPr>
                <w:sz w:val="20"/>
                <w:szCs w:val="20"/>
                <w:color w:val="auto"/>
              </w:rPr>
            </w:pPr>
            <w:r>
              <w:rPr>
                <w:rFonts w:ascii="Arial" w:cs="Arial" w:eastAsia="Arial" w:hAnsi="Arial"/>
                <w:sz w:val="18"/>
                <w:szCs w:val="18"/>
                <w:color w:val="32406B"/>
              </w:rPr>
              <w:t>(124)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2406B"/>
              </w:rPr>
              <w:t>(0.1)</w:t>
            </w:r>
          </w:p>
        </w:tc>
        <w:tc>
          <w:tcPr>
            <w:tcW w:w="1240" w:type="dxa"/>
            <w:vAlign w:val="bottom"/>
          </w:tcPr>
          <w:p>
            <w:pPr>
              <w:jc w:val="right"/>
              <w:ind w:right="52"/>
              <w:spacing w:after="0"/>
              <w:rPr>
                <w:sz w:val="20"/>
                <w:szCs w:val="20"/>
                <w:color w:val="auto"/>
              </w:rPr>
            </w:pPr>
            <w:r>
              <w:rPr>
                <w:rFonts w:ascii="Arial" w:cs="Arial" w:eastAsia="Arial" w:hAnsi="Arial"/>
                <w:sz w:val="18"/>
                <w:szCs w:val="18"/>
                <w:color w:val="32406B"/>
              </w:rPr>
              <w:t>(206)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32406B"/>
              </w:rPr>
              <w:t>(0.1)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attributable to Tuya Inc.</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32406B"/>
              </w:rPr>
              <w:t>(70,477)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(66.6)</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32406B"/>
              </w:rPr>
              <w:t>(66,912)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(37.2)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32406B"/>
              </w:rPr>
              <w:t>Deemed dividend to convertible preferred shareholders</w:t>
            </w:r>
          </w:p>
        </w:tc>
        <w:tc>
          <w:tcPr>
            <w:tcW w:w="1200" w:type="dxa"/>
            <w:vAlign w:val="bottom"/>
          </w:tcPr>
          <w:p>
            <w:pPr>
              <w:jc w:val="right"/>
              <w:ind w:right="33"/>
              <w:spacing w:after="0"/>
              <w:rPr>
                <w:sz w:val="20"/>
                <w:szCs w:val="20"/>
                <w:color w:val="auto"/>
              </w:rPr>
            </w:pPr>
            <w:r>
              <w:rPr>
                <w:rFonts w:ascii="Arial" w:cs="Arial" w:eastAsia="Arial" w:hAnsi="Arial"/>
                <w:sz w:val="18"/>
                <w:szCs w:val="18"/>
                <w:color w:val="32406B"/>
              </w:rPr>
              <w:t>(3,430)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2406B"/>
              </w:rPr>
              <w:t>(3.2)</w:t>
            </w:r>
          </w:p>
        </w:tc>
        <w:tc>
          <w:tcPr>
            <w:tcW w:w="1240" w:type="dxa"/>
            <w:vAlign w:val="bottom"/>
          </w:tcPr>
          <w:p>
            <w:pPr>
              <w:jc w:val="right"/>
              <w:ind w:right="112"/>
              <w:spacing w:after="0"/>
              <w:rPr>
                <w:sz w:val="20"/>
                <w:szCs w:val="20"/>
                <w:color w:val="auto"/>
              </w:rPr>
            </w:pPr>
            <w:r>
              <w:rPr>
                <w:rFonts w:ascii="Arial" w:cs="Arial" w:eastAsia="Arial" w:hAnsi="Arial"/>
                <w:sz w:val="18"/>
                <w:szCs w:val="18"/>
                <w:color w:val="32406B"/>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attribute to ordinary shareholders</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32406B"/>
              </w:rPr>
              <w:t>(73,907)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(69.9)</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32406B"/>
              </w:rPr>
              <w:t>(66,912)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(37.2)</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32406B"/>
              </w:rPr>
              <w:t>Net loss</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32406B"/>
              </w:rPr>
              <w:t>(70,477)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(66.6)</w:t>
            </w: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32406B"/>
              </w:rPr>
              <w:t>(66,912)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32406B"/>
              </w:rPr>
              <w:t>(37.2)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comprehensive (loss)/income:</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32406B"/>
              </w:rPr>
              <w:t>Foreign currency translation</w:t>
            </w:r>
          </w:p>
        </w:tc>
        <w:tc>
          <w:tcPr>
            <w:tcW w:w="1200" w:type="dxa"/>
            <w:vAlign w:val="bottom"/>
          </w:tcPr>
          <w:p>
            <w:pPr>
              <w:jc w:val="right"/>
              <w:ind w:right="33"/>
              <w:spacing w:after="0"/>
              <w:rPr>
                <w:sz w:val="20"/>
                <w:szCs w:val="20"/>
                <w:color w:val="auto"/>
              </w:rPr>
            </w:pPr>
            <w:r>
              <w:rPr>
                <w:rFonts w:ascii="Arial" w:cs="Arial" w:eastAsia="Arial" w:hAnsi="Arial"/>
                <w:sz w:val="18"/>
                <w:szCs w:val="18"/>
                <w:color w:val="32406B"/>
              </w:rPr>
              <w:t>(428)</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2406B"/>
              </w:rPr>
              <w:t>(0.4)</w:t>
            </w:r>
          </w:p>
        </w:tc>
        <w:tc>
          <w:tcPr>
            <w:tcW w:w="1240" w:type="dxa"/>
            <w:vAlign w:val="bottom"/>
          </w:tcPr>
          <w:p>
            <w:pPr>
              <w:jc w:val="right"/>
              <w:ind w:right="112"/>
              <w:spacing w:after="0"/>
              <w:rPr>
                <w:sz w:val="20"/>
                <w:szCs w:val="20"/>
                <w:color w:val="auto"/>
              </w:rPr>
            </w:pPr>
            <w:r>
              <w:rPr>
                <w:rFonts w:ascii="Arial" w:cs="Arial" w:eastAsia="Arial" w:hAnsi="Arial"/>
                <w:sz w:val="18"/>
                <w:szCs w:val="18"/>
                <w:color w:val="32406B"/>
              </w:rPr>
              <w:t>2,882</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32406B"/>
              </w:rPr>
              <w:t>1.6</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comprehensive loss attributable to Tuya Inc.</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32406B"/>
              </w:rPr>
              <w:t>(70,905)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(67.0)</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32406B"/>
              </w:rPr>
              <w:t>(64,030)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(35.6)</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32406B"/>
              </w:rPr>
              <w:t>Net loss attributable to ordinary shareholders</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32406B"/>
              </w:rPr>
              <w:t>(73,097)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32406B"/>
              </w:rPr>
              <w:t>(69.9)</w:t>
            </w:r>
          </w:p>
        </w:tc>
        <w:tc>
          <w:tcPr>
            <w:tcW w:w="1240" w:type="dxa"/>
            <w:vAlign w:val="bottom"/>
          </w:tcPr>
          <w:p>
            <w:pPr>
              <w:jc w:val="right"/>
              <w:ind w:right="52"/>
              <w:spacing w:after="0"/>
              <w:rPr>
                <w:sz w:val="20"/>
                <w:szCs w:val="20"/>
                <w:color w:val="auto"/>
              </w:rPr>
            </w:pPr>
            <w:r>
              <w:rPr>
                <w:rFonts w:ascii="Arial" w:cs="Arial" w:eastAsia="Arial" w:hAnsi="Arial"/>
                <w:sz w:val="18"/>
                <w:szCs w:val="18"/>
                <w:b w:val="1"/>
                <w:bCs w:val="1"/>
                <w:color w:val="32406B"/>
              </w:rPr>
              <w:t>(66,912)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32406B"/>
              </w:rPr>
              <w:t>(37.2)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32406B"/>
              </w:rPr>
              <w:t>Net loss per share attributable to ordinary shareholders—basic and diluted</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32406B"/>
              </w:rPr>
              <w:t>(0.33)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2406B"/>
              </w:rPr>
              <w:t>(0.30)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32406B"/>
                <w:w w:val="94"/>
              </w:rPr>
              <w:t>Weighted average number of ordinary shares used in computing net loss per share—basic and</w:t>
            </w: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32406B"/>
              </w:rPr>
              <w:t>diluted</w:t>
            </w:r>
          </w:p>
        </w:tc>
        <w:tc>
          <w:tcPr>
            <w:tcW w:w="1200" w:type="dxa"/>
            <w:vAlign w:val="bottom"/>
          </w:tcPr>
          <w:p>
            <w:pPr>
              <w:jc w:val="right"/>
              <w:ind w:right="93"/>
              <w:spacing w:after="0"/>
              <w:rPr>
                <w:sz w:val="20"/>
                <w:szCs w:val="20"/>
                <w:color w:val="auto"/>
              </w:rPr>
            </w:pPr>
            <w:r>
              <w:rPr>
                <w:rFonts w:ascii="Arial" w:cs="Arial" w:eastAsia="Arial" w:hAnsi="Arial"/>
                <w:sz w:val="18"/>
                <w:szCs w:val="18"/>
                <w:color w:val="32406B"/>
                <w:w w:val="99"/>
              </w:rPr>
              <w:t>221,980,000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32406B"/>
              </w:rPr>
              <w:t>221,980,000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r>
      <w:tr>
        <w:trPr>
          <w:trHeight w:val="364"/>
        </w:trPr>
        <w:tc>
          <w:tcPr>
            <w:tcW w:w="7160" w:type="dxa"/>
            <w:vAlign w:val="bottom"/>
          </w:tcPr>
          <w:p>
            <w:pPr>
              <w:ind w:left="5420"/>
              <w:spacing w:after="0"/>
              <w:rPr>
                <w:sz w:val="20"/>
                <w:szCs w:val="20"/>
                <w:color w:val="auto"/>
              </w:rPr>
            </w:pPr>
            <w:r>
              <w:rPr>
                <w:rFonts w:ascii="Arial" w:cs="Arial" w:eastAsia="Arial" w:hAnsi="Arial"/>
                <w:sz w:val="18"/>
                <w:szCs w:val="18"/>
                <w:color w:val="32406B"/>
              </w:rPr>
              <w:t>88</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880" w:type="dxa"/>
            <w:vAlign w:val="bottom"/>
          </w:tcPr>
          <w:p>
            <w:pPr>
              <w:spacing w:after="0"/>
              <w:rPr>
                <w:sz w:val="20"/>
                <w:szCs w:val="20"/>
                <w:color w:val="auto"/>
              </w:rPr>
            </w:pPr>
            <w:r>
              <w:rPr>
                <w:rFonts w:ascii="Arial" w:cs="Arial" w:eastAsia="Arial" w:hAnsi="Arial"/>
                <w:sz w:val="14"/>
                <w:szCs w:val="14"/>
                <w:color w:val="32406B"/>
              </w:rPr>
              <w:t>Note:  (1)</w:t>
            </w:r>
          </w:p>
        </w:tc>
        <w:tc>
          <w:tcPr>
            <w:tcW w:w="6140" w:type="dxa"/>
            <w:vAlign w:val="bottom"/>
          </w:tcPr>
          <w:p>
            <w:pPr>
              <w:ind w:left="420"/>
              <w:spacing w:after="0"/>
              <w:rPr>
                <w:sz w:val="20"/>
                <w:szCs w:val="20"/>
                <w:color w:val="auto"/>
              </w:rPr>
            </w:pPr>
            <w:r>
              <w:rPr>
                <w:rFonts w:ascii="Arial" w:cs="Arial" w:eastAsia="Arial" w:hAnsi="Arial"/>
                <w:sz w:val="14"/>
                <w:szCs w:val="14"/>
                <w:color w:val="32406B"/>
              </w:rPr>
              <w:t>Share-based compensation expense was allocated as follows:</w:t>
            </w:r>
          </w:p>
        </w:tc>
        <w:tc>
          <w:tcPr>
            <w:tcW w:w="2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54"/>
        </w:trPr>
        <w:tc>
          <w:tcPr>
            <w:tcW w:w="8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32406B"/>
                <w:w w:val="95"/>
              </w:rPr>
              <w:t>For the Year</w:t>
            </w:r>
          </w:p>
        </w:tc>
      </w:tr>
      <w:tr>
        <w:trPr>
          <w:trHeight w:val="148"/>
        </w:trPr>
        <w:tc>
          <w:tcPr>
            <w:tcW w:w="8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32406B"/>
                <w:w w:val="93"/>
              </w:rPr>
              <w:t>Ended</w:t>
            </w:r>
          </w:p>
        </w:tc>
      </w:tr>
      <w:tr>
        <w:trPr>
          <w:trHeight w:val="171"/>
        </w:trPr>
        <w:tc>
          <w:tcPr>
            <w:tcW w:w="8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32406B"/>
                <w:w w:val="90"/>
              </w:rPr>
              <w:t>December 31,</w:t>
            </w:r>
          </w:p>
        </w:tc>
      </w:tr>
      <w:tr>
        <w:trPr>
          <w:trHeight w:val="142"/>
        </w:trPr>
        <w:tc>
          <w:tcPr>
            <w:tcW w:w="8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32406B"/>
              </w:rPr>
              <w:t>2020</w:t>
            </w:r>
          </w:p>
        </w:tc>
        <w:tc>
          <w:tcPr>
            <w:tcW w:w="4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32406B"/>
              </w:rPr>
              <w:t>US$</w:t>
            </w:r>
          </w:p>
        </w:tc>
        <w:tc>
          <w:tcPr>
            <w:tcW w:w="4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32406B"/>
                <w:w w:val="89"/>
              </w:rPr>
              <w:t>(in thousands)</w:t>
            </w:r>
          </w:p>
        </w:tc>
        <w:tc>
          <w:tcPr>
            <w:tcW w:w="40" w:type="dxa"/>
            <w:vAlign w:val="bottom"/>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Research and development expenses</w:t>
            </w:r>
          </w:p>
        </w:tc>
        <w:tc>
          <w:tcPr>
            <w:tcW w:w="2560" w:type="dxa"/>
            <w:vAlign w:val="bottom"/>
            <w:gridSpan w:val="2"/>
            <w:shd w:val="clear" w:color="auto" w:fill="CCEEFF"/>
          </w:tcPr>
          <w:p>
            <w:pPr>
              <w:ind w:left="2240"/>
              <w:spacing w:after="0" w:line="149" w:lineRule="exact"/>
              <w:rPr>
                <w:sz w:val="20"/>
                <w:szCs w:val="20"/>
                <w:color w:val="auto"/>
              </w:rPr>
            </w:pPr>
            <w:r>
              <w:rPr>
                <w:rFonts w:ascii="Arial" w:cs="Arial" w:eastAsia="Arial" w:hAnsi="Arial"/>
                <w:sz w:val="14"/>
                <w:szCs w:val="14"/>
                <w:color w:val="32406B"/>
                <w:w w:val="85"/>
              </w:rPr>
              <w:t>1,218</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32406B"/>
                <w:w w:val="91"/>
              </w:rPr>
              <w:t>2,596</w:t>
            </w:r>
          </w:p>
        </w:tc>
        <w:tc>
          <w:tcPr>
            <w:tcW w:w="40" w:type="dxa"/>
            <w:vAlign w:val="bottom"/>
            <w:shd w:val="clear" w:color="auto" w:fill="CCEEFF"/>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32406B"/>
              </w:rPr>
              <w:t>Sales and marketing expenses</w:t>
            </w:r>
          </w:p>
        </w:tc>
        <w:tc>
          <w:tcPr>
            <w:tcW w:w="2560" w:type="dxa"/>
            <w:vAlign w:val="bottom"/>
            <w:gridSpan w:val="2"/>
          </w:tcPr>
          <w:p>
            <w:pPr>
              <w:ind w:left="2240"/>
              <w:spacing w:after="0" w:line="149" w:lineRule="exact"/>
              <w:rPr>
                <w:sz w:val="20"/>
                <w:szCs w:val="20"/>
                <w:color w:val="auto"/>
              </w:rPr>
            </w:pPr>
            <w:r>
              <w:rPr>
                <w:rFonts w:ascii="Arial" w:cs="Arial" w:eastAsia="Arial" w:hAnsi="Arial"/>
                <w:sz w:val="14"/>
                <w:szCs w:val="14"/>
                <w:color w:val="32406B"/>
                <w:w w:val="85"/>
              </w:rPr>
              <w:t>1,109</w:t>
            </w:r>
          </w:p>
        </w:tc>
        <w:tc>
          <w:tcPr>
            <w:tcW w:w="120" w:type="dxa"/>
            <w:vAlign w:val="bottom"/>
          </w:tcPr>
          <w:p>
            <w:pPr>
              <w:spacing w:after="0"/>
              <w:rPr>
                <w:sz w:val="12"/>
                <w:szCs w:val="12"/>
                <w:color w:val="auto"/>
              </w:rPr>
            </w:pPr>
          </w:p>
        </w:tc>
        <w:tc>
          <w:tcPr>
            <w:tcW w:w="400" w:type="dxa"/>
            <w:vAlign w:val="bottom"/>
          </w:tcPr>
          <w:p>
            <w:pPr>
              <w:ind w:left="60"/>
              <w:spacing w:after="0" w:line="149" w:lineRule="exact"/>
              <w:rPr>
                <w:sz w:val="20"/>
                <w:szCs w:val="20"/>
                <w:color w:val="auto"/>
              </w:rPr>
            </w:pPr>
            <w:r>
              <w:rPr>
                <w:rFonts w:ascii="Arial" w:cs="Arial" w:eastAsia="Arial" w:hAnsi="Arial"/>
                <w:sz w:val="14"/>
                <w:szCs w:val="14"/>
                <w:color w:val="32406B"/>
                <w:w w:val="91"/>
              </w:rPr>
              <w:t>1,529</w:t>
            </w:r>
          </w:p>
        </w:tc>
        <w:tc>
          <w:tcPr>
            <w:tcW w:w="40" w:type="dxa"/>
            <w:vAlign w:val="bottom"/>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General and administrative expenses</w:t>
            </w:r>
          </w:p>
        </w:tc>
        <w:tc>
          <w:tcPr>
            <w:tcW w:w="2560" w:type="dxa"/>
            <w:vAlign w:val="bottom"/>
            <w:gridSpan w:val="2"/>
            <w:shd w:val="clear" w:color="auto" w:fill="CCEEFF"/>
          </w:tcPr>
          <w:p>
            <w:pPr>
              <w:ind w:left="2240"/>
              <w:spacing w:after="0" w:line="149" w:lineRule="exact"/>
              <w:rPr>
                <w:sz w:val="20"/>
                <w:szCs w:val="20"/>
                <w:color w:val="auto"/>
              </w:rPr>
            </w:pPr>
            <w:r>
              <w:rPr>
                <w:rFonts w:ascii="Arial" w:cs="Arial" w:eastAsia="Arial" w:hAnsi="Arial"/>
                <w:sz w:val="14"/>
                <w:szCs w:val="14"/>
                <w:color w:val="32406B"/>
                <w:w w:val="85"/>
              </w:rPr>
              <w:t>2,893</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32406B"/>
                <w:w w:val="91"/>
              </w:rPr>
              <w:t>5,321</w:t>
            </w:r>
          </w:p>
        </w:tc>
        <w:tc>
          <w:tcPr>
            <w:tcW w:w="40" w:type="dxa"/>
            <w:vAlign w:val="bottom"/>
            <w:shd w:val="clear" w:color="auto" w:fill="CCEEFF"/>
          </w:tcPr>
          <w:p>
            <w:pPr>
              <w:spacing w:after="0"/>
              <w:rPr>
                <w:sz w:val="12"/>
                <w:szCs w:val="12"/>
                <w:color w:val="auto"/>
              </w:rPr>
            </w:pPr>
          </w:p>
        </w:tc>
      </w:tr>
      <w:tr>
        <w:trPr>
          <w:trHeight w:val="186"/>
        </w:trPr>
        <w:tc>
          <w:tcPr>
            <w:tcW w:w="880" w:type="dxa"/>
            <w:vAlign w:val="bottom"/>
          </w:tcPr>
          <w:p>
            <w:pPr>
              <w:spacing w:after="0"/>
              <w:rPr>
                <w:sz w:val="16"/>
                <w:szCs w:val="16"/>
                <w:color w:val="auto"/>
              </w:rPr>
            </w:pPr>
          </w:p>
        </w:tc>
        <w:tc>
          <w:tcPr>
            <w:tcW w:w="6140" w:type="dxa"/>
            <w:vAlign w:val="bottom"/>
          </w:tcPr>
          <w:p>
            <w:pPr>
              <w:spacing w:after="0"/>
              <w:rPr>
                <w:sz w:val="20"/>
                <w:szCs w:val="20"/>
                <w:color w:val="auto"/>
              </w:rPr>
            </w:pPr>
            <w:r>
              <w:rPr>
                <w:rFonts w:ascii="Arial" w:cs="Arial" w:eastAsia="Arial" w:hAnsi="Arial"/>
                <w:sz w:val="14"/>
                <w:szCs w:val="14"/>
                <w:b w:val="1"/>
                <w:bCs w:val="1"/>
                <w:color w:val="32406B"/>
              </w:rPr>
              <w:t>Total</w:t>
            </w:r>
          </w:p>
        </w:tc>
        <w:tc>
          <w:tcPr>
            <w:tcW w:w="2560" w:type="dxa"/>
            <w:vAlign w:val="bottom"/>
            <w:gridSpan w:val="2"/>
          </w:tcPr>
          <w:p>
            <w:pPr>
              <w:ind w:left="2240"/>
              <w:spacing w:after="0"/>
              <w:rPr>
                <w:sz w:val="20"/>
                <w:szCs w:val="20"/>
                <w:color w:val="auto"/>
              </w:rPr>
            </w:pPr>
            <w:r>
              <w:rPr>
                <w:rFonts w:ascii="Arial" w:cs="Arial" w:eastAsia="Arial" w:hAnsi="Arial"/>
                <w:sz w:val="14"/>
                <w:szCs w:val="14"/>
                <w:b w:val="1"/>
                <w:bCs w:val="1"/>
                <w:color w:val="32406B"/>
                <w:w w:val="85"/>
              </w:rPr>
              <w:t>5,220</w:t>
            </w:r>
          </w:p>
        </w:tc>
        <w:tc>
          <w:tcPr>
            <w:tcW w:w="12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32406B"/>
                <w:w w:val="91"/>
              </w:rPr>
              <w:t>9,446</w:t>
            </w:r>
          </w:p>
        </w:tc>
        <w:tc>
          <w:tcPr>
            <w:tcW w:w="40" w:type="dxa"/>
            <w:vAlign w:val="bottom"/>
          </w:tcPr>
          <w:p>
            <w:pPr>
              <w:spacing w:after="0"/>
              <w:rPr>
                <w:sz w:val="16"/>
                <w:szCs w:val="16"/>
                <w:color w:val="auto"/>
              </w:rPr>
            </w:pPr>
          </w:p>
        </w:tc>
      </w:tr>
    </w:tbl>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presents our selected consolidated balance sheet data as of December 31, 2019 and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32406B"/>
              </w:rPr>
              <w:t>As of December 31,</w:t>
            </w:r>
          </w:p>
        </w:tc>
      </w:tr>
      <w:tr>
        <w:trPr>
          <w:trHeight w:val="142"/>
        </w:trPr>
        <w:tc>
          <w:tcPr>
            <w:tcW w:w="49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32406B"/>
              </w:rPr>
              <w:t>2019</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32406B"/>
              </w:rPr>
              <w:t>2020</w:t>
            </w:r>
          </w:p>
        </w:tc>
        <w:tc>
          <w:tcPr>
            <w:tcW w:w="14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32406B"/>
              </w:rPr>
              <w:t>US$</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32406B"/>
              </w:rPr>
              <w:t>US$</w:t>
            </w:r>
          </w:p>
        </w:tc>
        <w:tc>
          <w:tcPr>
            <w:tcW w:w="14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60" w:type="dxa"/>
            <w:vAlign w:val="bottom"/>
            <w:gridSpan w:val="3"/>
          </w:tcPr>
          <w:p>
            <w:pPr>
              <w:jc w:val="right"/>
              <w:ind w:right="412"/>
              <w:spacing w:after="0" w:line="142" w:lineRule="exact"/>
              <w:rPr>
                <w:sz w:val="20"/>
                <w:szCs w:val="20"/>
                <w:color w:val="auto"/>
              </w:rPr>
            </w:pPr>
            <w:r>
              <w:rPr>
                <w:rFonts w:ascii="Arial" w:cs="Arial" w:eastAsia="Arial" w:hAnsi="Arial"/>
                <w:sz w:val="14"/>
                <w:szCs w:val="14"/>
                <w:b w:val="1"/>
                <w:bCs w:val="1"/>
                <w:color w:val="32406B"/>
              </w:rPr>
              <w:t>(in thousands)</w:t>
            </w:r>
          </w:p>
        </w:tc>
        <w:tc>
          <w:tcPr>
            <w:tcW w:w="14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Selected Consolidated Balance Sheets Data:</w:t>
            </w:r>
          </w:p>
        </w:tc>
        <w:tc>
          <w:tcPr>
            <w:tcW w:w="4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Cash and cash equivalents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32406B"/>
              </w:rPr>
              <w:t>213,258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158,792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Restricted cash</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29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163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Short-term investments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32406B"/>
              </w:rPr>
              <w:t>16,663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20,976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Accounts receivable, net</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5,351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12,316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Notes receivable</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32406B"/>
              </w:rPr>
              <w:t>379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9,126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Inventories, net</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23,019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42,267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Prepayments and other current assets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32406B"/>
              </w:rPr>
              <w:t>8,008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4,393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current assets</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32406B"/>
              </w:rPr>
              <w:t>266,707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248,033</w:t>
            </w: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32406B"/>
              </w:rPr>
              <w:t>Total assets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32406B"/>
              </w:rPr>
              <w:t>279,404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32406B"/>
              </w:rPr>
              <w:t>267,323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Accounts payable</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12,176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23,159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Advance from customers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32406B"/>
              </w:rPr>
              <w:t>14,051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27,078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Deferred revenue, current</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516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3,468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Accruals and other current liabilities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32406B"/>
              </w:rPr>
              <w:t>19,698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31,738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Income tax payables</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155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159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Lease liabilities, current</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32406B"/>
              </w:rPr>
              <w:t>3,763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6,326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current liabilities</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32406B"/>
              </w:rPr>
              <w:t>50,359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91,928</w:t>
            </w: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32406B"/>
              </w:rPr>
              <w:t>Total liabilities</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32406B"/>
              </w:rPr>
              <w:t>55,830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32406B"/>
              </w:rPr>
              <w:t>98,323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mezzanine equity</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32406B"/>
              </w:rPr>
              <w:t>333,667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333,667</w:t>
            </w: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32406B"/>
              </w:rPr>
              <w:t>Total shareholders’ deficit</w:t>
            </w:r>
          </w:p>
        </w:tc>
        <w:tc>
          <w:tcPr>
            <w:tcW w:w="5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32406B"/>
              </w:rPr>
              <w:t>(110,093)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32406B"/>
              </w:rPr>
              <w:t>(164,667)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w w:val="98"/>
              </w:rPr>
              <w:t>Total liabilities, mezzanine equity and shareholders’ deficit</w:t>
            </w:r>
          </w:p>
        </w:tc>
        <w:tc>
          <w:tcPr>
            <w:tcW w:w="5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32406B"/>
              </w:rPr>
              <w:t>279,404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267,323</w:t>
            </w:r>
          </w:p>
        </w:tc>
      </w:tr>
      <w:tr>
        <w:trPr>
          <w:trHeight w:val="365"/>
        </w:trPr>
        <w:tc>
          <w:tcPr>
            <w:tcW w:w="4960" w:type="dxa"/>
            <w:vAlign w:val="bottom"/>
          </w:tcPr>
          <w:p>
            <w:pPr>
              <w:spacing w:after="0"/>
              <w:rPr>
                <w:sz w:val="24"/>
                <w:szCs w:val="24"/>
                <w:color w:val="auto"/>
              </w:rPr>
            </w:pPr>
          </w:p>
        </w:tc>
        <w:tc>
          <w:tcPr>
            <w:tcW w:w="4060" w:type="dxa"/>
            <w:vAlign w:val="bottom"/>
          </w:tcPr>
          <w:p>
            <w:pPr>
              <w:jc w:val="right"/>
              <w:ind w:right="3330"/>
              <w:spacing w:after="0"/>
              <w:rPr>
                <w:sz w:val="20"/>
                <w:szCs w:val="20"/>
                <w:color w:val="auto"/>
              </w:rPr>
            </w:pPr>
            <w:r>
              <w:rPr>
                <w:rFonts w:ascii="Arial" w:cs="Arial" w:eastAsia="Arial" w:hAnsi="Arial"/>
                <w:sz w:val="18"/>
                <w:szCs w:val="18"/>
                <w:color w:val="32406B"/>
              </w:rPr>
              <w:t>89</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presents our selected consolidated cash flows data for the years ended December 31, 2019 and 2020.</w:t>
      </w:r>
    </w:p>
    <w:p>
      <w:pPr>
        <w:spacing w:after="0" w:line="244"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32406B"/>
        </w:rPr>
        <w:t>For the Year Ended</w:t>
      </w:r>
    </w:p>
    <w:p>
      <w:pPr>
        <w:jc w:val="center"/>
        <w:ind w:left="922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120" w:type="dxa"/>
        <w:tblCellMar>
          <w:top w:w="0" w:type="dxa"/>
          <w:left w:w="0" w:type="dxa"/>
          <w:bottom w:w="0" w:type="dxa"/>
          <w:right w:w="0" w:type="dxa"/>
        </w:tblCellMar>
      </w:tblPr>
      <w:tr>
        <w:trPr>
          <w:trHeight w:val="142"/>
        </w:trPr>
        <w:tc>
          <w:tcPr>
            <w:tcW w:w="9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32406B"/>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32406B"/>
              </w:rPr>
              <w:t>US$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1540" w:type="dxa"/>
            <w:vAlign w:val="bottom"/>
            <w:gridSpan w:val="3"/>
          </w:tcPr>
          <w:p>
            <w:pPr>
              <w:jc w:val="right"/>
              <w:ind w:right="254"/>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Selected Consolidated Cash Flows Data:</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32406B"/>
              </w:rPr>
              <w:t>Net cash used in operating activities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32406B"/>
              </w:rPr>
              <w:t>(56,563)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32406B"/>
              </w:rPr>
              <w:t>(49,211)</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32406B"/>
              </w:rPr>
              <w:t>Net cash generated from/(used in) investing activities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8,491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(7,852)</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32406B"/>
              </w:rPr>
              <w:t>Net cash generated from/(used in) financing activities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32406B"/>
                <w:w w:val="98"/>
              </w:rPr>
              <w:t>174,230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32406B"/>
              </w:rPr>
              <w:t>(172)</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32406B"/>
              </w:rPr>
              <w:t>Effect of exchange rate changes on cash and cash equivalents, restricted cash</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(481)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2,903</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32406B"/>
              </w:rPr>
              <w:t>Net increase/(decrease) in cash and cash equivalents, restricted cash</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32406B"/>
                <w:w w:val="98"/>
              </w:rPr>
              <w:t>125,677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32406B"/>
              </w:rPr>
              <w:t>(54,322)</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restricted cash at the beginning of the year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87,610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213,287</w:t>
            </w: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32406B"/>
              </w:rPr>
              <w:t>Cash and cash equivalents, restricted cash at the end of the year</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32406B"/>
                <w:w w:val="98"/>
              </w:rPr>
              <w:t>213,287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32406B"/>
              </w:rPr>
              <w:t>158,955</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Non-GAAP Financial Measure</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32406B"/>
        </w:rPr>
        <w:t>We use adjusted loss for the year,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18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32406B"/>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32406B"/>
        </w:rPr>
        <w:t>Adjusted loss for the year represents net loss for the year excluding share-based compensation expenses, which we do not consider to be indicative of our core operating performance. The table below sets forth a reconciliation of our net loss for the year to adjusted loss for the year for the years indicated.</w:t>
      </w:r>
    </w:p>
    <w:p>
      <w:pPr>
        <w:spacing w:after="0" w:line="20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32406B"/>
        </w:rPr>
        <w:t>For the Year Ended</w:t>
      </w:r>
    </w:p>
    <w:p>
      <w:pPr>
        <w:jc w:val="center"/>
        <w:ind w:left="912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120" w:type="dxa"/>
        <w:tblCellMar>
          <w:top w:w="0" w:type="dxa"/>
          <w:left w:w="0" w:type="dxa"/>
          <w:bottom w:w="0" w:type="dxa"/>
          <w:right w:w="0" w:type="dxa"/>
        </w:tblCellMar>
      </w:tblPr>
      <w:tr>
        <w:trPr>
          <w:trHeight w:val="142"/>
        </w:trPr>
        <w:tc>
          <w:tcPr>
            <w:tcW w:w="40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32406B"/>
              </w:rPr>
              <w:t>2019</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6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60" w:type="dxa"/>
            <w:vAlign w:val="bottom"/>
            <w:gridSpan w:val="3"/>
          </w:tcPr>
          <w:p>
            <w:pPr>
              <w:jc w:val="right"/>
              <w:ind w:right="317"/>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32406B"/>
              </w:rPr>
              <w:t>Net loss for the year</w:t>
            </w:r>
          </w:p>
        </w:tc>
        <w:tc>
          <w:tcPr>
            <w:tcW w:w="6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(70,477)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(66,912)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32406B"/>
              </w:rPr>
              <w:t>Adjustment:</w:t>
            </w:r>
          </w:p>
        </w:tc>
        <w:tc>
          <w:tcPr>
            <w:tcW w:w="5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32406B"/>
              </w:rPr>
              <w:t>Share-based compensation expenses</w:t>
            </w:r>
          </w:p>
        </w:tc>
        <w:tc>
          <w:tcPr>
            <w:tcW w:w="6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5,220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9,446</w:t>
            </w:r>
          </w:p>
        </w:tc>
      </w:tr>
      <w:tr>
        <w:trPr>
          <w:trHeight w:val="228"/>
        </w:trPr>
        <w:tc>
          <w:tcPr>
            <w:tcW w:w="4020" w:type="dxa"/>
            <w:vAlign w:val="bottom"/>
          </w:tcPr>
          <w:p>
            <w:pPr>
              <w:spacing w:after="0"/>
              <w:rPr>
                <w:sz w:val="20"/>
                <w:szCs w:val="20"/>
                <w:color w:val="auto"/>
              </w:rPr>
            </w:pPr>
            <w:r>
              <w:rPr>
                <w:rFonts w:ascii="Arial" w:cs="Arial" w:eastAsia="Arial" w:hAnsi="Arial"/>
                <w:sz w:val="18"/>
                <w:szCs w:val="18"/>
                <w:b w:val="1"/>
                <w:bCs w:val="1"/>
                <w:color w:val="32406B"/>
              </w:rPr>
              <w:t>Adjusted loss for the year</w:t>
            </w:r>
          </w:p>
        </w:tc>
        <w:tc>
          <w:tcPr>
            <w:tcW w:w="5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(65,257)</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w w:val="98"/>
              </w:rPr>
              <w:t>(57,466)</w:t>
            </w:r>
          </w:p>
        </w:tc>
        <w:tc>
          <w:tcPr>
            <w:tcW w:w="120" w:type="dxa"/>
            <w:vAlign w:val="bottom"/>
          </w:tcPr>
          <w:p>
            <w:pPr>
              <w:spacing w:after="0"/>
              <w:rPr>
                <w:sz w:val="19"/>
                <w:szCs w:val="19"/>
                <w:color w:val="auto"/>
              </w:rPr>
            </w:pPr>
          </w:p>
        </w:tc>
      </w:tr>
      <w:tr>
        <w:trPr>
          <w:trHeight w:val="360"/>
        </w:trPr>
        <w:tc>
          <w:tcPr>
            <w:tcW w:w="4020" w:type="dxa"/>
            <w:vAlign w:val="bottom"/>
          </w:tcPr>
          <w:p>
            <w:pPr>
              <w:spacing w:after="0"/>
              <w:rPr>
                <w:sz w:val="24"/>
                <w:szCs w:val="24"/>
                <w:color w:val="auto"/>
              </w:rPr>
            </w:pPr>
          </w:p>
        </w:tc>
        <w:tc>
          <w:tcPr>
            <w:tcW w:w="5220" w:type="dxa"/>
            <w:vAlign w:val="bottom"/>
          </w:tcPr>
          <w:p>
            <w:pPr>
              <w:jc w:val="right"/>
              <w:ind w:right="3550"/>
              <w:spacing w:after="0"/>
              <w:rPr>
                <w:sz w:val="20"/>
                <w:szCs w:val="20"/>
                <w:color w:val="auto"/>
              </w:rPr>
            </w:pPr>
            <w:r>
              <w:rPr>
                <w:rFonts w:ascii="Arial" w:cs="Arial" w:eastAsia="Arial" w:hAnsi="Arial"/>
                <w:sz w:val="18"/>
                <w:szCs w:val="18"/>
                <w:color w:val="32406B"/>
              </w:rPr>
              <w:t>90</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32406B"/>
        </w:rPr>
        <w:t>MANAGEMENT’S DISCUSSION AND ANALYSIS OF FINANCIAL CONDITION AND RESULTS OF OPERATIONS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32406B"/>
        </w:rPr>
        <w:t>You should read the following discussion and analysis of our financial condition and results of operations in conjunction with the section entitled “Selected Consolidated Operating and Financial Data” and our consolidated financial statements and the related notes included elsewhere in this prospectus.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32406B"/>
        </w:rPr>
        <w:t>We have pioneered a purpose-built IoT cloud platform that delivers a full suite of offerings, including Platform-as-a-Service, or PaaS, and Software-as-a-Service, or SaaS, to businesses and developers. IoT is fundamentally changing the world and creating enormous business opportunities. Our IoT PaaS offering enables businesses and developers to quickly and cost-effectively develop, launch, manage and monetize software-enabled devices and services. Our Industry SaaS offering enables businesses to easily and securely deploy, connect, and manage large numbers and different types of smart devices. We also offer businesses, developers and end-users a wide range of cloud-based value-added services to improve their ability to develop and manage IoT experiences.</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32406B"/>
        </w:rPr>
        <w:t>We had over 5,000 customers in 2020, primarily including brands, OEMs, industry operators and system integrators. For the same period, our IoT PaaS empowered over 2,700 brands to develop their smart devices, including leading brands such as Calex, Philips and Schneider Electric. As we have cultivated a large and diversified customer base across different industry verticals, none of our customers is material to our total revenue. Our IoT PaaS currently enables businesses and developers to develop smart devices in more than 1,100 categories sold across over 220 countries and regions globally. In 2020, we powered over 116.5 million smart devices, making us the largest IoT PaaS business in the global market of IoT PaaS in terms of the volume of smart devices powered, according to CIC. As of December 31, 2020, there were approximately 204.3 million smart devices powered by Tuya. We are also attracting an increasing number of Industry SaaS customers. We have also established a large and active community of over 262,000 IoT device and software developers as of December 31, 2020. Our IoT cloud platform is currently capable of processing over 84 billion cloud requests and over 122 million AI voice interactions daily. Today, smart devices powered by Tuya are available in over 100,000 stores all over the world.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32406B"/>
        </w:rPr>
        <w:t>91</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Since our inception in 2014, we have achieved significant product and customer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888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8604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32406B"/>
        </w:rPr>
        <w:t>Our platform serves a wide range of customers with a highly flexible technology infrastructure. We offer our IoT cloud platform to brands and their in-house IoT developers and OEMs, as well as third-party developers, with services extensible directly to end users. Our customers and the brands we serve span a broad range of industry verticals, such as smart home, smart business, healthcare, education and agriculture. Our platform is multi-cloud, allowing customers to switch among major cloud infrastructure providers, such as Amazon Web Services, Microsoft Azure and Tencent Cloud. Our platform also integrates mainstream third-party technologies, such as Amazon Alexa, Google Assistant and Samsung SmartThings, to make smart devices more intelligent.</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32406B"/>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 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w:t>
      </w:r>
    </w:p>
    <w:p>
      <w:pPr>
        <w:spacing w:after="0" w:line="16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32406B"/>
        </w:rPr>
        <w:t>We help our customers succeed and we benefit from their growth through our consumption-based revenue model as we deploy IoT PaaS to more smart devices developed by our customers. We had 188 premium IoT PaaS customers, defined as IoT PaaS customers who individually contributed more than US$100,000 of revenue during the immediately preceding 12-month periods, as of December 31, 2020. In 2020, our premium IoT PaaS customers contributed approximately 87% of our revenues generated from IoT PaaS. Our dollar-based net expansion rate of IoT PaaS was 181% for the trailing 12-month period ended December 31, 2020, indicating strong growth within our existing customer base.</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32406B"/>
        </w:rPr>
        <w:t>We have pioneered an IoT cloud platform that empowers businesses and developers to transform from offering traditional products into providing software-enabled smart devices and IoT services. The foundation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92</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32406B"/>
        </w:rPr>
        <w:t>our solution is Tuya IoT Cloud infrastructure, our unified underlying cloud infrastructure that provides a rich set of infrastructure capabilities and developer tools. Based upon Tuya IoT Cloud infrastructure, we offer the following products and services: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IoT PaaS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32406B"/>
        </w:rPr>
        <w:t>Our IoT PaaS is an integrated, all-in-one product that enables customers to quickly, and cost-effectively build and manage software-enabled IoT devices.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32406B"/>
        </w:rPr>
        <w:t>Our IoT PaaS combines cloud-based connectivity and basic IoT services, edge capabilities, app development, and device optimization solutions, which we believe are the most fundamental elements of technology enabling a product to become smart. We generate revenue from the fees we charge for these capabilities as a single, integrated offering and generally do not make any one of these capabilities available without the others. We believe that an integrated approach helps improve the value and usage of our IoT PaaS. We call a smart device on which our IoT PaaS is deployed a “deployment” of IoT PaaS. The fees that we charge IoT PaaS customers are based on the number of IoT PaaS products that are deployed. As a result, our revenue from IoT PaaS grows as the number of deployments increases. We typically do not impose minimum order requirements or usage requirement on customers, making us a valuable partner for newcomers to the IoT space as we enable them to kick-start their ventures with little upfront cost.</w:t>
      </w:r>
    </w:p>
    <w:p>
      <w:pPr>
        <w:spacing w:after="0" w:line="16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32406B"/>
        </w:rPr>
        <w:t>Our IoT PaaS serves both brands and OEMs. It is typically our OEM customers who directly place orders for deployment of IoT PaaS. In addition, we also work closely with the brands to plan, design, develop and market their smart devices. Our close relationship with brands enables our softwares and services to be adopted rapidly and allows us to significantly improve our visibility to brands on a global scale cost-efficiently. We offer a membership program to our customers that gives them the option to pay a membership fee primarily in exchange for IoT PaaS discounts based on a tiered membership status in accordance with their expected deployment volume. The membership program allows us to foster long-term relationship with our customers. In 2020, approximately 63% of our IoT PaaS deployments were from our membership customers.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Smart device distribution</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32406B"/>
        </w:rPr>
        <w:t>Some of our customers, primarily brands and system integrators, prefer not to deal with multiple OEMs. These customers have the option to purchase directly from us finished smart devices deployed with IoT PaaS sourced from qualified OEMs. They typically place purchase orders directly with us by specifying the type of smart devices. We then source these products for these customers by engaging qualified partner OEMs based on the type of products, hardware specifications and other metrics.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SaaS and others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32406B"/>
        </w:rPr>
        <w:t>We offer Industry SaaS, focused software solutions that enable businesses to easily and securely deploy, connect, and manage large numbers and different types of IoT devices, driving efficiency, cost saving and productivity. Currently, we charge our Industry SaaS customers a basic annual subscription fee that allows them to support certain number of user accounts initially plus, in some cases, an incremental fee annually for each additional number of user accounts added to their networks. We may also charge a one-time project-based fee, particularly for new customers. We primarily market our Industry SaaS to system integrators with leading positions in their respective verticals and geographies, so that we can leverage their industry expertise and existing customer bases to quickly gain market shares and build brand awareness.</w:t>
      </w:r>
    </w:p>
    <w:p>
      <w:pPr>
        <w:spacing w:after="0" w:line="17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32406B"/>
        </w:rPr>
        <w:t>We also generate a portion of our SaaS and others revenues from (i) certain services we offer to brands and OEMs that are complementary to IoT PaaS, as well as (ii) a wide variety of cloud-based services we offer directly to end users of Tuya-powered smart devices. The complementary services for IoT PaaS customers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93</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32406B"/>
        </w:rPr>
        <w:t>primarily include mobile app customization services, AI-powered virtual assistants, and data analytics, as well as approximately 50 other ancillary value-added services, such as device testing, product certification and joint R&amp;D of innovative IoT applications, among other things. The cloud-based services for end users include basic services, such as receiving app updates, that we offer for free, and a curated suite of premium cloud-based services accessible to end users for a fee, such as IoT data storage, push messaging and content services.</w:t>
      </w:r>
    </w:p>
    <w:p>
      <w:pPr>
        <w:spacing w:after="0" w:line="17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32406B"/>
        </w:rPr>
        <w:t>For more information, see “Business—Our Products and Services—For Business Customers Developing Smart Devices—IoT PaaS” and “Business—Our Products and Services—For End Users Using Smart Devices.”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Impact of COVID-19</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32406B"/>
        </w:rPr>
        <w:t>Since December 2019, the outbreak of COVID-19 has resulted in prolonged mandatory quarantines, lockdown, closures of businesses and facilities, travel restrictions and social distancing guidelines imposed by the governments worldwide.</w:t>
      </w:r>
    </w:p>
    <w:p>
      <w:pPr>
        <w:spacing w:after="0" w:line="170" w:lineRule="exact"/>
        <w:rPr>
          <w:sz w:val="20"/>
          <w:szCs w:val="20"/>
          <w:color w:val="auto"/>
        </w:rPr>
      </w:pPr>
    </w:p>
    <w:p>
      <w:pPr>
        <w:jc w:val="both"/>
        <w:ind w:left="120" w:right="60" w:firstLine="440"/>
        <w:spacing w:after="0" w:line="287" w:lineRule="auto"/>
        <w:rPr>
          <w:sz w:val="20"/>
          <w:szCs w:val="20"/>
          <w:color w:val="auto"/>
        </w:rPr>
      </w:pPr>
      <w:r>
        <w:rPr>
          <w:rFonts w:ascii="Arial" w:cs="Arial" w:eastAsia="Arial" w:hAnsi="Arial"/>
          <w:sz w:val="16"/>
          <w:szCs w:val="16"/>
          <w:color w:val="32406B"/>
        </w:rPr>
        <w:t>The COVID-19 pandemic has caused temporary disruption to our business operations during the first quarter of 2020. In the first quarter of 2020, we experienced a decline in demand for IoT PaaS due to reduced production capacity of OEM customers as COVID-19 containment measures began to be widely introduced across China, where substantially all of them were located, which adversely affected our results of operations in that quarter.</w:t>
      </w:r>
    </w:p>
    <w:p>
      <w:pPr>
        <w:spacing w:after="0" w:line="2"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32406B"/>
        </w:rPr>
        <w:t>Additionally, throughout 2020, the travel restrictions and social distancing guidelines imposed by governments globally have reduced the amount of international travels and in-person meetings, which in turn limited our ability to engage in in-person marketing with brands, particularly those brands based in the U.S. and Europe. There remains significant uncertainties associated with the COVID-19 pandemic, including with respect to the ultimate spread of the virus, the severity of the disease, the duration of the pandemic and further actions that may be taken by governmental authorities around the world to contain the virus or to treat its impact, and the full extent to which the COVID-19 pandemic will directly or indirectly impact our business, results of operations, cash flows and financial condition will depend on future developments that are highly uncertain and cannot be accurately predicted. See “Risk Factors—Risks Related to Our Business and Industry—We face risks related to natural disasters, extreme weather conditions, health epidemics and other catastrophic incidents, which could significantly disrupt our operations.”</w:t>
      </w:r>
    </w:p>
    <w:p>
      <w:pPr>
        <w:spacing w:after="0" w:line="183"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As COVID-19-related restrictions were being lifted in China, our OEM customers have gradually resumed normal operations, clearing their backlogs since the second quarter of 2020. The number of deployments of IoT PaaS largely returned to pre-COVID levels in the second quarter of 2020, and we recorded a significant growth in deployments of IoT PaaS in the third and fourth quarters of 2020 both consecutively and as compared to the same period in 2019. Moreover, we believe that the value of software-enabled IoT experience and the connectivity, convenience and efficiency that it enables is heightened throughout the pandemic. People’s interactions with IoT devices have increased as they continue to work, learn, and play from home. Businesses and organizations are increasingly relying on IoT technologies to perform tasks that can no longer handled manually due to COVID-19 related restrictions and closures. We expect this trend to persist post-pandemic and continue to drive demand for quality IoT products and services in the long run. To capture this growth opportunity, we intend to continue to invest in growing our customer, developer and partner bases, broadening our product offerings, and expanding our brand awareness.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94</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Key Operating Metrics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32406B"/>
        </w:rPr>
        <w:t>We manage our business using the following key operating metrics. We use these metrics to assess the progress of our business, make decisions on where to allocate capital, time and technology investments and assess the near-term and long-term performance of our business.</w:t>
      </w:r>
    </w:p>
    <w:p>
      <w:pPr>
        <w:spacing w:after="0" w:line="16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32406B"/>
        </w:rPr>
        <w:t>For the Year Ended</w:t>
      </w:r>
    </w:p>
    <w:p>
      <w:pPr>
        <w:jc w:val="center"/>
        <w:ind w:left="928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120" w:type="dxa"/>
        <w:tblCellMar>
          <w:top w:w="0" w:type="dxa"/>
          <w:left w:w="0" w:type="dxa"/>
          <w:bottom w:w="0" w:type="dxa"/>
          <w:right w:w="0" w:type="dxa"/>
        </w:tblCellMar>
      </w:tblPr>
      <w:tr>
        <w:trPr>
          <w:trHeight w:val="142"/>
        </w:trPr>
        <w:tc>
          <w:tcPr>
            <w:tcW w:w="93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32406B"/>
              </w:rPr>
              <w:t>2019</w:t>
            </w:r>
          </w:p>
        </w:tc>
        <w:tc>
          <w:tcPr>
            <w:tcW w:w="6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32406B"/>
              </w:rPr>
              <w:t>Deployment of IoT PaaS (in millions)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60.1</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32406B"/>
                <w:w w:val="84"/>
              </w:rPr>
              <w:t>116.5</w:t>
            </w:r>
          </w:p>
        </w:tc>
        <w:tc>
          <w:tcPr>
            <w:tcW w:w="60" w:type="dxa"/>
            <w:vAlign w:val="bottom"/>
            <w:shd w:val="clear" w:color="auto" w:fill="CCEEFF"/>
          </w:tcPr>
          <w:p>
            <w:pPr>
              <w:spacing w:after="0"/>
              <w:rPr>
                <w:sz w:val="18"/>
                <w:szCs w:val="18"/>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32406B"/>
              </w:rPr>
              <w:t>Number of IoT PaaS customers</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32406B"/>
              </w:rPr>
              <w:t>2,328</w:t>
            </w:r>
          </w:p>
        </w:tc>
        <w:tc>
          <w:tcPr>
            <w:tcW w:w="580" w:type="dxa"/>
            <w:vAlign w:val="bottom"/>
            <w:gridSpan w:val="2"/>
          </w:tcPr>
          <w:p>
            <w:pPr>
              <w:ind w:left="120"/>
              <w:spacing w:after="0"/>
              <w:rPr>
                <w:sz w:val="20"/>
                <w:szCs w:val="20"/>
                <w:color w:val="auto"/>
              </w:rPr>
            </w:pPr>
            <w:r>
              <w:rPr>
                <w:rFonts w:ascii="Arial" w:cs="Arial" w:eastAsia="Arial" w:hAnsi="Arial"/>
                <w:sz w:val="18"/>
                <w:szCs w:val="18"/>
                <w:color w:val="32406B"/>
                <w:w w:val="97"/>
              </w:rPr>
              <w:t>3,296</w:t>
            </w:r>
          </w:p>
        </w:tc>
      </w:tr>
    </w:tbl>
    <w:p>
      <w:pPr>
        <w:spacing w:after="0" w:line="206"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32406B"/>
        </w:rPr>
        <w:t>For the trailing 12-month</w:t>
      </w:r>
    </w:p>
    <w:p>
      <w:pPr>
        <w:jc w:val="center"/>
        <w:ind w:left="8680"/>
        <w:spacing w:after="0" w:line="236" w:lineRule="auto"/>
        <w:rPr>
          <w:sz w:val="20"/>
          <w:szCs w:val="20"/>
          <w:color w:val="auto"/>
        </w:rPr>
      </w:pPr>
      <w:r>
        <w:rPr>
          <w:rFonts w:ascii="Arial" w:cs="Arial" w:eastAsia="Arial" w:hAnsi="Arial"/>
          <w:sz w:val="14"/>
          <w:szCs w:val="14"/>
          <w:b w:val="1"/>
          <w:bCs w:val="1"/>
          <w:color w:val="32406B"/>
        </w:rPr>
        <w:t>period ended December 31,</w:t>
      </w:r>
    </w:p>
    <w:tbl>
      <w:tblPr>
        <w:tblLayout w:type="fixed"/>
        <w:tblInd w:w="120" w:type="dxa"/>
        <w:tblCellMar>
          <w:top w:w="0" w:type="dxa"/>
          <w:left w:w="0" w:type="dxa"/>
          <w:bottom w:w="0" w:type="dxa"/>
          <w:right w:w="0" w:type="dxa"/>
        </w:tblCellMar>
      </w:tblPr>
      <w:tr>
        <w:trPr>
          <w:trHeight w:val="142"/>
        </w:trPr>
        <w:tc>
          <w:tcPr>
            <w:tcW w:w="3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32406B"/>
              </w:rPr>
              <w:t>2019</w:t>
            </w:r>
          </w:p>
        </w:tc>
        <w:tc>
          <w:tcPr>
            <w:tcW w:w="5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Number of premium IoT PaaS customers</w:t>
            </w:r>
          </w:p>
        </w:tc>
        <w:tc>
          <w:tcPr>
            <w:tcW w:w="8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127</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188</w:t>
            </w:r>
          </w:p>
        </w:tc>
        <w:tc>
          <w:tcPr>
            <w:tcW w:w="60" w:type="dxa"/>
            <w:vAlign w:val="bottom"/>
            <w:tcBorders>
              <w:top w:val="single" w:sz="8" w:color="CCEEFF"/>
            </w:tcBorders>
            <w:shd w:val="clear" w:color="auto" w:fill="CCEEFF"/>
          </w:tcPr>
          <w:p>
            <w:pPr>
              <w:spacing w:after="0"/>
              <w:rPr>
                <w:sz w:val="18"/>
                <w:szCs w:val="18"/>
                <w:color w:val="auto"/>
              </w:rPr>
            </w:pPr>
          </w:p>
        </w:tc>
      </w:tr>
      <w:tr>
        <w:trPr>
          <w:trHeight w:val="391"/>
        </w:trPr>
        <w:tc>
          <w:tcPr>
            <w:tcW w:w="36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32406B"/>
              </w:rPr>
              <w:t>For the trailing 12-month period ended</w:t>
            </w: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620" w:type="dxa"/>
            <w:vAlign w:val="bottom"/>
          </w:tcPr>
          <w:p>
            <w:pPr>
              <w:spacing w:after="0"/>
              <w:rPr>
                <w:sz w:val="10"/>
                <w:szCs w:val="10"/>
                <w:color w:val="auto"/>
              </w:rPr>
            </w:pPr>
          </w:p>
        </w:tc>
        <w:tc>
          <w:tcPr>
            <w:tcW w:w="1700" w:type="dxa"/>
            <w:vAlign w:val="bottom"/>
            <w:gridSpan w:val="2"/>
          </w:tcPr>
          <w:p>
            <w:pPr>
              <w:jc w:val="center"/>
              <w:ind w:right="86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1500" w:type="dxa"/>
            <w:vAlign w:val="bottom"/>
            <w:gridSpan w:val="2"/>
          </w:tcPr>
          <w:p>
            <w:pPr>
              <w:jc w:val="center"/>
              <w:ind w:right="768"/>
              <w:spacing w:after="0" w:line="119" w:lineRule="exact"/>
              <w:rPr>
                <w:sz w:val="20"/>
                <w:szCs w:val="20"/>
                <w:color w:val="auto"/>
              </w:rPr>
            </w:pPr>
            <w:r>
              <w:rPr>
                <w:rFonts w:ascii="Arial" w:cs="Arial" w:eastAsia="Arial" w:hAnsi="Arial"/>
                <w:sz w:val="13"/>
                <w:szCs w:val="13"/>
                <w:b w:val="1"/>
                <w:bCs w:val="1"/>
                <w:color w:val="32406B"/>
              </w:rPr>
              <w:t>March 31,</w:t>
            </w:r>
          </w:p>
        </w:tc>
        <w:tc>
          <w:tcPr>
            <w:tcW w:w="1400" w:type="dxa"/>
            <w:vAlign w:val="bottom"/>
            <w:gridSpan w:val="2"/>
          </w:tcPr>
          <w:p>
            <w:pPr>
              <w:jc w:val="center"/>
              <w:ind w:right="880"/>
              <w:spacing w:after="0" w:line="119" w:lineRule="exact"/>
              <w:rPr>
                <w:sz w:val="20"/>
                <w:szCs w:val="20"/>
                <w:color w:val="auto"/>
              </w:rPr>
            </w:pPr>
            <w:r>
              <w:rPr>
                <w:rFonts w:ascii="Arial" w:cs="Arial" w:eastAsia="Arial" w:hAnsi="Arial"/>
                <w:sz w:val="13"/>
                <w:szCs w:val="13"/>
                <w:b w:val="1"/>
                <w:bCs w:val="1"/>
                <w:color w:val="32406B"/>
                <w:w w:val="99"/>
              </w:rPr>
              <w:t>June 30,</w:t>
            </w:r>
          </w:p>
        </w:tc>
        <w:tc>
          <w:tcPr>
            <w:tcW w:w="1760" w:type="dxa"/>
            <w:vAlign w:val="bottom"/>
            <w:gridSpan w:val="4"/>
          </w:tcPr>
          <w:p>
            <w:pPr>
              <w:jc w:val="center"/>
              <w:ind w:right="880"/>
              <w:spacing w:after="0" w:line="119" w:lineRule="exact"/>
              <w:rPr>
                <w:sz w:val="20"/>
                <w:szCs w:val="20"/>
                <w:color w:val="auto"/>
              </w:rPr>
            </w:pPr>
            <w:r>
              <w:rPr>
                <w:rFonts w:ascii="Arial" w:cs="Arial" w:eastAsia="Arial" w:hAnsi="Arial"/>
                <w:sz w:val="13"/>
                <w:szCs w:val="13"/>
                <w:b w:val="1"/>
                <w:bCs w:val="1"/>
                <w:color w:val="32406B"/>
                <w:w w:val="98"/>
              </w:rPr>
              <w:t>September 30,</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220" w:type="dxa"/>
            <w:vAlign w:val="bottom"/>
            <w:gridSpan w:val="2"/>
          </w:tcPr>
          <w:p>
            <w:pPr>
              <w:spacing w:after="0"/>
              <w:rPr>
                <w:sz w:val="10"/>
                <w:szCs w:val="10"/>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32406B"/>
              </w:rPr>
              <w:t>2019</w:t>
            </w:r>
          </w:p>
        </w:tc>
        <w:tc>
          <w:tcPr>
            <w:tcW w:w="8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32406B"/>
              </w:rPr>
              <w:t>2020</w:t>
            </w:r>
          </w:p>
        </w:tc>
        <w:tc>
          <w:tcPr>
            <w:tcW w:w="8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32406B"/>
              </w:rPr>
              <w:t>2020</w:t>
            </w:r>
          </w:p>
        </w:tc>
        <w:tc>
          <w:tcPr>
            <w:tcW w:w="8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32406B"/>
              </w:rPr>
              <w:t>2020</w:t>
            </w:r>
          </w:p>
        </w:tc>
        <w:tc>
          <w:tcPr>
            <w:tcW w:w="3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32406B"/>
              </w:rPr>
              <w:t>2020</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82"/>
        </w:trPr>
        <w:tc>
          <w:tcPr>
            <w:tcW w:w="3620" w:type="dxa"/>
            <w:vAlign w:val="bottom"/>
            <w:shd w:val="clear" w:color="auto" w:fill="CCEEFF"/>
          </w:tcPr>
          <w:p>
            <w:pPr>
              <w:spacing w:after="0" w:line="182" w:lineRule="exact"/>
              <w:rPr>
                <w:sz w:val="20"/>
                <w:szCs w:val="20"/>
                <w:color w:val="auto"/>
              </w:rPr>
            </w:pPr>
            <w:r>
              <w:rPr>
                <w:rFonts w:ascii="Arial" w:cs="Arial" w:eastAsia="Arial" w:hAnsi="Arial"/>
                <w:sz w:val="18"/>
                <w:szCs w:val="18"/>
                <w:color w:val="32406B"/>
              </w:rPr>
              <w:t>Dollar-based net expansion rate for IoT</w:t>
            </w:r>
          </w:p>
        </w:tc>
        <w:tc>
          <w:tcPr>
            <w:tcW w:w="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PaaS</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188%</w:t>
            </w:r>
          </w:p>
        </w:tc>
        <w:tc>
          <w:tcPr>
            <w:tcW w:w="15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32406B"/>
              </w:rPr>
              <w:t>173%</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32406B"/>
              </w:rPr>
              <w:t>160%</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32406B"/>
              </w:rPr>
              <w:t>179%</w:t>
            </w:r>
          </w:p>
        </w:tc>
        <w:tc>
          <w:tcPr>
            <w:tcW w:w="56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32406B"/>
              </w:rPr>
              <w:t>181%</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Deployment of IoT PaaS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32406B"/>
        </w:rPr>
        <w:t>We monitor deployment of IoT PaaS as a key performance indicator of adoption of our IoT PaaS offering which has historically generated a substantial majority of our revenue. We call a smart device on which our IoT PaaS is deployed a “deployment” of IoT PaaS. The fees that we charge IoT PaaS customers are based on the number of IoT PaaS products that are deployed. As a result, our revenue from IoT PaaS grows as the number of deployments increases.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Number of IoT PaaS Customers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32406B"/>
        </w:rPr>
        <w:t>Our ability to grow the number of IoT PaaS customers is a key indicator of our business and future growth opportunities. We define an IoT PaaS customer for a given period as a customer who has directly placed at least one order for IoT PaaS with us during that period. While we serve both brands and OEMs, it is typically the OEMs, instead of brands, who directly place orders with us for IoT PaaS.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Number of Premium IoT PaaS Customers</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32406B"/>
        </w:rPr>
        <w:t>While we continue to grow IoT PaaS customers across all sizes, over time, we focus on growing the number of our premium customers to scale our business. We define a premium IoT PaaS customer as a customer as of a given date that contributed more than US$100,000 of revenue during the immediately preceding 12-month period.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Dollar-based Net Expansion Rate for IoT PaaS</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32406B"/>
        </w:rPr>
        <w:t>Our ability to maintain long-term revenue growth is dependent on our ability to increase customers’ usage of our platform over time and grow revenue generated from existing customers. An important way for us to track our performance in this area is by measuring dollar-based net expansion rate for our IoT PaaS. To calculate the dollar-based net expansion rate for IoT PaaS for the current period, we first specify a measurement period consisting of the trailing two years from the current period end. Next, we define as our “cohort” the population of</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95</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32406B"/>
        </w:rPr>
        <w:t>IoT PaaS customers for the first year of the measurement period (i.e. those have placed at least one order for IoT PaaS during that year). We then calculate the dollar-based net expansion rate as the quotient obtained by dividing the IoT PaaS revenue from this cohort in the second year of the measurement period by the IoT PaaS revenue from this the same cohort in the first year of the measurement period. The dollar-based net expansion rate for our IoT PaaS is affected by customers’ purchase cycles, which could fluctuate from time to time within a year, as well as a number of other factors including but not limited to new product introductions, customer mix promotional activities, and the variable timing and amount of customer purchases. As a result, the dollar-based net expansion rate for our IoT PaaS for the trailing 12-months period ended the last day of each quarter is an inherently volatile metric. Due to the negative impact of COVID-19 and a combination of the factors mentioned above, the dollar-based net expansion rate for our IoT PaaS decreased from 188% for the trailing 12-month period ended December 31, 2019 to 173% for the trailing 12-month period ended March 31, 2020 and further to 160% for the trailing 12-month period ended June 30, 2020. Our dollar-based net expansion rate for IoT PaaS has remained higher than 150% for five consecutive quarters since we began tracking this metric for the trailing 12-month period ended December 31, 2019. Our dollar-based net expansion rate demonstrates our strong ability to continue to expand customers’ usage of our platform over time and grow revenue generated from existing customers.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Market Adoption of IoT Cloud Platform</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32406B"/>
        </w:rPr>
        <w:t>Our future success depends in large part on the market adoption of IoT cloud platforms which, in turn, has been driven by the proliferation of smart devices. As technology advances, businesses and end users have an increasing demand for a software experience, driving IoT to an inflection point. However, brands and developers still face a number of challenges, such as the cost and complexity associated with developing an integrated IoT cloud platform. We see growing demand for our platform because we are in a unique position to deliver a one-stop, developer-first, cloud-agnostic IoT platform with broad use cases that allows our customers to digitalize their businesses and transform the experience of their end users. We believe that the benefits of our platform put us in a strong position to capture the significant market opportunity ahead.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Expanding Usage by Existing Customers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32406B"/>
        </w:rPr>
        <w:t>We have amassed a large and diversified customer base covering a wide spectrum of verticals. We believe that there are significant growth opportunities within our existing customers. As our platform is built to be product- and brand-agnostic, many customers using our IoT cloud platform for one product category expand their usage to more brands, categories and use cases in order to maximize the benefits of our platform and ensure consistent, high quality IoT experience for their end users. Through the increase in usage, we grow more brands and OEMs on our platform into larger customers, such as premium customers who contribute more than US$100,000 of revenue within 12 months. As this trend continues over time, our brand awareness also increases, generating word-of-mouth referrals that not only attract more brands, developers and partners, but also lead to growing end user demand, better user insights and a more vibrant IoT ecosystem. We expect to expand into additional product categories and use cases to expand cross- and up-selling opportunities and continue to invest in sales and marketing and customer success activities to achieve additional revenue growth from existing customers. We believe that these efforts will have a long-term, positive impact on our business and results of operations.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New Customer Acquisition</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32406B"/>
        </w:rPr>
        <w:t>Our operating results and growth prospects will depend in part on our ability to attract new customers. We are intensely focused on growing our customer base. We continue to invest in our sales and marketing efforts and developer community outreach, which are critical to driving customer acquisition. We have built a developer and partner network through our effective marketing efforts which continuously raises awareness of our IoT cloud platform. For example, through our self-service developer portal, a developer can begin using our platform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96</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32406B"/>
        </w:rPr>
        <w:t>developing a smart device within minutes. This has allowed us to acquire customers rapidly and cost-effectively. Furthermore, we seek to improve the breadth and quality of our platform and products, and to enhance our brand recognition, which will allow us to capture additional market share, better optimize the pricing of our products and services, and reach customers in a broader range of verticals and use cases.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Investment for Growth</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32406B"/>
        </w:rPr>
        <w:t>We are committed to delivering industry-leading products to continue building and maintaining credibility with the global IoT community. We believe that the comprehensiveness of our product offerings and our continued efforts to introduce new features and capabilities on our platform provide us with a significant competitive advantage. We intend to continue to enhance our platform by expanding the functionality of existing products, developing new products, and delving into more verticals and use cases to support the growth of our business, and to invest heavily in our engineering capabilities and marketing activities to maintain our strong position in the developer community.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Seasonality</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32406B"/>
        </w:rPr>
        <w:t>We have in the past experienced, and expect in the future to continue to experience, seasonal fluctuations in our revenue and sales from time to time, with the fourth quarter historically being our strongest quarter for sales to new and existing customers, as a result of the holiday season and customers’ buying patterns. We have experienced lower growth in revenue in the first quarter as a result the reduced capacity of OEM customers located in China due to the Lunar New Year. We expect the historical seasonality trends to continue to have a material impact on our results of operations and financial condition.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Revenue Mix</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32406B"/>
        </w:rPr>
        <w:t>Our products and services primarily consist of IoT PaaS, smart device distribution, Industry SaaS and cloud-based value-added services. Our results of operations are affected by our product mix, as different products have a range of margin and profitability profiles. For example, an increase in the revenue contribution from products with higher margin profile generally leads to an increase in our overall profit margin. Our product mix may shift over time due to the combination of a variety of factors, including customer demands and preferences, competition, our ability to maintain and expand customer relationships, our ability to forecast market and technology trends, and our sales and marketing efforts. We continuously monitor the margin mix of our offerings and seek to increase the percentage of revenue from products and use cases with attractive margin profiles.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Effect of Currency Translation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32406B"/>
        </w:rPr>
        <w:t>We currently derive a significant majority of our revenues from IoT PaaS which, in turn, are generated primarily through our contracts with OEMs located in the PRC. These revenues are predominantly denominated in RMB. We operate internationally with local offices in the U.S., India, Germany, and Japan, among other locations, and expect that our international activities will continue to grow over the foreseeable future as we pursue opportunities in existing and new markets. Our reporting and functional currency is the U.S. dollar. The financial statements of our subsidiaries and consolidated affiliated entities using functional currencies other than the U.S. dollar, such as RMB, are translated to the U.S. dollar. As a result, as RMB depreciates or appreciates against the U.S. dollar, our revenue presented in U.S. dollars will be negatively or positively affected. See “—Quantitative and Qualitative Disclosure about Market Risk—Foreign exchange risk.”</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97</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Key Components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Revenues</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32406B"/>
        </w:rPr>
        <w:t>We generate revenues from three sources, namely (i) IoT PaaS; (ii) smart device distribution; and (iii) SaaS and others. The following table sets forth a breakdown of our revenues, in absolute amounts and as percentages of total revenues, for the periods indicated.</w:t>
      </w:r>
    </w:p>
    <w:p>
      <w:pPr>
        <w:spacing w:after="0" w:line="165"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32406B"/>
        </w:rPr>
        <w:t>For the Year Ended</w:t>
      </w:r>
    </w:p>
    <w:p>
      <w:pPr>
        <w:jc w:val="center"/>
        <w:ind w:left="796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120" w:type="dxa"/>
        <w:tblCellMar>
          <w:top w:w="0" w:type="dxa"/>
          <w:left w:w="0" w:type="dxa"/>
          <w:bottom w:w="0" w:type="dxa"/>
          <w:right w:w="0" w:type="dxa"/>
        </w:tblCellMar>
      </w:tblPr>
      <w:tr>
        <w:trPr>
          <w:trHeight w:val="142"/>
        </w:trPr>
        <w:tc>
          <w:tcPr>
            <w:tcW w:w="802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32406B"/>
              </w:rPr>
              <w:t>2019</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32406B"/>
              </w:rPr>
              <w:t>2020</w:t>
            </w: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32406B"/>
              </w:rPr>
              <w:t>US$</w:t>
            </w: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32406B"/>
              </w:rPr>
              <w:t>%</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32406B"/>
              </w:rPr>
              <w:t>US$</w:t>
            </w: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2920" w:type="dxa"/>
            <w:vAlign w:val="bottom"/>
            <w:gridSpan w:val="7"/>
          </w:tcPr>
          <w:p>
            <w:pPr>
              <w:jc w:val="right"/>
              <w:ind w:right="214"/>
              <w:spacing w:after="0" w:line="142" w:lineRule="exact"/>
              <w:rPr>
                <w:sz w:val="20"/>
                <w:szCs w:val="20"/>
                <w:color w:val="auto"/>
              </w:rPr>
            </w:pPr>
            <w:r>
              <w:rPr>
                <w:rFonts w:ascii="Arial" w:cs="Arial" w:eastAsia="Arial" w:hAnsi="Arial"/>
                <w:sz w:val="14"/>
                <w:szCs w:val="14"/>
                <w:b w:val="1"/>
                <w:bCs w:val="1"/>
                <w:color w:val="32406B"/>
              </w:rPr>
              <w:t>(in thousands, except for percentages)</w:t>
            </w:r>
          </w:p>
        </w:tc>
        <w:tc>
          <w:tcPr>
            <w:tcW w:w="8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Revenues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32406B"/>
              </w:rPr>
              <w:t>IoT PaaS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32406B"/>
              </w:rPr>
              <w:t>76,365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32406B"/>
              </w:rPr>
              <w:t>72.2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32406B"/>
              </w:rPr>
              <w:t>151,677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32406B"/>
              </w:rPr>
              <w:t>84.3</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32406B"/>
              </w:rPr>
              <w:t>Smart device distribution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27,474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26.0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22,071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12.3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32406B"/>
              </w:rPr>
              <w:t>SaaS and others</w:t>
            </w:r>
          </w:p>
        </w:tc>
        <w:tc>
          <w:tcPr>
            <w:tcW w:w="720" w:type="dxa"/>
            <w:vAlign w:val="bottom"/>
          </w:tcPr>
          <w:p>
            <w:pPr>
              <w:jc w:val="right"/>
              <w:spacing w:after="0"/>
              <w:rPr>
                <w:sz w:val="20"/>
                <w:szCs w:val="20"/>
                <w:color w:val="auto"/>
              </w:rPr>
            </w:pPr>
            <w:r>
              <w:rPr>
                <w:rFonts w:ascii="Arial" w:cs="Arial" w:eastAsia="Arial" w:hAnsi="Arial"/>
                <w:sz w:val="18"/>
                <w:szCs w:val="18"/>
                <w:color w:val="32406B"/>
              </w:rPr>
              <w:t>1,950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1.8</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32406B"/>
              </w:rPr>
              <w:t>6,126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32406B"/>
              </w:rPr>
              <w:t>3.4</w:t>
            </w:r>
          </w:p>
        </w:tc>
      </w:tr>
      <w:tr>
        <w:trPr>
          <w:trHeight w:val="27"/>
        </w:trPr>
        <w:tc>
          <w:tcPr>
            <w:tcW w:w="8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105,789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100.0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179,874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rPr>
              <w:t>100.0</w:t>
            </w:r>
          </w:p>
        </w:tc>
      </w:tr>
      <w:tr>
        <w:trPr>
          <w:trHeight w:val="20"/>
        </w:trPr>
        <w:tc>
          <w:tcPr>
            <w:tcW w:w="8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32406B"/>
        </w:rPr>
        <w:t>IoT PaaS</w:t>
      </w:r>
      <w:r>
        <w:rPr>
          <w:rFonts w:ascii="Arial" w:cs="Arial" w:eastAsia="Arial" w:hAnsi="Arial"/>
          <w:sz w:val="17"/>
          <w:szCs w:val="17"/>
          <w:color w:val="32406B"/>
        </w:rPr>
        <w:t>. We generate IoT PaaS revenue from the fees charged to customers based on the number of IoT PaaS products we deploy.</w:t>
      </w:r>
    </w:p>
    <w:p>
      <w:pPr>
        <w:spacing w:after="0" w:line="23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32406B"/>
        </w:rPr>
        <w:t>Smart device distribution</w:t>
      </w:r>
      <w:r>
        <w:rPr>
          <w:rFonts w:ascii="Arial" w:cs="Arial" w:eastAsia="Arial" w:hAnsi="Arial"/>
          <w:sz w:val="18"/>
          <w:szCs w:val="18"/>
          <w:color w:val="32406B"/>
        </w:rPr>
        <w:t>. For our smart device distribution service, we generate revenues from sales to select brands and system integrators on an</w:t>
      </w:r>
      <w:r>
        <w:rPr>
          <w:rFonts w:ascii="Arial" w:cs="Arial" w:eastAsia="Arial" w:hAnsi="Arial"/>
          <w:sz w:val="18"/>
          <w:szCs w:val="18"/>
          <w:i w:val="1"/>
          <w:iCs w:val="1"/>
          <w:color w:val="32406B"/>
        </w:rPr>
        <w:t xml:space="preserve"> </w:t>
      </w:r>
      <w:r>
        <w:rPr>
          <w:rFonts w:ascii="Arial" w:cs="Arial" w:eastAsia="Arial" w:hAnsi="Arial"/>
          <w:sz w:val="18"/>
          <w:szCs w:val="18"/>
          <w:color w:val="32406B"/>
        </w:rPr>
        <w:t>on-demand basis of finished Tuya-powered smart devices sourced from contracted OEMs. We strategically position smart device distribution as a way to nurture long-term customer relationship and have kept it at a relatively small scale.</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32406B"/>
        </w:rPr>
        <w:t>SaaS and others</w:t>
      </w:r>
      <w:r>
        <w:rPr>
          <w:rFonts w:ascii="Arial" w:cs="Arial" w:eastAsia="Arial" w:hAnsi="Arial"/>
          <w:sz w:val="18"/>
          <w:szCs w:val="18"/>
          <w:color w:val="32406B"/>
        </w:rPr>
        <w:t>. We generate our SaaS and others revenues from (i) the subscription fees charged to customers of Industry SaaS and (ii) the fees</w:t>
      </w:r>
      <w:r>
        <w:rPr>
          <w:rFonts w:ascii="Arial" w:cs="Arial" w:eastAsia="Arial" w:hAnsi="Arial"/>
          <w:sz w:val="18"/>
          <w:szCs w:val="18"/>
          <w:i w:val="1"/>
          <w:iCs w:val="1"/>
          <w:color w:val="32406B"/>
        </w:rPr>
        <w:t xml:space="preserve"> </w:t>
      </w:r>
      <w:r>
        <w:rPr>
          <w:rFonts w:ascii="Arial" w:cs="Arial" w:eastAsia="Arial" w:hAnsi="Arial"/>
          <w:sz w:val="18"/>
          <w:szCs w:val="18"/>
          <w:color w:val="32406B"/>
        </w:rPr>
        <w:t>that we receive for certain value-added services we offer to brands and OEMs, such as AI-powered virtual assistants and data analytics, and a wide variety of cloud-based services we offer directly to end users of Tuya-powered smart devices.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See “—Business Model” and “Business—Our Products” for details about how we generate our revenues.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Cost of Revenue; Gross Margin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Our cost of revenue consists of the costs directly related to providing our products to our customers. These costs and expenses primarily include</w:t>
      </w:r>
    </w:p>
    <w:p>
      <w:pPr>
        <w:spacing w:after="0" w:line="46" w:lineRule="exact"/>
        <w:rPr>
          <w:sz w:val="20"/>
          <w:szCs w:val="20"/>
          <w:color w:val="auto"/>
        </w:rPr>
      </w:pPr>
    </w:p>
    <w:p>
      <w:pPr>
        <w:ind w:left="120" w:right="120" w:hanging="4"/>
        <w:spacing w:after="0" w:line="265" w:lineRule="auto"/>
        <w:tabs>
          <w:tab w:leader="none" w:pos="335" w:val="left"/>
        </w:tabs>
        <w:numPr>
          <w:ilvl w:val="0"/>
          <w:numId w:val="43"/>
        </w:numPr>
        <w:rPr>
          <w:rFonts w:ascii="Arial" w:cs="Arial" w:eastAsia="Arial" w:hAnsi="Arial"/>
          <w:sz w:val="17"/>
          <w:szCs w:val="17"/>
          <w:color w:val="32406B"/>
        </w:rPr>
      </w:pPr>
      <w:r>
        <w:rPr>
          <w:rFonts w:ascii="Arial" w:cs="Arial" w:eastAsia="Arial" w:hAnsi="Arial"/>
          <w:sz w:val="17"/>
          <w:szCs w:val="17"/>
          <w:color w:val="32406B"/>
        </w:rPr>
        <w:t>purchase price of materials (e.g. the modules on which the edge capabilities of IoT PaaS are embedded); (ii) manufacturing charges from outsourced factories; (iii) estimated warranty costs; (iv) inventory write-downs; (v) payroll cost of production support personnel; and (vi) third-</w:t>
      </w:r>
    </w:p>
    <w:p>
      <w:pPr>
        <w:ind w:left="120"/>
        <w:spacing w:after="0"/>
        <w:rPr>
          <w:rFonts w:ascii="Arial" w:cs="Arial" w:eastAsia="Arial" w:hAnsi="Arial"/>
          <w:sz w:val="17"/>
          <w:szCs w:val="17"/>
          <w:color w:val="32406B"/>
        </w:rPr>
      </w:pPr>
      <w:r>
        <w:rPr>
          <w:rFonts w:ascii="Arial" w:cs="Arial" w:eastAsia="Arial" w:hAnsi="Arial"/>
          <w:sz w:val="18"/>
          <w:szCs w:val="18"/>
          <w:color w:val="32406B"/>
        </w:rPr>
        <w:t>party cloud infrastructure expenses that are directly attributable to the provision of our products and services.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Gross profit is equal to our total revenues less cost of revenues. Gross profit as a percentage of our total revenues is referred to as gross margin.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The following table sets forth our gross margins for the periods indicated.</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32406B"/>
        </w:rPr>
        <w:t>For the Year Ended</w:t>
      </w:r>
    </w:p>
    <w:p>
      <w:pPr>
        <w:jc w:val="center"/>
        <w:ind w:left="950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120" w:type="dxa"/>
        <w:tblCellMar>
          <w:top w:w="0" w:type="dxa"/>
          <w:left w:w="0" w:type="dxa"/>
          <w:bottom w:w="0" w:type="dxa"/>
          <w:right w:w="0" w:type="dxa"/>
        </w:tblCellMar>
      </w:tblPr>
      <w:tr>
        <w:trPr>
          <w:trHeight w:val="142"/>
        </w:trPr>
        <w:tc>
          <w:tcPr>
            <w:tcW w:w="36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32406B"/>
              </w:rPr>
              <w:t>2019</w:t>
            </w: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32406B"/>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32406B"/>
              </w:rPr>
              <w:t>(%)</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32406B"/>
              </w:rPr>
              <w:t>IoT PaaS</w:t>
            </w:r>
          </w:p>
        </w:tc>
        <w:tc>
          <w:tcPr>
            <w:tcW w:w="6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28.7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35.9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32406B"/>
              </w:rPr>
              <w:t>Smart device distribution</w:t>
            </w:r>
          </w:p>
        </w:tc>
        <w:tc>
          <w:tcPr>
            <w:tcW w:w="6480" w:type="dxa"/>
            <w:vAlign w:val="bottom"/>
            <w:gridSpan w:val="3"/>
          </w:tcPr>
          <w:p>
            <w:pPr>
              <w:jc w:val="right"/>
              <w:ind w:right="40"/>
              <w:spacing w:after="0"/>
              <w:rPr>
                <w:sz w:val="20"/>
                <w:szCs w:val="20"/>
                <w:color w:val="auto"/>
              </w:rPr>
            </w:pPr>
            <w:r>
              <w:rPr>
                <w:rFonts w:ascii="Arial" w:cs="Arial" w:eastAsia="Arial" w:hAnsi="Arial"/>
                <w:sz w:val="18"/>
                <w:szCs w:val="18"/>
                <w:color w:val="32406B"/>
              </w:rPr>
              <w:t>16.0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32406B"/>
              </w:rPr>
              <w:t>13.0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32406B"/>
              </w:rPr>
              <w:t>SaaS and others</w:t>
            </w:r>
          </w:p>
        </w:tc>
        <w:tc>
          <w:tcPr>
            <w:tcW w:w="6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75.8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75.6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32406B"/>
              </w:rPr>
              <w:t>Overall gross margin</w:t>
            </w:r>
          </w:p>
        </w:tc>
        <w:tc>
          <w:tcPr>
            <w:tcW w:w="6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32406B"/>
              </w:rPr>
              <w:t>26.3</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32406B"/>
              </w:rPr>
              <w:t>34.4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940" w:type="dxa"/>
            <w:vAlign w:val="bottom"/>
            <w:vMerge w:val="restart"/>
          </w:tcPr>
          <w:p>
            <w:pPr>
              <w:jc w:val="right"/>
              <w:ind w:right="3870"/>
              <w:spacing w:after="0"/>
              <w:rPr>
                <w:sz w:val="20"/>
                <w:szCs w:val="20"/>
                <w:color w:val="auto"/>
              </w:rPr>
            </w:pPr>
            <w:r>
              <w:rPr>
                <w:rFonts w:ascii="Arial" w:cs="Arial" w:eastAsia="Arial" w:hAnsi="Arial"/>
                <w:sz w:val="18"/>
                <w:szCs w:val="18"/>
                <w:color w:val="32406B"/>
              </w:rPr>
              <w:t>98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32406B"/>
        </w:rPr>
        <w:t>Our cost of revenue and gross margin have been and will continue to be affected by a number of factors, including economies of scale, improved efficiency achieved through effective R&amp;D, and product mix, among other things. We expect our cost of revenue to increase in absolute amount as our business continues to grow. While our overall gross margin could fluctuate from period to period depending on the interplay of the above mentioned factors, we expect our overall gross margin to increase in the future, primarily driven by (i) increased revenue contribution from SaaS and others, which generally have a higher gross margin, and (ii) improved efficiency as a result of our continued investment in R&amp;D. For the drivers behind the increase in the gross margins of IoT PaaS and other related details, see “—2020 Compared to 2019—Cost of Revenue; Gross Margin.”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Operating Expenses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32406B"/>
        </w:rPr>
        <w:t>The following table sets forth a breakdown of our operating expenses, in absolute amounts and as percentages of our total revenue,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32406B"/>
              </w:rPr>
              <w:t>For the Year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9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32406B"/>
              </w:rPr>
              <w:t>2019</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32406B"/>
              </w:rPr>
              <w:t>2020</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rPr>
              <w:t>% of</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rPr>
              <w:t>%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9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32406B"/>
              </w:rPr>
              <w:t>US$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4"/>
              </w:rPr>
              <w:t>total</w:t>
            </w: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32406B"/>
              </w:rPr>
              <w:t>US$</w:t>
            </w: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4"/>
              </w:rPr>
              <w:t>total</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89"/>
              </w:rPr>
              <w:t>revenue</w:t>
            </w:r>
          </w:p>
        </w:tc>
        <w:tc>
          <w:tcPr>
            <w:tcW w:w="980" w:type="dxa"/>
            <w:vAlign w:val="bottom"/>
            <w:gridSpan w:val="2"/>
            <w:vMerge w:val="continue"/>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89"/>
              </w:rPr>
              <w:t>revenue</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3120" w:type="dxa"/>
            <w:vAlign w:val="bottom"/>
            <w:tcBorders>
              <w:top w:val="single" w:sz="8" w:color="auto"/>
            </w:tcBorders>
            <w:gridSpan w:val="8"/>
          </w:tcPr>
          <w:p>
            <w:pPr>
              <w:jc w:val="right"/>
              <w:ind w:right="317"/>
              <w:spacing w:after="0" w:line="142" w:lineRule="exact"/>
              <w:rPr>
                <w:sz w:val="20"/>
                <w:szCs w:val="20"/>
                <w:color w:val="auto"/>
              </w:rPr>
            </w:pPr>
            <w:r>
              <w:rPr>
                <w:rFonts w:ascii="Arial" w:cs="Arial" w:eastAsia="Arial" w:hAnsi="Arial"/>
                <w:sz w:val="14"/>
                <w:szCs w:val="14"/>
                <w:b w:val="1"/>
                <w:bCs w:val="1"/>
                <w:color w:val="32406B"/>
              </w:rPr>
              <w:t>(in thousands, except for percentages)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Operating expenses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32406B"/>
              </w:rPr>
              <w:t>52,003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32406B"/>
              </w:rPr>
              <w:t>49.2</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32406B"/>
              </w:rPr>
              <w:t>77,430</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32406B"/>
              </w:rPr>
              <w:t>43.0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32406B"/>
              </w:rPr>
              <w:t>Sales and marketing expenses</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37,017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35.0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37,556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20.9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32406B"/>
              </w:rPr>
              <w:t>General and administrative expenses</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32406B"/>
              </w:rPr>
              <w:t>12,196</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32406B"/>
              </w:rPr>
              <w:t>11.5</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32406B"/>
              </w:rPr>
              <w:t>17,868</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32406B"/>
              </w:rPr>
              <w:t>9.9</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32406B"/>
              </w:rPr>
              <w:t>Other operating expenses/(incomes), net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(1,071)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(0.6)</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b w:val="1"/>
                <w:bCs w:val="1"/>
                <w:color w:val="32406B"/>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101,226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95.7</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8"/>
              </w:rPr>
              <w:t>131,783</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i w:val="1"/>
          <w:iCs w:val="1"/>
          <w:color w:val="32406B"/>
        </w:rPr>
        <w:t xml:space="preserve">Research and development expenses. </w:t>
      </w:r>
      <w:r>
        <w:rPr>
          <w:rFonts w:ascii="Arial" w:cs="Arial" w:eastAsia="Arial" w:hAnsi="Arial"/>
          <w:sz w:val="17"/>
          <w:szCs w:val="17"/>
          <w:color w:val="32406B"/>
        </w:rPr>
        <w:t>Research and development expenses consist primarily of (i) employee-related costs, including salaries,</w:t>
      </w:r>
      <w:r>
        <w:rPr>
          <w:rFonts w:ascii="Arial" w:cs="Arial" w:eastAsia="Arial" w:hAnsi="Arial"/>
          <w:sz w:val="17"/>
          <w:szCs w:val="17"/>
          <w:i w:val="1"/>
          <w:iCs w:val="1"/>
          <w:color w:val="32406B"/>
        </w:rPr>
        <w:t xml:space="preserve"> </w:t>
      </w:r>
      <w:r>
        <w:rPr>
          <w:rFonts w:ascii="Arial" w:cs="Arial" w:eastAsia="Arial" w:hAnsi="Arial"/>
          <w:sz w:val="17"/>
          <w:szCs w:val="17"/>
          <w:color w:val="32406B"/>
        </w:rPr>
        <w:t>benefits, bonuses and share-based compensation, for our research and development personnel; (ii) bandwidth and cloud infrastructure costs; (iii) rental expenses; (iv) depreciation; and (v) other expenses associated with our research and development activities.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32406B"/>
        </w:rPr>
        <w:t>We believe that continued investment in research and development is key to our future growth. We expect to continue to invest substantially in our research and development efforts to improve customer experience, adding new features and functionalities to our platform and products and launching new products and services. As a result, we expect our research and development expenses to continue to increase in absolute amount in the foreseeable future.</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i w:val="1"/>
          <w:iCs w:val="1"/>
          <w:color w:val="32406B"/>
        </w:rPr>
        <w:t>Sales and marketing expenses</w:t>
      </w:r>
      <w:r>
        <w:rPr>
          <w:rFonts w:ascii="Arial" w:cs="Arial" w:eastAsia="Arial" w:hAnsi="Arial"/>
          <w:sz w:val="16"/>
          <w:szCs w:val="16"/>
          <w:color w:val="32406B"/>
        </w:rPr>
        <w:t>. Sales and marketing expenses consist primarily of (i) employee-related costs, including salaries, bonuses, benefits</w:t>
      </w:r>
      <w:r>
        <w:rPr>
          <w:rFonts w:ascii="Arial" w:cs="Arial" w:eastAsia="Arial" w:hAnsi="Arial"/>
          <w:sz w:val="16"/>
          <w:szCs w:val="16"/>
          <w:i w:val="1"/>
          <w:iCs w:val="1"/>
          <w:color w:val="32406B"/>
        </w:rPr>
        <w:t xml:space="preserve"> </w:t>
      </w:r>
      <w:r>
        <w:rPr>
          <w:rFonts w:ascii="Arial" w:cs="Arial" w:eastAsia="Arial" w:hAnsi="Arial"/>
          <w:sz w:val="16"/>
          <w:szCs w:val="16"/>
          <w:color w:val="32406B"/>
        </w:rPr>
        <w:t>and share-based compensation, for our employees responsible for business development, branding and marketing; (ii) marketing costs related to our developer conferences and events; and (iii) other sales and marketing expenses, including those spent on content and social media marketing.</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32406B"/>
        </w:rPr>
        <w:t>We plan to continue to invest in sales and marketing to promote our brand, grow our developer and partner network, and retain our existing customers and attract new customers. As a result, we expect our sales and marketing expenses to increase in absolute amount in the foreseeable future. We expect our sales and marketing expenses to decrease as a percentage of our revenue over the long term as we benefit from our enhanced brand awareness and economies of scale, while such expenses may fluctuate as a percentage of our revenue from period to period depending on the timing and extent of these expenses and due to seasonality.</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i w:val="1"/>
          <w:iCs w:val="1"/>
          <w:color w:val="32406B"/>
        </w:rPr>
        <w:t xml:space="preserve">General and administrative expenses. </w:t>
      </w:r>
      <w:r>
        <w:rPr>
          <w:rFonts w:ascii="Arial" w:cs="Arial" w:eastAsia="Arial" w:hAnsi="Arial"/>
          <w:sz w:val="18"/>
          <w:szCs w:val="18"/>
          <w:color w:val="32406B"/>
        </w:rPr>
        <w:t>Our general and administrative expenses consist of employee-related costs, including salaries, bonuses,</w:t>
      </w:r>
      <w:r>
        <w:rPr>
          <w:rFonts w:ascii="Arial" w:cs="Arial" w:eastAsia="Arial" w:hAnsi="Arial"/>
          <w:sz w:val="18"/>
          <w:szCs w:val="18"/>
          <w:i w:val="1"/>
          <w:iCs w:val="1"/>
          <w:color w:val="32406B"/>
        </w:rPr>
        <w:t xml:space="preserve"> </w:t>
      </w:r>
      <w:r>
        <w:rPr>
          <w:rFonts w:ascii="Arial" w:cs="Arial" w:eastAsia="Arial" w:hAnsi="Arial"/>
          <w:sz w:val="18"/>
          <w:szCs w:val="18"/>
          <w:color w:val="32406B"/>
        </w:rPr>
        <w:t>benefits and share-based compensation paid to general and administrative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99</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32406B"/>
        </w:rPr>
        <w:t>personnel and other expenses associated with our general and administrative activities. We expect our general and administrative expenses to increase in the foreseeable future as we incur additional expenses as a result of operating as a public company and to meet the increased compliance requirements associated with our international expansion.</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i w:val="1"/>
          <w:iCs w:val="1"/>
          <w:color w:val="32406B"/>
        </w:rPr>
        <w:t xml:space="preserve">Other operating expenses/(incomes), net. </w:t>
      </w:r>
      <w:r>
        <w:rPr>
          <w:rFonts w:ascii="Arial" w:cs="Arial" w:eastAsia="Arial" w:hAnsi="Arial"/>
          <w:sz w:val="18"/>
          <w:szCs w:val="18"/>
          <w:color w:val="32406B"/>
        </w:rPr>
        <w:t>Other operating incomes primarily consist of government grants and other operating expenses primarily</w:t>
      </w:r>
      <w:r>
        <w:rPr>
          <w:rFonts w:ascii="Arial" w:cs="Arial" w:eastAsia="Arial" w:hAnsi="Arial"/>
          <w:sz w:val="18"/>
          <w:szCs w:val="18"/>
          <w:i w:val="1"/>
          <w:iCs w:val="1"/>
          <w:color w:val="32406B"/>
        </w:rPr>
        <w:t xml:space="preserve"> </w:t>
      </w:r>
      <w:r>
        <w:rPr>
          <w:rFonts w:ascii="Arial" w:cs="Arial" w:eastAsia="Arial" w:hAnsi="Arial"/>
          <w:sz w:val="18"/>
          <w:szCs w:val="18"/>
          <w:color w:val="32406B"/>
        </w:rPr>
        <w:t>consist of tax surcharges. We recorded net other operating expenses of US$10.0 thousand in 2019 and net other operating incomes of US$1.1 million in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Other Income/(Loss)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Other income primarily consists of financial income and foreign exchange loss. Our other income was US$3.1 million and US$3.1 million in 2019 and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Taxation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Cayman Islands</w:t>
      </w:r>
    </w:p>
    <w:p>
      <w:pPr>
        <w:spacing w:after="0" w:line="117"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32406B"/>
        </w:rPr>
        <w:t>We are incorporated in the Cayman Islands. Under the current laws of the Cayman Islands, we are not subject to income, corporation or capital gains tax in the Cayman Islands. In addition, our payment of dividends, if any, is not subject to withholding tax in the Cayman Islands.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Hong Kong</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32406B"/>
        </w:rPr>
        <w:t>Our subsidiaries in Hong Kong, including Tuya (HK) Limited, our wholly-owned subsidiary, are subject to Hong Kong profits tax on their activities conducted in Hong Kong at a uniform tax rate of 16.5%. Under Hong Kong tax law, our subsidiaries in Hong Kong are exempted from income tax on their qualified foreign-derived income and there is no withholding tax in Hong Kong on remittance of dividends. No provision for Hong Kong profits tax was made as we had no estimated taxable income that was subject to Hong Kong profits tax during 2019 and 2020.</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PRC</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Our subsidiaries and consolidated VIE in China are companies incorporated under PRC law and, as such, are subject to PRC enterprise income tax on their taxable income in accordance with the relevant PRC income tax laws. Pursuant to the PRC Enterprise Income Tax Law, or PRC EIT Law, which became effective on January 1, 2008, a uniform 25% enterprise income tax rate is generally applicable to both foreign-invested enterprises and domestic enterprises, except where a special preferential rate applies. In 2019 and 2020, preferential tax treatment was available to one of our PRC subsidiaries.</w:t>
      </w:r>
    </w:p>
    <w:p>
      <w:pPr>
        <w:spacing w:after="0" w:line="1"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8"/>
          <w:szCs w:val="18"/>
          <w:color w:val="32406B"/>
        </w:rPr>
        <w:t>Hangzhou Tuya Information Technology Co., Ltd was recognized as a high-tech enterprise in November 2018, which allowed it to apply an income tax rate of 15% within the validity period of high-tech enterprise certificate. The enterprise income tax is calculated based on the entity’s global income as determined under PRC tax laws and accounting standards.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We are subject to VAT on the products sold and services provided. We are also subject to surcharges on VAT payments in accordance with PRC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law.</w:t>
      </w:r>
    </w:p>
    <w:p>
      <w:pPr>
        <w:spacing w:after="0" w:line="21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As a Cayman Islands holding company, we may receive dividends from our PRC subsidiaries through Tuya (HK) Limited. The PRC EIT Law and its implementing rules provide that dividends paid by a PRC entity to a nonresident enterprise for income tax purposes is subject to PRC withholding tax at a rate of 10%, and may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32406B"/>
        </w:rPr>
        <w:t>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(i) directly holds at least 25% of the PRC enterprise, (ii) is a tax resident in Hong Kong and (iii) could be recognized as a Beneficial Owner of the dividend from PRC tax perspective. Pursuant to the Notice of the State Administration of Taxation on the Issues concerning the Application of the Dividend Clauses of Tax Agreements, or Guoshuihan [2009]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October 2019, the State Administration of Taxation issued Announcement of the State Taxation Administration on Issuing the Measures for Non-resident Taxpayers’ Enjoyment of Treaty Benefits,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Tuya (HK) Limited may be able to benefit from the 5% withholding tax rate for the dividends it receives from its PRC subsidiaries, if it satisfies the conditions prescribed under Guoshuihan [2009] 81 and other relevant tax rules and regulations. However, according to Guoshuihan [2009] 81 and SAT Circular 35, if the relevant tax authorities consider the transactions or arrangements we have are for the primary purpose of enjoying a favorable tax treatment, the relevant tax authorities may adjust the favorable withholding tax in the future.</w:t>
      </w:r>
    </w:p>
    <w:p>
      <w:pPr>
        <w:spacing w:after="0" w:line="190"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32406B"/>
        </w:rPr>
        <w:t>If our holding company in the Cayman Islands or any of our subsidiaries outside of China were deemed to be a “resident enterprise” under the PRC EIT Law, it would be subject to enterprise income tax on its worldwide income at a rate of 25%. See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101</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The following table summarizes our consolidated results of operations and as percentages of our total revenues for the periods presented.</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bottom w:val="single" w:sz="8" w:color="auto"/>
            </w:tcBorders>
            <w:gridSpan w:val="8"/>
          </w:tcPr>
          <w:p>
            <w:pPr>
              <w:jc w:val="center"/>
              <w:ind w:left="369"/>
              <w:spacing w:after="0"/>
              <w:rPr>
                <w:sz w:val="20"/>
                <w:szCs w:val="20"/>
                <w:color w:val="auto"/>
              </w:rPr>
            </w:pPr>
            <w:r>
              <w:rPr>
                <w:rFonts w:ascii="Arial" w:cs="Arial" w:eastAsia="Arial" w:hAnsi="Arial"/>
                <w:sz w:val="14"/>
                <w:szCs w:val="14"/>
                <w:b w:val="1"/>
                <w:bCs w:val="1"/>
                <w:color w:val="32406B"/>
                <w:w w:val="92"/>
              </w:rPr>
              <w:t>For the Year Ended 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center"/>
              <w:ind w:left="429"/>
              <w:spacing w:after="0" w:line="142" w:lineRule="exact"/>
              <w:rPr>
                <w:sz w:val="20"/>
                <w:szCs w:val="20"/>
                <w:color w:val="auto"/>
              </w:rPr>
            </w:pPr>
            <w:r>
              <w:rPr>
                <w:rFonts w:ascii="Arial" w:cs="Arial" w:eastAsia="Arial" w:hAnsi="Arial"/>
                <w:sz w:val="14"/>
                <w:szCs w:val="14"/>
                <w:b w:val="1"/>
                <w:bCs w:val="1"/>
                <w:color w:val="32406B"/>
                <w:w w:val="89"/>
              </w:rPr>
              <w:t>2019</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32406B"/>
              </w:rPr>
              <w:t>2020</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32406B"/>
              </w:rPr>
              <w:t>US$</w:t>
            </w: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32406B"/>
              </w:rPr>
              <w:t>%</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32406B"/>
              </w:rPr>
              <w:t>US$</w:t>
            </w:r>
          </w:p>
        </w:tc>
        <w:tc>
          <w:tcPr>
            <w:tcW w:w="460" w:type="dxa"/>
            <w:vAlign w:val="bottom"/>
            <w:tcBorders>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32406B"/>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80" w:type="dxa"/>
            <w:vAlign w:val="bottom"/>
            <w:gridSpan w:val="10"/>
          </w:tcPr>
          <w:p>
            <w:pPr>
              <w:jc w:val="center"/>
              <w:spacing w:after="0" w:line="119" w:lineRule="exact"/>
              <w:rPr>
                <w:sz w:val="20"/>
                <w:szCs w:val="20"/>
                <w:color w:val="auto"/>
              </w:rPr>
            </w:pPr>
            <w:r>
              <w:rPr>
                <w:rFonts w:ascii="Arial" w:cs="Arial" w:eastAsia="Arial" w:hAnsi="Arial"/>
                <w:sz w:val="13"/>
                <w:szCs w:val="13"/>
                <w:b w:val="1"/>
                <w:bCs w:val="1"/>
                <w:color w:val="32406B"/>
                <w:w w:val="96"/>
              </w:rPr>
              <w:t>(in thousands, except for percentages,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8"/>
          </w:tcPr>
          <w:p>
            <w:pPr>
              <w:jc w:val="center"/>
              <w:ind w:left="369"/>
              <w:spacing w:after="0"/>
              <w:rPr>
                <w:sz w:val="20"/>
                <w:szCs w:val="20"/>
                <w:color w:val="auto"/>
              </w:rPr>
            </w:pPr>
            <w:r>
              <w:rPr>
                <w:rFonts w:ascii="Arial" w:cs="Arial" w:eastAsia="Arial" w:hAnsi="Arial"/>
                <w:sz w:val="14"/>
                <w:szCs w:val="14"/>
                <w:b w:val="1"/>
                <w:bCs w:val="1"/>
                <w:color w:val="32406B"/>
                <w:w w:val="90"/>
              </w:rPr>
              <w:t>shares and per share data)</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Consolidated Statements of Operation: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32406B"/>
              </w:rPr>
              <w:t>Revenue</w:t>
            </w:r>
          </w:p>
        </w:tc>
        <w:tc>
          <w:tcPr>
            <w:tcW w:w="6480" w:type="dxa"/>
            <w:vAlign w:val="bottom"/>
          </w:tcPr>
          <w:p>
            <w:pPr>
              <w:spacing w:after="0"/>
              <w:rPr>
                <w:sz w:val="18"/>
                <w:szCs w:val="18"/>
                <w:color w:val="auto"/>
              </w:rPr>
            </w:pPr>
          </w:p>
        </w:tc>
        <w:tc>
          <w:tcPr>
            <w:tcW w:w="1020" w:type="dxa"/>
            <w:vAlign w:val="bottom"/>
            <w:gridSpan w:val="2"/>
          </w:tcPr>
          <w:p>
            <w:pPr>
              <w:jc w:val="right"/>
              <w:ind w:right="109"/>
              <w:spacing w:after="0"/>
              <w:rPr>
                <w:sz w:val="20"/>
                <w:szCs w:val="20"/>
                <w:color w:val="auto"/>
              </w:rPr>
            </w:pPr>
            <w:r>
              <w:rPr>
                <w:rFonts w:ascii="Arial" w:cs="Arial" w:eastAsia="Arial" w:hAnsi="Arial"/>
                <w:sz w:val="18"/>
                <w:szCs w:val="18"/>
                <w:b w:val="1"/>
                <w:bCs w:val="1"/>
                <w:color w:val="32406B"/>
              </w:rPr>
              <w:t>105,789</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32406B"/>
              </w:rPr>
              <w:t>100.0</w:t>
            </w:r>
          </w:p>
        </w:tc>
        <w:tc>
          <w:tcPr>
            <w:tcW w:w="80" w:type="dxa"/>
            <w:vAlign w:val="bottom"/>
          </w:tcPr>
          <w:p>
            <w:pPr>
              <w:spacing w:after="0"/>
              <w:rPr>
                <w:sz w:val="18"/>
                <w:szCs w:val="18"/>
                <w:color w:val="auto"/>
              </w:rPr>
            </w:pPr>
          </w:p>
        </w:tc>
        <w:tc>
          <w:tcPr>
            <w:tcW w:w="960" w:type="dxa"/>
            <w:vAlign w:val="bottom"/>
            <w:gridSpan w:val="3"/>
          </w:tcPr>
          <w:p>
            <w:pPr>
              <w:jc w:val="right"/>
              <w:ind w:right="148"/>
              <w:spacing w:after="0"/>
              <w:rPr>
                <w:sz w:val="20"/>
                <w:szCs w:val="20"/>
                <w:color w:val="auto"/>
              </w:rPr>
            </w:pPr>
            <w:r>
              <w:rPr>
                <w:rFonts w:ascii="Arial" w:cs="Arial" w:eastAsia="Arial" w:hAnsi="Arial"/>
                <w:sz w:val="18"/>
                <w:szCs w:val="18"/>
                <w:b w:val="1"/>
                <w:bCs w:val="1"/>
                <w:color w:val="32406B"/>
              </w:rPr>
              <w:t>179,874</w:t>
            </w:r>
          </w:p>
        </w:tc>
        <w:tc>
          <w:tcPr>
            <w:tcW w:w="4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32406B"/>
                <w:w w:val="97"/>
              </w:rPr>
              <w:t>100.0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w w:val="88"/>
              </w:rPr>
              <w:t>Cost of revenue</w:t>
            </w:r>
          </w:p>
        </w:tc>
        <w:tc>
          <w:tcPr>
            <w:tcW w:w="6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32406B"/>
              </w:rPr>
              <w:t>(78,003)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(73.7)</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32406B"/>
              </w:rPr>
              <w:t>(117,937)</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32406B"/>
              </w:rPr>
              <w:t>(65.6)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32406B"/>
              </w:rPr>
              <w:t>Gross profit</w:t>
            </w:r>
          </w:p>
        </w:tc>
        <w:tc>
          <w:tcPr>
            <w:tcW w:w="6480" w:type="dxa"/>
            <w:vAlign w:val="bottom"/>
          </w:tcPr>
          <w:p>
            <w:pPr>
              <w:spacing w:after="0"/>
              <w:rPr>
                <w:sz w:val="18"/>
                <w:szCs w:val="18"/>
                <w:color w:val="auto"/>
              </w:rPr>
            </w:pPr>
          </w:p>
        </w:tc>
        <w:tc>
          <w:tcPr>
            <w:tcW w:w="1020" w:type="dxa"/>
            <w:vAlign w:val="bottom"/>
            <w:gridSpan w:val="2"/>
          </w:tcPr>
          <w:p>
            <w:pPr>
              <w:jc w:val="right"/>
              <w:ind w:right="109"/>
              <w:spacing w:after="0"/>
              <w:rPr>
                <w:sz w:val="20"/>
                <w:szCs w:val="20"/>
                <w:color w:val="auto"/>
              </w:rPr>
            </w:pPr>
            <w:r>
              <w:rPr>
                <w:rFonts w:ascii="Arial" w:cs="Arial" w:eastAsia="Arial" w:hAnsi="Arial"/>
                <w:sz w:val="18"/>
                <w:szCs w:val="18"/>
                <w:b w:val="1"/>
                <w:bCs w:val="1"/>
                <w:color w:val="32406B"/>
              </w:rPr>
              <w:t>27,786</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32406B"/>
              </w:rPr>
              <w:t>26.3</w:t>
            </w:r>
          </w:p>
        </w:tc>
        <w:tc>
          <w:tcPr>
            <w:tcW w:w="80" w:type="dxa"/>
            <w:vAlign w:val="bottom"/>
          </w:tcPr>
          <w:p>
            <w:pPr>
              <w:spacing w:after="0"/>
              <w:rPr>
                <w:sz w:val="18"/>
                <w:szCs w:val="18"/>
                <w:color w:val="auto"/>
              </w:rPr>
            </w:pPr>
          </w:p>
        </w:tc>
        <w:tc>
          <w:tcPr>
            <w:tcW w:w="960" w:type="dxa"/>
            <w:vAlign w:val="bottom"/>
            <w:gridSpan w:val="3"/>
          </w:tcPr>
          <w:p>
            <w:pPr>
              <w:jc w:val="right"/>
              <w:ind w:right="148"/>
              <w:spacing w:after="0"/>
              <w:rPr>
                <w:sz w:val="20"/>
                <w:szCs w:val="20"/>
                <w:color w:val="auto"/>
              </w:rPr>
            </w:pPr>
            <w:r>
              <w:rPr>
                <w:rFonts w:ascii="Arial" w:cs="Arial" w:eastAsia="Arial" w:hAnsi="Arial"/>
                <w:sz w:val="18"/>
                <w:szCs w:val="18"/>
                <w:b w:val="1"/>
                <w:bCs w:val="1"/>
                <w:color w:val="32406B"/>
              </w:rPr>
              <w:t>61,937</w:t>
            </w:r>
          </w:p>
        </w:tc>
        <w:tc>
          <w:tcPr>
            <w:tcW w:w="4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32406B"/>
              </w:rPr>
              <w:t>34.4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Operating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32406B"/>
              </w:rPr>
              <w:t>Research and development expenses</w:t>
            </w:r>
            <w:r>
              <w:rPr>
                <w:rFonts w:ascii="Arial" w:cs="Arial" w:eastAsia="Arial" w:hAnsi="Arial"/>
                <w:sz w:val="15"/>
                <w:szCs w:val="15"/>
                <w:color w:val="32406B"/>
              </w:rPr>
              <w:t>(1)</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color w:val="32406B"/>
              </w:rPr>
              <w:t>(52,003)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(49.2)</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color w:val="32406B"/>
              </w:rPr>
              <w:t>(77,430)</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32406B"/>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Sales and marketing expenses</w:t>
            </w:r>
            <w:r>
              <w:rPr>
                <w:rFonts w:ascii="Arial" w:cs="Arial" w:eastAsia="Arial" w:hAnsi="Arial"/>
                <w:sz w:val="15"/>
                <w:szCs w:val="15"/>
                <w:color w:val="32406B"/>
              </w:rPr>
              <w:t>(1)</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32406B"/>
              </w:rPr>
              <w:t>(37,017)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(35.0)</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32406B"/>
              </w:rPr>
              <w:t>(37,556)</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32406B"/>
              </w:rPr>
              <w:t>General and administrative expenses</w:t>
            </w:r>
            <w:r>
              <w:rPr>
                <w:rFonts w:ascii="Arial" w:cs="Arial" w:eastAsia="Arial" w:hAnsi="Arial"/>
                <w:sz w:val="15"/>
                <w:szCs w:val="15"/>
                <w:color w:val="32406B"/>
              </w:rPr>
              <w:t>(1)</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color w:val="32406B"/>
              </w:rPr>
              <w:t>(12,196)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(11.5)</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color w:val="32406B"/>
              </w:rPr>
              <w:t>(17,868)</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32406B"/>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Other operating (expenses)/incomes, net</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32406B"/>
              </w:rPr>
              <w:t>(10)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(0.0)</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32406B"/>
              </w:rPr>
              <w:t>1,071</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32406B"/>
              </w:rPr>
              <w:t>Total operating expenses</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b w:val="1"/>
                <w:bCs w:val="1"/>
                <w:color w:val="32406B"/>
              </w:rPr>
              <w:t>(101,226)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32406B"/>
              </w:rPr>
              <w:t>(95.7)</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b w:val="1"/>
                <w:bCs w:val="1"/>
                <w:color w:val="32406B"/>
              </w:rPr>
              <w:t>(131,783)</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32406B"/>
              </w:rPr>
              <w:t>(73.3)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Loss from operations</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32406B"/>
              </w:rPr>
              <w:t>(73,440)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(69.4)</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32406B"/>
              </w:rPr>
              <w:t>(69,846)</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32406B"/>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32406B"/>
              </w:rPr>
              <w:t>Other income/(loss):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Financial income, net</w:t>
            </w:r>
          </w:p>
        </w:tc>
        <w:tc>
          <w:tcPr>
            <w:tcW w:w="102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32406B"/>
              </w:rPr>
              <w:t>3,326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3.1</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32406B"/>
              </w:rPr>
              <w:t>3,220</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32406B"/>
              </w:rPr>
              <w:t>Foreign exchange loss, net</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color w:val="32406B"/>
              </w:rPr>
              <w:t>(239)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(0.2)</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color w:val="32406B"/>
              </w:rPr>
              <w:t>(80)</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32406B"/>
              </w:rPr>
              <w:t>(0.0)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Loss before income tax expense</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32406B"/>
              </w:rPr>
              <w:t>(70,353)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(66.5)</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32406B"/>
              </w:rPr>
              <w:t>(66,706)</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32406B"/>
              </w:rPr>
              <w:t>(37.1)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32406B"/>
              </w:rPr>
              <w:t>Income tax expense</w:t>
            </w:r>
          </w:p>
        </w:tc>
        <w:tc>
          <w:tcPr>
            <w:tcW w:w="1020" w:type="dxa"/>
            <w:vAlign w:val="bottom"/>
            <w:gridSpan w:val="2"/>
          </w:tcPr>
          <w:p>
            <w:pPr>
              <w:jc w:val="right"/>
              <w:ind w:right="49"/>
              <w:spacing w:after="0"/>
              <w:rPr>
                <w:sz w:val="20"/>
                <w:szCs w:val="20"/>
                <w:color w:val="auto"/>
              </w:rPr>
            </w:pPr>
            <w:r>
              <w:rPr>
                <w:rFonts w:ascii="Arial" w:cs="Arial" w:eastAsia="Arial" w:hAnsi="Arial"/>
                <w:sz w:val="18"/>
                <w:szCs w:val="18"/>
                <w:b w:val="1"/>
                <w:bCs w:val="1"/>
                <w:color w:val="32406B"/>
              </w:rPr>
              <w:t>(124)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32406B"/>
              </w:rPr>
              <w:t>(0.1)</w:t>
            </w:r>
          </w:p>
        </w:tc>
        <w:tc>
          <w:tcPr>
            <w:tcW w:w="80" w:type="dxa"/>
            <w:vAlign w:val="bottom"/>
          </w:tcPr>
          <w:p>
            <w:pPr>
              <w:spacing w:after="0"/>
              <w:rPr>
                <w:sz w:val="18"/>
                <w:szCs w:val="18"/>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b w:val="1"/>
                <w:bCs w:val="1"/>
                <w:color w:val="32406B"/>
              </w:rPr>
              <w:t>(206)</w:t>
            </w:r>
          </w:p>
        </w:tc>
        <w:tc>
          <w:tcPr>
            <w:tcW w:w="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32406B"/>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Net loss attributable to Tuya Inc.</w:t>
            </w:r>
          </w:p>
        </w:tc>
        <w:tc>
          <w:tcPr>
            <w:tcW w:w="10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32406B"/>
              </w:rPr>
              <w:t>(70,477)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(66.6)</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32406B"/>
              </w:rPr>
              <w:t>(66,912)</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32406B"/>
              </w:rPr>
              <w:t>(37.2)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32406B"/>
            </w:tcBorders>
          </w:tcPr>
          <w:p>
            <w:pPr>
              <w:spacing w:after="0"/>
              <w:rPr>
                <w:sz w:val="11"/>
                <w:szCs w:val="11"/>
                <w:color w:val="auto"/>
              </w:rPr>
            </w:pPr>
          </w:p>
        </w:tc>
        <w:tc>
          <w:tcPr>
            <w:tcW w:w="6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4"/>
                <w:szCs w:val="14"/>
                <w:color w:val="32406B"/>
              </w:rPr>
              <w:t>Note:  (1)</w:t>
            </w:r>
          </w:p>
        </w:tc>
        <w:tc>
          <w:tcPr>
            <w:tcW w:w="6480" w:type="dxa"/>
            <w:vAlign w:val="bottom"/>
          </w:tcPr>
          <w:p>
            <w:pPr>
              <w:ind w:left="80"/>
              <w:spacing w:after="0"/>
              <w:rPr>
                <w:sz w:val="20"/>
                <w:szCs w:val="20"/>
                <w:color w:val="auto"/>
              </w:rPr>
            </w:pPr>
            <w:r>
              <w:rPr>
                <w:rFonts w:ascii="Arial" w:cs="Arial" w:eastAsia="Arial" w:hAnsi="Arial"/>
                <w:sz w:val="14"/>
                <w:szCs w:val="14"/>
                <w:color w:val="32406B"/>
              </w:rPr>
              <w:t>Includes share-based compensation expense as follows: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32406B"/>
              </w:rPr>
              <w:t>For the Year</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7"/>
          </w:tcPr>
          <w:p>
            <w:pPr>
              <w:ind w:left="260"/>
              <w:spacing w:after="0" w:line="149" w:lineRule="exact"/>
              <w:rPr>
                <w:sz w:val="20"/>
                <w:szCs w:val="20"/>
                <w:color w:val="auto"/>
              </w:rPr>
            </w:pPr>
            <w:r>
              <w:rPr>
                <w:rFonts w:ascii="Arial" w:cs="Arial" w:eastAsia="Arial" w:hAnsi="Arial"/>
                <w:sz w:val="14"/>
                <w:szCs w:val="14"/>
                <w:b w:val="1"/>
                <w:bCs w:val="1"/>
                <w:color w:val="32406B"/>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7"/>
          </w:tcPr>
          <w:p>
            <w:pPr>
              <w:ind w:left="40"/>
              <w:spacing w:after="0"/>
              <w:rPr>
                <w:sz w:val="20"/>
                <w:szCs w:val="20"/>
                <w:color w:val="auto"/>
              </w:rPr>
            </w:pPr>
            <w:r>
              <w:rPr>
                <w:rFonts w:ascii="Arial" w:cs="Arial" w:eastAsia="Arial" w:hAnsi="Arial"/>
                <w:sz w:val="14"/>
                <w:szCs w:val="14"/>
                <w:b w:val="1"/>
                <w:bCs w:val="1"/>
                <w:color w:val="32406B"/>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32406B"/>
              </w:rPr>
              <w:t>2019</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32406B"/>
              </w:rPr>
              <w:t>2020</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32406B"/>
              </w:rPr>
              <w:t>US$</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32406B"/>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32406B"/>
                <w:w w:val="93"/>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Research and development expenses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ind w:left="620"/>
              <w:spacing w:after="0" w:line="149" w:lineRule="exact"/>
              <w:rPr>
                <w:sz w:val="20"/>
                <w:szCs w:val="20"/>
                <w:color w:val="auto"/>
              </w:rPr>
            </w:pPr>
            <w:r>
              <w:rPr>
                <w:rFonts w:ascii="Arial" w:cs="Arial" w:eastAsia="Arial" w:hAnsi="Arial"/>
                <w:sz w:val="14"/>
                <w:szCs w:val="14"/>
                <w:color w:val="32406B"/>
              </w:rPr>
              <w:t>1,218</w:t>
            </w:r>
          </w:p>
        </w:tc>
        <w:tc>
          <w:tcPr>
            <w:tcW w:w="58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32406B"/>
              </w:rPr>
              <w:t>2,596</w:t>
            </w:r>
          </w:p>
        </w:tc>
        <w:tc>
          <w:tcPr>
            <w:tcW w:w="0" w:type="dxa"/>
            <w:vAlign w:val="bottom"/>
          </w:tcPr>
          <w:p>
            <w:pPr>
              <w:spacing w:after="0"/>
              <w:rPr>
                <w:sz w:val="1"/>
                <w:szCs w:val="1"/>
                <w:color w:val="auto"/>
              </w:rPr>
            </w:pPr>
          </w:p>
        </w:tc>
      </w:tr>
      <w:tr>
        <w:trPr>
          <w:trHeight w:val="149"/>
        </w:trPr>
        <w:tc>
          <w:tcPr>
            <w:tcW w:w="7700" w:type="dxa"/>
            <w:vAlign w:val="bottom"/>
            <w:gridSpan w:val="2"/>
          </w:tcPr>
          <w:p>
            <w:pPr>
              <w:spacing w:after="0" w:line="149" w:lineRule="exact"/>
              <w:rPr>
                <w:sz w:val="20"/>
                <w:szCs w:val="20"/>
                <w:color w:val="auto"/>
              </w:rPr>
            </w:pPr>
            <w:r>
              <w:rPr>
                <w:rFonts w:ascii="Arial" w:cs="Arial" w:eastAsia="Arial" w:hAnsi="Arial"/>
                <w:sz w:val="14"/>
                <w:szCs w:val="14"/>
                <w:color w:val="32406B"/>
              </w:rPr>
              <w:t>Sales and marketing expenses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ind w:left="620"/>
              <w:spacing w:after="0" w:line="149" w:lineRule="exact"/>
              <w:rPr>
                <w:sz w:val="20"/>
                <w:szCs w:val="20"/>
                <w:color w:val="auto"/>
              </w:rPr>
            </w:pPr>
            <w:r>
              <w:rPr>
                <w:rFonts w:ascii="Arial" w:cs="Arial" w:eastAsia="Arial" w:hAnsi="Arial"/>
                <w:sz w:val="14"/>
                <w:szCs w:val="14"/>
                <w:color w:val="32406B"/>
              </w:rPr>
              <w:t>1,109</w:t>
            </w:r>
          </w:p>
        </w:tc>
        <w:tc>
          <w:tcPr>
            <w:tcW w:w="580" w:type="dxa"/>
            <w:vAlign w:val="bottom"/>
            <w:gridSpan w:val="5"/>
          </w:tcPr>
          <w:p>
            <w:pPr>
              <w:ind w:left="200"/>
              <w:spacing w:after="0" w:line="149" w:lineRule="exact"/>
              <w:rPr>
                <w:sz w:val="20"/>
                <w:szCs w:val="20"/>
                <w:color w:val="auto"/>
              </w:rPr>
            </w:pPr>
            <w:r>
              <w:rPr>
                <w:rFonts w:ascii="Arial" w:cs="Arial" w:eastAsia="Arial" w:hAnsi="Arial"/>
                <w:sz w:val="14"/>
                <w:szCs w:val="14"/>
                <w:color w:val="32406B"/>
              </w:rPr>
              <w:t>1,529</w:t>
            </w:r>
          </w:p>
        </w:tc>
        <w:tc>
          <w:tcPr>
            <w:tcW w:w="0" w:type="dxa"/>
            <w:vAlign w:val="bottom"/>
          </w:tcPr>
          <w:p>
            <w:pPr>
              <w:spacing w:after="0"/>
              <w:rPr>
                <w:sz w:val="1"/>
                <w:szCs w:val="1"/>
                <w:color w:val="auto"/>
              </w:rPr>
            </w:pPr>
          </w:p>
        </w:tc>
      </w:tr>
      <w:tr>
        <w:trPr>
          <w:trHeight w:val="148"/>
        </w:trPr>
        <w:tc>
          <w:tcPr>
            <w:tcW w:w="7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General and administrative expenses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ind w:left="620"/>
              <w:spacing w:after="0" w:line="149" w:lineRule="exact"/>
              <w:rPr>
                <w:sz w:val="20"/>
                <w:szCs w:val="20"/>
                <w:color w:val="auto"/>
              </w:rPr>
            </w:pPr>
            <w:r>
              <w:rPr>
                <w:rFonts w:ascii="Arial" w:cs="Arial" w:eastAsia="Arial" w:hAnsi="Arial"/>
                <w:sz w:val="14"/>
                <w:szCs w:val="14"/>
                <w:color w:val="32406B"/>
              </w:rPr>
              <w:t>2,893</w:t>
            </w:r>
          </w:p>
        </w:tc>
        <w:tc>
          <w:tcPr>
            <w:tcW w:w="58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32406B"/>
              </w:rPr>
              <w:t>5,321</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20"/>
                <w:szCs w:val="20"/>
                <w:color w:val="auto"/>
              </w:rPr>
            </w:pPr>
            <w:r>
              <w:rPr>
                <w:rFonts w:ascii="Arial" w:cs="Arial" w:eastAsia="Arial" w:hAnsi="Arial"/>
                <w:sz w:val="14"/>
                <w:szCs w:val="14"/>
                <w:b w:val="1"/>
                <w:bCs w:val="1"/>
                <w:color w:val="32406B"/>
              </w:rPr>
              <w:t>Total</w:t>
            </w:r>
          </w:p>
        </w:tc>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32406B"/>
                <w:w w:val="91"/>
              </w:rPr>
              <w:t>5,220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32406B"/>
                <w:w w:val="85"/>
              </w:rPr>
              <w:t>9,446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32406B"/>
              </w:rPr>
              <w:t>2020 Compared to 2019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tcPr>
          <w:p>
            <w:pPr>
              <w:ind w:left="440"/>
              <w:spacing w:after="0"/>
              <w:rPr>
                <w:sz w:val="20"/>
                <w:szCs w:val="20"/>
                <w:color w:val="auto"/>
              </w:rPr>
            </w:pPr>
            <w:r>
              <w:rPr>
                <w:rFonts w:ascii="Arial" w:cs="Arial" w:eastAsia="Arial" w:hAnsi="Arial"/>
                <w:sz w:val="18"/>
                <w:szCs w:val="18"/>
                <w:b w:val="1"/>
                <w:bCs w:val="1"/>
                <w:i w:val="1"/>
                <w:iCs w:val="1"/>
                <w:color w:val="32406B"/>
                <w:w w:val="89"/>
              </w:rPr>
              <w:t>Revenues</w:t>
            </w: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2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32406B"/>
                <w:w w:val="93"/>
              </w:rPr>
              <w:t>For the Year Ended</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32406B"/>
              </w:rPr>
              <w:t>Change</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32406B"/>
                <w:w w:val="92"/>
              </w:rPr>
              <w:t>December 31,</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469"/>
              <w:spacing w:after="0" w:line="142" w:lineRule="exact"/>
              <w:rPr>
                <w:sz w:val="20"/>
                <w:szCs w:val="20"/>
                <w:color w:val="auto"/>
              </w:rPr>
            </w:pPr>
            <w:r>
              <w:rPr>
                <w:rFonts w:ascii="Arial" w:cs="Arial" w:eastAsia="Arial" w:hAnsi="Arial"/>
                <w:sz w:val="14"/>
                <w:szCs w:val="14"/>
                <w:b w:val="1"/>
                <w:bCs w:val="1"/>
                <w:color w:val="32406B"/>
              </w:rPr>
              <w:t>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32406B"/>
              </w:rPr>
              <w:t>US$</w:t>
            </w:r>
          </w:p>
        </w:tc>
        <w:tc>
          <w:tcPr>
            <w:tcW w:w="46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32406B"/>
              </w:rPr>
              <w:t>%</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11"/>
          </w:tcPr>
          <w:p>
            <w:pPr>
              <w:ind w:left="220"/>
              <w:spacing w:after="0" w:line="142" w:lineRule="exact"/>
              <w:rPr>
                <w:sz w:val="20"/>
                <w:szCs w:val="20"/>
                <w:color w:val="auto"/>
              </w:rPr>
            </w:pPr>
            <w:r>
              <w:rPr>
                <w:rFonts w:ascii="Arial" w:cs="Arial" w:eastAsia="Arial" w:hAnsi="Arial"/>
                <w:sz w:val="14"/>
                <w:szCs w:val="14"/>
                <w:b w:val="1"/>
                <w:bCs w:val="1"/>
                <w:color w:val="32406B"/>
              </w:rPr>
              <w:t>(US$ in thousands except for percentages)</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w w:val="94"/>
              </w:rPr>
              <w:t>Total revenues</w:t>
            </w:r>
          </w:p>
        </w:tc>
        <w:tc>
          <w:tcPr>
            <w:tcW w:w="6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32406B"/>
              </w:rPr>
              <w:t>105,789</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w w:val="95"/>
              </w:rPr>
              <w:t>179,874</w:t>
            </w:r>
          </w:p>
        </w:tc>
        <w:tc>
          <w:tcPr>
            <w:tcW w:w="9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32406B"/>
              </w:rPr>
              <w:t>74,085</w:t>
            </w:r>
          </w:p>
        </w:tc>
        <w:tc>
          <w:tcPr>
            <w:tcW w:w="40" w:type="dxa"/>
            <w:vAlign w:val="bottom"/>
            <w:shd w:val="clear" w:color="auto" w:fill="CCEEFF"/>
          </w:tcPr>
          <w:p>
            <w:pPr>
              <w:spacing w:after="0"/>
              <w:rPr>
                <w:sz w:val="18"/>
                <w:szCs w:val="18"/>
                <w:color w:val="auto"/>
              </w:rPr>
            </w:pPr>
          </w:p>
        </w:tc>
        <w:tc>
          <w:tcPr>
            <w:tcW w:w="5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32406B"/>
                <w:w w:val="91"/>
              </w:rPr>
              <w:t>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32406B"/>
        </w:rPr>
        <w:t>Our revenues increased by 70.0% from US$105.8 million for 2019 to US$179.9 million for 2020, primarily driven by increases in our revenue from IoT PaaS and SaaS and others, partially offset by a decrease in the revenue from smart device distribution.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102</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IoT PaaS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32406B"/>
        </w:rPr>
        <w:t>Our revenues generated from IoT PaaS increased by 98.6% from US$76.4 million for 2019 to US$151.7 million for 2020, mainly driven by an increase in our number of deployments by 93.8% from 60.1 million to 116.5 million which, in turn, was driven by (i) growth in the SKUs and categories of products supported by IoT PaaS; and (ii) increased sales to existing customers as their sale of smart devices continued to grow and to a lesser extent, acquisition of new customers. Of the increase in revenues generated from IoT PaaS, US$62.0 million was due to sales to existing customers and US$13.3 million was due to sales to new customers.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Smart device distribution</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32406B"/>
        </w:rPr>
        <w:t>Our revenues generated from smart device distribution decreased by 19.7% from US$27.5 million for 2019 to US$22.1 million for 2020, as we strategically decided to keep our smart device distribution services at a relatively small scale.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SaaS and others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32406B"/>
        </w:rPr>
        <w:t>Our revenues generated from SaaS and others increased by 214.2% from US$2.0 million for 2019 to US$6.1 million for 2020, primarily driven by an increase in revenues from the Industry SaaS business which started to grow and to a lesser extent, an increase in revenues from value-added services we offer to customers, particularly data analytics and app customization services. We launched our Industry SaaS business in March 2020, and its rapid growth since its inception was mainly driven by strong demand from business operators for sophisticated, brand-agnostic Industry SaaS offerings.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Cost of Revenue and Gross Margin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32406B"/>
                <w:w w:val="93"/>
              </w:rPr>
              <w:t>For the Year Ended</w:t>
            </w: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32406B"/>
              </w:rPr>
              <w:t>Change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60" w:type="dxa"/>
            <w:vAlign w:val="bottom"/>
          </w:tcPr>
          <w:p>
            <w:pPr>
              <w:spacing w:after="0"/>
              <w:rPr>
                <w:sz w:val="14"/>
                <w:szCs w:val="14"/>
                <w:color w:val="auto"/>
              </w:rPr>
            </w:pPr>
          </w:p>
        </w:tc>
        <w:tc>
          <w:tcPr>
            <w:tcW w:w="1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32406B"/>
                <w:w w:val="92"/>
              </w:rPr>
              <w:t>December 31,</w:t>
            </w: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32406B"/>
              </w:rPr>
              <w:t>2019</w:t>
            </w:r>
          </w:p>
        </w:tc>
        <w:tc>
          <w:tcPr>
            <w:tcW w:w="8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32406B"/>
              </w:rPr>
              <w:t>2020</w:t>
            </w:r>
          </w:p>
        </w:tc>
        <w:tc>
          <w:tcPr>
            <w:tcW w:w="38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32406B"/>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29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32406B"/>
              </w:rPr>
              <w:t>(US$ in thousands except for percentages)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Cost of Revenue</w:t>
            </w:r>
          </w:p>
        </w:tc>
        <w:tc>
          <w:tcPr>
            <w:tcW w:w="76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32406B"/>
                <w:w w:val="94"/>
              </w:rPr>
              <w:t>78,003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117,937</w:t>
            </w:r>
          </w:p>
        </w:tc>
        <w:tc>
          <w:tcPr>
            <w:tcW w:w="98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32406B"/>
                <w:w w:val="98"/>
              </w:rPr>
              <w:t>39,934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0"/>
              </w:rPr>
              <w:t>51.2%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32406B"/>
        </w:rPr>
        <w:t>Our cost of revenue increased by 51.2% from US$78.0 million for 2019 to US$117.9 million for 2020, primarily driven by an increase of US$42.8 million in the cost of revenue of IoT PaaS and to a lesser extent, an increase of US$1.0 million in the cost of revenue of SaaS and others, largely driven by growths in these businesses. The increase in our cost of revenue was partially offset by a decrease of US$3.9 million in the cost of revenue of smart device distribution.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Gross Margin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As a result of the foregoing, our gross profit increased by 122.9% from US$27.8 million for 2019 to US$61.9 million for 2020.</w:t>
      </w:r>
    </w:p>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32406B"/>
        </w:rPr>
        <w:t>Our overall gross margin increased from 26.3% for 2019 to 34.4% for 2020 due to an increase in the gross margin of IoT PaaS, while the gross margin of smart device distribution decreased from 16.0% to 13.0% and the gross margin of SaaS and others remained relatively stable during these periods. The gross margin of IoT PaaS increased from 28.7% for 2019 to 35.9% for 2020, primarily due to (i) our increased economies of scale and cost savings as our business continued to grow, and (ii) improved efficiency relating to IoT PaaS deployment achieved through effective R&amp;D. The gross margin of smart device distribution decreased by 3% due to normal fluctuations caused by different customer mix and variable timing and amount of customer purchases from period to period.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103</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Total Operating Expenses</w:t>
      </w:r>
    </w:p>
    <w:p>
      <w:pPr>
        <w:spacing w:after="0" w:line="117"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32406B"/>
        </w:rPr>
        <w:t>Our total operating expenses increased by 30.2% from US$101.2 million for 2019 to US$131.8 million for 2020, mainly attributable to the increased expenses in research and development, sales and marketing and general and administrative as discussed below.</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32406B"/>
                <w:w w:val="92"/>
              </w:rPr>
              <w:t>For the Year</w:t>
            </w:r>
          </w:p>
        </w:tc>
        <w:tc>
          <w:tcPr>
            <w:tcW w:w="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32406B"/>
              </w:rPr>
              <w:t>Change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32406B"/>
                <w:w w:val="92"/>
              </w:rPr>
              <w:t>Ended December 31,</w:t>
            </w:r>
          </w:p>
        </w:tc>
        <w:tc>
          <w:tcPr>
            <w:tcW w:w="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328"/>
              <w:spacing w:after="0" w:line="142" w:lineRule="exact"/>
              <w:rPr>
                <w:sz w:val="20"/>
                <w:szCs w:val="20"/>
                <w:color w:val="auto"/>
              </w:rPr>
            </w:pPr>
            <w:r>
              <w:rPr>
                <w:rFonts w:ascii="Arial" w:cs="Arial" w:eastAsia="Arial" w:hAnsi="Arial"/>
                <w:sz w:val="14"/>
                <w:szCs w:val="14"/>
                <w:b w:val="1"/>
                <w:bCs w:val="1"/>
                <w:color w:val="32406B"/>
              </w:rPr>
              <w:t>2019</w:t>
            </w:r>
          </w:p>
        </w:tc>
        <w:tc>
          <w:tcPr>
            <w:tcW w:w="6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32406B"/>
              </w:rPr>
              <w:t>2020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32406B"/>
              </w:rPr>
              <w:t>US$</w:t>
            </w:r>
          </w:p>
        </w:tc>
        <w:tc>
          <w:tcPr>
            <w:tcW w:w="3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920" w:type="dxa"/>
            <w:vAlign w:val="bottom"/>
            <w:gridSpan w:val="8"/>
          </w:tcPr>
          <w:p>
            <w:pPr>
              <w:jc w:val="right"/>
              <w:ind w:right="79"/>
              <w:spacing w:after="0" w:line="142" w:lineRule="exact"/>
              <w:rPr>
                <w:sz w:val="20"/>
                <w:szCs w:val="20"/>
                <w:color w:val="auto"/>
              </w:rPr>
            </w:pPr>
            <w:r>
              <w:rPr>
                <w:rFonts w:ascii="Arial" w:cs="Arial" w:eastAsia="Arial" w:hAnsi="Arial"/>
                <w:sz w:val="14"/>
                <w:szCs w:val="14"/>
                <w:b w:val="1"/>
                <w:bCs w:val="1"/>
                <w:color w:val="32406B"/>
                <w:w w:val="96"/>
              </w:rPr>
              <w:t>(US$ in thousands except for percentages)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operating expenses</w:t>
            </w:r>
          </w:p>
        </w:tc>
        <w:tc>
          <w:tcPr>
            <w:tcW w:w="9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32406B"/>
              </w:rPr>
              <w:t>101,226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98"/>
              </w:rPr>
              <w:t>131,783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30,557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1"/>
              </w:rPr>
              <w:t>30.2</w:t>
            </w:r>
          </w:p>
        </w:tc>
        <w:tc>
          <w:tcPr>
            <w:tcW w:w="0" w:type="dxa"/>
            <w:vAlign w:val="bottom"/>
          </w:tcPr>
          <w:p>
            <w:pPr>
              <w:spacing w:after="0"/>
              <w:rPr>
                <w:sz w:val="1"/>
                <w:szCs w:val="1"/>
                <w:color w:val="auto"/>
              </w:rPr>
            </w:pPr>
          </w:p>
        </w:tc>
      </w:tr>
      <w:tr>
        <w:trPr>
          <w:trHeight w:val="540"/>
        </w:trPr>
        <w:tc>
          <w:tcPr>
            <w:tcW w:w="8020" w:type="dxa"/>
            <w:vAlign w:val="bottom"/>
          </w:tcPr>
          <w:p>
            <w:pPr>
              <w:ind w:left="440"/>
              <w:spacing w:after="0"/>
              <w:rPr>
                <w:sz w:val="20"/>
                <w:szCs w:val="20"/>
                <w:color w:val="auto"/>
              </w:rPr>
            </w:pPr>
            <w:r>
              <w:rPr>
                <w:rFonts w:ascii="Arial" w:cs="Arial" w:eastAsia="Arial" w:hAnsi="Arial"/>
                <w:sz w:val="18"/>
                <w:szCs w:val="18"/>
                <w:i w:val="1"/>
                <w:iCs w:val="1"/>
                <w:color w:val="32406B"/>
              </w:rPr>
              <w:t>Research and development expenses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32406B"/>
                <w:w w:val="92"/>
              </w:rPr>
              <w:t>For the Year</w:t>
            </w:r>
          </w:p>
        </w:tc>
        <w:tc>
          <w:tcPr>
            <w:tcW w:w="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32406B"/>
              </w:rPr>
              <w:t>Change</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32406B"/>
                <w:w w:val="92"/>
              </w:rPr>
              <w:t>Ended December 31,</w:t>
            </w:r>
          </w:p>
        </w:tc>
        <w:tc>
          <w:tcPr>
            <w:tcW w:w="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32406B"/>
              </w:rPr>
              <w:t>2019</w:t>
            </w:r>
          </w:p>
        </w:tc>
        <w:tc>
          <w:tcPr>
            <w:tcW w:w="6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rPr>
              <w:t>2020</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32406B"/>
              </w:rPr>
              <w:t>US$</w:t>
            </w:r>
          </w:p>
        </w:tc>
        <w:tc>
          <w:tcPr>
            <w:tcW w:w="3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gridSpan w:val="7"/>
          </w:tcPr>
          <w:p>
            <w:pPr>
              <w:ind w:left="60"/>
              <w:spacing w:after="0" w:line="142" w:lineRule="exact"/>
              <w:rPr>
                <w:sz w:val="20"/>
                <w:szCs w:val="20"/>
                <w:color w:val="auto"/>
              </w:rPr>
            </w:pPr>
            <w:r>
              <w:rPr>
                <w:rFonts w:ascii="Arial" w:cs="Arial" w:eastAsia="Arial" w:hAnsi="Arial"/>
                <w:sz w:val="14"/>
                <w:szCs w:val="14"/>
                <w:b w:val="1"/>
                <w:bCs w:val="1"/>
                <w:color w:val="32406B"/>
                <w:w w:val="92"/>
              </w:rPr>
              <w:t>(US$ in thousands except for percentages)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Research and development expenses</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32406B"/>
              </w:rPr>
              <w:t>52,003</w:t>
            </w:r>
          </w:p>
        </w:tc>
        <w:tc>
          <w:tcPr>
            <w:tcW w:w="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32406B"/>
              </w:rPr>
              <w:t>77,430</w:t>
            </w:r>
          </w:p>
        </w:tc>
        <w:tc>
          <w:tcPr>
            <w:tcW w:w="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25,427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1"/>
              </w:rPr>
              <w:t>48.9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32406B"/>
        </w:rPr>
        <w:t>Our research and development expenses increased by 48.9% from US$52.0 million for 2019 to US$77.4 million for 2020. The increase was mainly attributable to an increase of US$22.8 million in employee-related costs which, in turn, was driven by an increase in the number of our research and development employees and an increase in their compensation levels, as we continued to intensify our research and development efforts. As of December 31, 2019 and 2020, we had 1,009 and 1,637 research and development employees, respectively.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Sales and marketing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2406B"/>
                <w:w w:val="92"/>
              </w:rPr>
              <w:t>For the Year</w:t>
            </w:r>
          </w:p>
        </w:tc>
        <w:tc>
          <w:tcPr>
            <w:tcW w:w="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32406B"/>
              </w:rPr>
              <w:t>Change</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2406B"/>
                <w:w w:val="92"/>
              </w:rPr>
              <w:t>Ended December 31,</w:t>
            </w: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32406B"/>
              </w:rPr>
              <w:t>2019</w:t>
            </w:r>
          </w:p>
        </w:tc>
        <w:tc>
          <w:tcPr>
            <w:tcW w:w="6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32406B"/>
              </w:rPr>
              <w:t>2020</w:t>
            </w:r>
          </w:p>
        </w:tc>
        <w:tc>
          <w:tcPr>
            <w:tcW w:w="1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32406B"/>
              </w:rPr>
              <w:t>US$</w:t>
            </w: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680" w:type="dxa"/>
            <w:vAlign w:val="bottom"/>
          </w:tcPr>
          <w:p>
            <w:pPr>
              <w:spacing w:after="0"/>
              <w:rPr>
                <w:sz w:val="10"/>
                <w:szCs w:val="10"/>
                <w:color w:val="auto"/>
              </w:rPr>
            </w:pPr>
          </w:p>
        </w:tc>
        <w:tc>
          <w:tcPr>
            <w:tcW w:w="2040" w:type="dxa"/>
            <w:vAlign w:val="bottom"/>
            <w:gridSpan w:val="4"/>
          </w:tcPr>
          <w:p>
            <w:pPr>
              <w:jc w:val="center"/>
              <w:ind w:left="165"/>
              <w:spacing w:after="0" w:line="119" w:lineRule="exact"/>
              <w:rPr>
                <w:sz w:val="20"/>
                <w:szCs w:val="20"/>
                <w:color w:val="auto"/>
              </w:rPr>
            </w:pPr>
            <w:r>
              <w:rPr>
                <w:rFonts w:ascii="Arial" w:cs="Arial" w:eastAsia="Arial" w:hAnsi="Arial"/>
                <w:sz w:val="13"/>
                <w:szCs w:val="13"/>
                <w:b w:val="1"/>
                <w:bCs w:val="1"/>
                <w:color w:val="32406B"/>
                <w:w w:val="97"/>
              </w:rPr>
              <w:t>(US$ in thousands except for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3"/>
          </w:tcPr>
          <w:p>
            <w:pPr>
              <w:jc w:val="center"/>
              <w:ind w:right="342"/>
              <w:spacing w:after="0"/>
              <w:rPr>
                <w:sz w:val="20"/>
                <w:szCs w:val="20"/>
                <w:color w:val="auto"/>
              </w:rPr>
            </w:pPr>
            <w:r>
              <w:rPr>
                <w:rFonts w:ascii="Arial" w:cs="Arial" w:eastAsia="Arial" w:hAnsi="Arial"/>
                <w:sz w:val="14"/>
                <w:szCs w:val="14"/>
                <w:b w:val="1"/>
                <w:bCs w:val="1"/>
                <w:color w:val="32406B"/>
                <w:w w:val="87"/>
              </w:rPr>
              <w:t>percentages)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Sales and marketing expenses</w:t>
            </w:r>
          </w:p>
        </w:tc>
        <w:tc>
          <w:tcPr>
            <w:tcW w:w="6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32406B"/>
                <w:w w:val="98"/>
              </w:rPr>
              <w:t>37,017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37,556</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32406B"/>
              </w:rPr>
              <w:t>539</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32406B"/>
        </w:rPr>
        <w:t>Our sales and marketing expenses increased by 1.5% from US$37.0 million for 2019 to US$37.6 million for 2020. The increase was mainly attributable to an increase of US$5.7 million in employee-related costs, partially offset by a decrease of US$4.1 million in marketing spending as a result of the slowdown in our marketing efforts through in-person conferences and events due to COVID-19.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General and administrative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20" w:type="dxa"/>
            <w:vAlign w:val="bottom"/>
            <w:gridSpan w:val="3"/>
          </w:tcPr>
          <w:p>
            <w:pPr>
              <w:ind w:left="300"/>
              <w:spacing w:after="0"/>
              <w:rPr>
                <w:sz w:val="20"/>
                <w:szCs w:val="20"/>
                <w:color w:val="auto"/>
              </w:rPr>
            </w:pPr>
            <w:r>
              <w:rPr>
                <w:rFonts w:ascii="Arial" w:cs="Arial" w:eastAsia="Arial" w:hAnsi="Arial"/>
                <w:sz w:val="14"/>
                <w:szCs w:val="14"/>
                <w:b w:val="1"/>
                <w:bCs w:val="1"/>
                <w:color w:val="32406B"/>
              </w:rPr>
              <w:t>For the Year</w:t>
            </w:r>
          </w:p>
        </w:tc>
        <w:tc>
          <w:tcPr>
            <w:tcW w:w="11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32406B"/>
              </w:rPr>
              <w:t>Change</w:t>
            </w:r>
          </w:p>
        </w:tc>
        <w:tc>
          <w:tcPr>
            <w:tcW w:w="0" w:type="dxa"/>
            <w:vAlign w:val="bottom"/>
          </w:tcPr>
          <w:p>
            <w:pPr>
              <w:spacing w:after="0"/>
              <w:rPr>
                <w:sz w:val="1"/>
                <w:szCs w:val="1"/>
                <w:color w:val="auto"/>
              </w:rPr>
            </w:pPr>
          </w:p>
        </w:tc>
      </w:tr>
      <w:tr>
        <w:trPr>
          <w:trHeight w:val="171"/>
        </w:trPr>
        <w:tc>
          <w:tcPr>
            <w:tcW w:w="834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32406B"/>
              </w:rPr>
              <w:t>Ended December 31,</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32406B"/>
              </w:rPr>
              <w:t>2019</w:t>
            </w:r>
          </w:p>
        </w:tc>
        <w:tc>
          <w:tcPr>
            <w:tcW w:w="6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32406B"/>
              </w:rPr>
              <w:t>2020</w:t>
            </w:r>
          </w:p>
        </w:tc>
        <w:tc>
          <w:tcPr>
            <w:tcW w:w="16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32406B"/>
              </w:rPr>
              <w:t>US$</w:t>
            </w: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26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32406B"/>
                <w:w w:val="90"/>
              </w:rPr>
              <w:t>(US$ in thousands except for percentages)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General and administrative expenses</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32406B"/>
              </w:rPr>
              <w:t>12,196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17,868</w:t>
            </w: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32406B"/>
              </w:rPr>
              <w:t>5,672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32406B"/>
        </w:rPr>
        <w:t>Our general and administrative expenses increased by 46.5% from US$12.2 million for 2019 to US$17.9 million for 2020, mainly attributable to a US$4.0 million increase in employee-related costs, including a US$2.4 million increase in share-based compensation. This, in turn, was due to an increase in the number of our general and administrative employees. We had 83 and 115 general and administrative employees, respectively, as of December 31, 2019 and 2020.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104</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Other operating (expenses)/incomes,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32406B"/>
              </w:rPr>
              <w:t>For the Year Ended</w:t>
            </w:r>
          </w:p>
        </w:tc>
        <w:tc>
          <w:tcPr>
            <w:tcW w:w="480" w:type="dxa"/>
            <w:vAlign w:val="bottom"/>
          </w:tcPr>
          <w:p>
            <w:pPr>
              <w:spacing w:after="0"/>
              <w:rPr>
                <w:sz w:val="14"/>
                <w:szCs w:val="14"/>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32406B"/>
                <w:w w:val="89"/>
              </w:rPr>
              <w:t>Change</w:t>
            </w: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1620" w:type="dxa"/>
            <w:vAlign w:val="bottom"/>
            <w:gridSpan w:val="3"/>
          </w:tcPr>
          <w:p>
            <w:pPr>
              <w:ind w:left="240"/>
              <w:spacing w:after="0"/>
              <w:rPr>
                <w:sz w:val="20"/>
                <w:szCs w:val="20"/>
                <w:color w:val="auto"/>
              </w:rPr>
            </w:pPr>
            <w:r>
              <w:rPr>
                <w:rFonts w:ascii="Arial" w:cs="Arial" w:eastAsia="Arial" w:hAnsi="Arial"/>
                <w:sz w:val="14"/>
                <w:szCs w:val="14"/>
                <w:b w:val="1"/>
                <w:bCs w:val="1"/>
                <w:color w:val="32406B"/>
              </w:rPr>
              <w:t>December 31,</w:t>
            </w:r>
          </w:p>
        </w:tc>
        <w:tc>
          <w:tcPr>
            <w:tcW w:w="4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32406B"/>
                <w:w w:val="96"/>
              </w:rPr>
              <w:t>2019</w:t>
            </w:r>
          </w:p>
        </w:tc>
        <w:tc>
          <w:tcPr>
            <w:tcW w:w="6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32406B"/>
              </w:rPr>
              <w:t>2020</w:t>
            </w:r>
          </w:p>
        </w:tc>
        <w:tc>
          <w:tcPr>
            <w:tcW w:w="28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rPr>
              <w:t>US$</w:t>
            </w:r>
          </w:p>
        </w:tc>
        <w:tc>
          <w:tcPr>
            <w:tcW w:w="100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32406B"/>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3100" w:type="dxa"/>
            <w:vAlign w:val="bottom"/>
            <w:gridSpan w:val="5"/>
          </w:tcPr>
          <w:p>
            <w:pPr>
              <w:ind w:left="260"/>
              <w:spacing w:after="0" w:line="142" w:lineRule="exact"/>
              <w:rPr>
                <w:sz w:val="20"/>
                <w:szCs w:val="20"/>
                <w:color w:val="auto"/>
              </w:rPr>
            </w:pPr>
            <w:r>
              <w:rPr>
                <w:rFonts w:ascii="Arial" w:cs="Arial" w:eastAsia="Arial" w:hAnsi="Arial"/>
                <w:sz w:val="14"/>
                <w:szCs w:val="14"/>
                <w:b w:val="1"/>
                <w:bCs w:val="1"/>
                <w:color w:val="32406B"/>
                <w:w w:val="99"/>
              </w:rPr>
              <w:t>(US$ in thousands except for percentages)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operating (expenses)/incomes, net</w:t>
            </w:r>
          </w:p>
        </w:tc>
        <w:tc>
          <w:tcPr>
            <w:tcW w:w="66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32406B"/>
              </w:rPr>
              <w:t>(10)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1,071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1,081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(10,810.0)%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32406B"/>
        </w:rPr>
        <w:t>Our other operating (expenses)/incomes, net changed from other operating expenses, net of US$10.0 thousand for 2019 to other operating incomes, net of US$1.1 million for 2020, which was mainly attributable to incentive subsidies granted by the PRC government to IoT companies in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Other Income/(Loss)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60" w:type="dxa"/>
            <w:vAlign w:val="bottom"/>
            <w:gridSpan w:val="3"/>
          </w:tcPr>
          <w:p>
            <w:pPr>
              <w:ind w:left="240"/>
              <w:spacing w:after="0"/>
              <w:rPr>
                <w:sz w:val="20"/>
                <w:szCs w:val="20"/>
                <w:color w:val="auto"/>
              </w:rPr>
            </w:pPr>
            <w:r>
              <w:rPr>
                <w:rFonts w:ascii="Arial" w:cs="Arial" w:eastAsia="Arial" w:hAnsi="Arial"/>
                <w:sz w:val="14"/>
                <w:szCs w:val="14"/>
                <w:b w:val="1"/>
                <w:bCs w:val="1"/>
                <w:color w:val="32406B"/>
              </w:rPr>
              <w:t>For the Year Ended</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32406B"/>
              </w:rPr>
              <w:t>Change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2060" w:type="dxa"/>
            <w:vAlign w:val="bottom"/>
            <w:gridSpan w:val="3"/>
          </w:tcPr>
          <w:p>
            <w:pPr>
              <w:ind w:left="420"/>
              <w:spacing w:after="0"/>
              <w:rPr>
                <w:sz w:val="20"/>
                <w:szCs w:val="20"/>
                <w:color w:val="auto"/>
              </w:rPr>
            </w:pPr>
            <w:r>
              <w:rPr>
                <w:rFonts w:ascii="Arial" w:cs="Arial" w:eastAsia="Arial" w:hAnsi="Arial"/>
                <w:sz w:val="14"/>
                <w:szCs w:val="14"/>
                <w:b w:val="1"/>
                <w:bCs w:val="1"/>
                <w:color w:val="32406B"/>
              </w:rPr>
              <w:t>December 31,</w:t>
            </w: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84"/>
              <w:spacing w:after="0" w:line="142" w:lineRule="exact"/>
              <w:rPr>
                <w:sz w:val="20"/>
                <w:szCs w:val="20"/>
                <w:color w:val="auto"/>
              </w:rPr>
            </w:pPr>
            <w:r>
              <w:rPr>
                <w:rFonts w:ascii="Arial" w:cs="Arial" w:eastAsia="Arial" w:hAnsi="Arial"/>
                <w:sz w:val="14"/>
                <w:szCs w:val="14"/>
                <w:b w:val="1"/>
                <w:bCs w:val="1"/>
                <w:color w:val="32406B"/>
              </w:rPr>
              <w:t>2019</w:t>
            </w:r>
          </w:p>
        </w:tc>
        <w:tc>
          <w:tcPr>
            <w:tcW w:w="7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32406B"/>
              </w:rPr>
              <w:t>2020</w:t>
            </w:r>
          </w:p>
        </w:tc>
        <w:tc>
          <w:tcPr>
            <w:tcW w:w="36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32406B"/>
              </w:rPr>
              <w:t>US$</w:t>
            </w:r>
          </w:p>
        </w:tc>
        <w:tc>
          <w:tcPr>
            <w:tcW w:w="2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32406B"/>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2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32406B"/>
                <w:w w:val="99"/>
              </w:rPr>
              <w:t>(US$ in thousands except for percentages)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income/(loss)</w:t>
            </w: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32406B"/>
              </w:rPr>
              <w:t>3,087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3,140</w:t>
            </w:r>
          </w:p>
        </w:tc>
        <w:tc>
          <w:tcPr>
            <w:tcW w:w="82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32406B"/>
              </w:rPr>
              <w:t>53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7"/>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32406B"/>
        </w:rPr>
        <w:t>We generated other income of US$3.09 million and US$3.14 million, respectively, for 2019 and 2020. The increase in other income was mainly due to decreased foreign exchange loss, net in the amount of US$0.16 million and decreased financial income, net in the amount of US$0.11 million.</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Income Tax Expense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32406B"/>
              </w:rPr>
              <w:t>For the Year Ended</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32406B"/>
              </w:rPr>
              <w:t>Change</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32406B"/>
              </w:rPr>
              <w:t>December 31,</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32406B"/>
              </w:rPr>
              <w:t>2019</w:t>
            </w: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32406B"/>
                <w:w w:val="95"/>
              </w:rPr>
              <w:t>US$</w:t>
            </w:r>
          </w:p>
        </w:tc>
        <w:tc>
          <w:tcPr>
            <w:tcW w:w="3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32406B"/>
              </w:rPr>
              <w:t>%</w:t>
            </w: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32406B"/>
                <w:w w:val="90"/>
              </w:rPr>
              <w:t>(US$ in thousands except for percentages)</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Income tax expense</w:t>
            </w:r>
          </w:p>
        </w:tc>
        <w:tc>
          <w:tcPr>
            <w:tcW w:w="10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32406B"/>
              </w:rPr>
              <w:t>124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32406B"/>
              </w:rPr>
              <w:t>82</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7"/>
              </w:rPr>
              <w:t>66.1%</w:t>
            </w:r>
          </w:p>
        </w:tc>
        <w:tc>
          <w:tcPr>
            <w:tcW w:w="0" w:type="dxa"/>
            <w:vAlign w:val="bottom"/>
          </w:tcPr>
          <w:p>
            <w:pPr>
              <w:spacing w:after="0"/>
              <w:rPr>
                <w:sz w:val="1"/>
                <w:szCs w:val="1"/>
                <w:color w:val="auto"/>
              </w:rPr>
            </w:pPr>
          </w:p>
        </w:tc>
      </w:tr>
      <w:tr>
        <w:trPr>
          <w:trHeight w:val="432"/>
        </w:trPr>
        <w:tc>
          <w:tcPr>
            <w:tcW w:w="7440" w:type="dxa"/>
            <w:vAlign w:val="bottom"/>
          </w:tcPr>
          <w:p>
            <w:pPr>
              <w:ind w:left="440"/>
              <w:spacing w:after="0"/>
              <w:rPr>
                <w:sz w:val="20"/>
                <w:szCs w:val="20"/>
                <w:color w:val="auto"/>
              </w:rPr>
            </w:pPr>
            <w:r>
              <w:rPr>
                <w:rFonts w:ascii="Arial" w:cs="Arial" w:eastAsia="Arial" w:hAnsi="Arial"/>
                <w:sz w:val="18"/>
                <w:szCs w:val="18"/>
                <w:color w:val="32406B"/>
              </w:rPr>
              <w:t>We had an income tax expense of US$0.1 million for 2019 and US$0.2 million for 2020.</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440" w:type="dxa"/>
            <w:vAlign w:val="bottom"/>
          </w:tcPr>
          <w:p>
            <w:pPr>
              <w:ind w:left="440"/>
              <w:spacing w:after="0"/>
              <w:rPr>
                <w:sz w:val="20"/>
                <w:szCs w:val="20"/>
                <w:color w:val="auto"/>
              </w:rPr>
            </w:pPr>
            <w:r>
              <w:rPr>
                <w:rFonts w:ascii="Arial" w:cs="Arial" w:eastAsia="Arial" w:hAnsi="Arial"/>
                <w:sz w:val="18"/>
                <w:szCs w:val="18"/>
                <w:b w:val="1"/>
                <w:bCs w:val="1"/>
                <w:i w:val="1"/>
                <w:iCs w:val="1"/>
                <w:color w:val="32406B"/>
              </w:rPr>
              <w:t>Net Loss for the Period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32406B"/>
                <w:w w:val="95"/>
              </w:rPr>
              <w:t>For the Year Ended</w:t>
            </w:r>
          </w:p>
        </w:tc>
        <w:tc>
          <w:tcPr>
            <w:tcW w:w="80" w:type="dxa"/>
            <w:vAlign w:val="bottom"/>
          </w:tcPr>
          <w:p>
            <w:pPr>
              <w:spacing w:after="0"/>
              <w:rPr>
                <w:sz w:val="24"/>
                <w:szCs w:val="2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32406B"/>
              </w:rPr>
              <w:t>Change</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32406B"/>
                <w:w w:val="92"/>
              </w:rPr>
              <w:t>December 31,</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32406B"/>
              </w:rPr>
              <w:t>2019</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32406B"/>
              </w:rPr>
              <w:t>US$</w:t>
            </w:r>
          </w:p>
        </w:tc>
        <w:tc>
          <w:tcPr>
            <w:tcW w:w="3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80" w:type="dxa"/>
            <w:vAlign w:val="bottom"/>
            <w:gridSpan w:val="7"/>
          </w:tcPr>
          <w:p>
            <w:pPr>
              <w:jc w:val="right"/>
              <w:ind w:right="139"/>
              <w:spacing w:after="0" w:line="142" w:lineRule="exact"/>
              <w:rPr>
                <w:sz w:val="20"/>
                <w:szCs w:val="20"/>
                <w:color w:val="auto"/>
              </w:rPr>
            </w:pPr>
            <w:r>
              <w:rPr>
                <w:rFonts w:ascii="Arial" w:cs="Arial" w:eastAsia="Arial" w:hAnsi="Arial"/>
                <w:sz w:val="14"/>
                <w:szCs w:val="14"/>
                <w:b w:val="1"/>
                <w:bCs w:val="1"/>
                <w:color w:val="32406B"/>
                <w:w w:val="96"/>
              </w:rPr>
              <w:t>(US$ in thousands except for percentages)</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for the period</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rPr>
              <w:t>70,477</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32406B"/>
              </w:rPr>
              <w:t>66,912</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32406B"/>
              </w:rPr>
              <w:t>(3,565)</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4"/>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As a result of the foregoing, we recorded net loss of US$70.5 million and US$66.9 million, respectively, for 2019 and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Non-GAAP Financial Measure</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32406B"/>
        </w:rPr>
        <w:t>We use adjusted loss for the year,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105</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32406B"/>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32406B"/>
        </w:rPr>
        <w:t>Adjusted loss for the year represents net loss for the year excluding share-based compensation expenses, which we do not consider to be indicative of our core operating performance. The table below sets forth a reconciliation of our net loss for the year to adjusted loss for the year for the years indicated.</w:t>
      </w:r>
    </w:p>
    <w:p>
      <w:pPr>
        <w:spacing w:after="0" w:line="20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32406B"/>
        </w:rPr>
        <w:t>For the Year Ended</w:t>
      </w:r>
    </w:p>
    <w:p>
      <w:pPr>
        <w:jc w:val="center"/>
        <w:ind w:left="922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120" w:type="dxa"/>
        <w:tblCellMar>
          <w:top w:w="0" w:type="dxa"/>
          <w:left w:w="0" w:type="dxa"/>
          <w:bottom w:w="0" w:type="dxa"/>
          <w:right w:w="0" w:type="dxa"/>
        </w:tblCellMar>
      </w:tblPr>
      <w:tr>
        <w:trPr>
          <w:trHeight w:val="142"/>
        </w:trPr>
        <w:tc>
          <w:tcPr>
            <w:tcW w:w="40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32406B"/>
              </w:rPr>
              <w:t>2019</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4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32406B"/>
              </w:rPr>
              <w:t>US$</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40" w:type="dxa"/>
            <w:vAlign w:val="bottom"/>
            <w:gridSpan w:val="3"/>
          </w:tcPr>
          <w:p>
            <w:pPr>
              <w:jc w:val="right"/>
              <w:ind w:right="257"/>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32406B"/>
              </w:rPr>
              <w:t>Net loss for the year</w:t>
            </w:r>
          </w:p>
        </w:tc>
        <w:tc>
          <w:tcPr>
            <w:tcW w:w="6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2406B"/>
              </w:rPr>
              <w:t>(70,477)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(66,912)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32406B"/>
              </w:rPr>
              <w:t>Adjustment:</w:t>
            </w:r>
          </w:p>
        </w:tc>
        <w:tc>
          <w:tcPr>
            <w:tcW w:w="5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32406B"/>
              </w:rPr>
              <w:t>Share-based compensation expenses</w:t>
            </w:r>
          </w:p>
        </w:tc>
        <w:tc>
          <w:tcPr>
            <w:tcW w:w="6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32406B"/>
              </w:rPr>
              <w:t>5,220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9,446</w:t>
            </w:r>
          </w:p>
        </w:tc>
      </w:tr>
      <w:tr>
        <w:trPr>
          <w:trHeight w:val="228"/>
        </w:trPr>
        <w:tc>
          <w:tcPr>
            <w:tcW w:w="4000" w:type="dxa"/>
            <w:vAlign w:val="bottom"/>
          </w:tcPr>
          <w:p>
            <w:pPr>
              <w:spacing w:after="0"/>
              <w:rPr>
                <w:sz w:val="20"/>
                <w:szCs w:val="20"/>
                <w:color w:val="auto"/>
              </w:rPr>
            </w:pPr>
            <w:r>
              <w:rPr>
                <w:rFonts w:ascii="Arial" w:cs="Arial" w:eastAsia="Arial" w:hAnsi="Arial"/>
                <w:sz w:val="18"/>
                <w:szCs w:val="18"/>
                <w:b w:val="1"/>
                <w:bCs w:val="1"/>
                <w:color w:val="32406B"/>
              </w:rPr>
              <w:t>Adjusted loss for the year</w:t>
            </w:r>
          </w:p>
        </w:tc>
        <w:tc>
          <w:tcPr>
            <w:tcW w:w="53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w w:val="92"/>
              </w:rPr>
              <w:t>(65,257)</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32406B"/>
                <w:w w:val="98"/>
              </w:rPr>
              <w:t>(57,466)</w:t>
            </w:r>
          </w:p>
        </w:tc>
        <w:tc>
          <w:tcPr>
            <w:tcW w:w="120" w:type="dxa"/>
            <w:vAlign w:val="bottom"/>
          </w:tcPr>
          <w:p>
            <w:pPr>
              <w:spacing w:after="0"/>
              <w:rPr>
                <w:sz w:val="19"/>
                <w:szCs w:val="19"/>
                <w:color w:val="auto"/>
              </w:rPr>
            </w:pPr>
          </w:p>
        </w:tc>
      </w:tr>
      <w:tr>
        <w:trPr>
          <w:trHeight w:val="360"/>
        </w:trPr>
        <w:tc>
          <w:tcPr>
            <w:tcW w:w="4000" w:type="dxa"/>
            <w:vAlign w:val="bottom"/>
          </w:tcPr>
          <w:p>
            <w:pPr>
              <w:spacing w:after="0"/>
              <w:rPr>
                <w:sz w:val="24"/>
                <w:szCs w:val="24"/>
                <w:color w:val="auto"/>
              </w:rPr>
            </w:pPr>
          </w:p>
        </w:tc>
        <w:tc>
          <w:tcPr>
            <w:tcW w:w="5360" w:type="dxa"/>
            <w:vAlign w:val="bottom"/>
          </w:tcPr>
          <w:p>
            <w:pPr>
              <w:jc w:val="right"/>
              <w:ind w:right="3630"/>
              <w:spacing w:after="0"/>
              <w:rPr>
                <w:sz w:val="20"/>
                <w:szCs w:val="20"/>
                <w:color w:val="auto"/>
              </w:rPr>
            </w:pPr>
            <w:r>
              <w:rPr>
                <w:rFonts w:ascii="Arial" w:cs="Arial" w:eastAsia="Arial" w:hAnsi="Arial"/>
                <w:sz w:val="18"/>
                <w:szCs w:val="18"/>
                <w:color w:val="32406B"/>
              </w:rPr>
              <w:t>106</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Selected Quarterly Results of Operations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32406B"/>
        </w:rPr>
        <w:t>The following table sets forth our unaudited consolidated quarterly results of operations for the periods indicated. You should read the following table in conjunction with our consolidated financial statements and related notes included elsewhere in this prospectus. We have prepared the unaudited consolidated quarterly financial information on the same basis as our audited consolidated financial statements. The unaudited consolidated quarterly financial information includes all adjustments, consisting only of normal and recurring adjustments, that we consider necessary for a fair statement of our operating results for the quarters presented. Historical results are not necessarily indicative of the results that may be expected for the full fiscal year or any other period.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32406B"/>
                <w:w w:val="96"/>
              </w:rPr>
              <w:t>For the Three Months Ended</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9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32406B"/>
              </w:rPr>
              <w:t>March 31,</w:t>
            </w:r>
          </w:p>
        </w:tc>
        <w:tc>
          <w:tcPr>
            <w:tcW w:w="8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32406B"/>
                <w:w w:val="96"/>
              </w:rPr>
              <w:t>June 30,</w:t>
            </w:r>
          </w:p>
        </w:tc>
        <w:tc>
          <w:tcPr>
            <w:tcW w:w="11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32406B"/>
                <w:w w:val="94"/>
              </w:rPr>
              <w:t>September 30,</w:t>
            </w:r>
          </w:p>
        </w:tc>
        <w:tc>
          <w:tcPr>
            <w:tcW w:w="11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8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32406B"/>
              </w:rPr>
              <w:t>March 31,</w:t>
            </w:r>
          </w:p>
        </w:tc>
        <w:tc>
          <w:tcPr>
            <w:tcW w:w="8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32406B"/>
                <w:w w:val="99"/>
              </w:rPr>
              <w:t>June 30,</w:t>
            </w:r>
          </w:p>
        </w:tc>
        <w:tc>
          <w:tcPr>
            <w:tcW w:w="11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32406B"/>
                <w:w w:val="96"/>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32406B"/>
              </w:rPr>
              <w:t>2019</w:t>
            </w: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32406B"/>
              </w:rPr>
              <w:t>2019</w:t>
            </w:r>
          </w:p>
        </w:tc>
        <w:tc>
          <w:tcPr>
            <w:tcW w:w="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32406B"/>
              </w:rPr>
              <w:t>2019</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32406B"/>
              </w:rPr>
              <w:t>2019</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32406B"/>
              </w:rPr>
              <w:t>2020</w:t>
            </w:r>
          </w:p>
        </w:tc>
        <w:tc>
          <w:tcPr>
            <w:tcW w:w="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32406B"/>
              </w:rPr>
              <w:t>2020</w:t>
            </w: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32406B"/>
              </w:rPr>
              <w:t>2020</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32406B"/>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32406B"/>
              </w:rPr>
              <w:t>Revenue:</w:t>
            </w: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32406B"/>
              </w:rPr>
              <w:t>IoT PaaS</w:t>
            </w:r>
          </w:p>
        </w:tc>
        <w:tc>
          <w:tcPr>
            <w:tcW w:w="640" w:type="dxa"/>
            <w:vAlign w:val="bottom"/>
          </w:tcPr>
          <w:p>
            <w:pPr>
              <w:jc w:val="right"/>
              <w:spacing w:after="0"/>
              <w:rPr>
                <w:sz w:val="20"/>
                <w:szCs w:val="20"/>
                <w:color w:val="auto"/>
              </w:rPr>
            </w:pPr>
            <w:r>
              <w:rPr>
                <w:rFonts w:ascii="Arial" w:cs="Arial" w:eastAsia="Arial" w:hAnsi="Arial"/>
                <w:sz w:val="16"/>
                <w:szCs w:val="16"/>
                <w:color w:val="32406B"/>
              </w:rPr>
              <w:t>12,779</w:t>
            </w:r>
          </w:p>
        </w:tc>
        <w:tc>
          <w:tcPr>
            <w:tcW w:w="26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32406B"/>
              </w:rPr>
              <w:t>16,044</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32406B"/>
              </w:rPr>
              <w:t>22,591</w:t>
            </w:r>
          </w:p>
        </w:tc>
        <w:tc>
          <w:tcPr>
            <w:tcW w:w="840" w:type="dxa"/>
            <w:vAlign w:val="bottom"/>
          </w:tcPr>
          <w:p>
            <w:pPr>
              <w:jc w:val="right"/>
              <w:spacing w:after="0"/>
              <w:rPr>
                <w:sz w:val="20"/>
                <w:szCs w:val="20"/>
                <w:color w:val="auto"/>
              </w:rPr>
            </w:pPr>
            <w:r>
              <w:rPr>
                <w:rFonts w:ascii="Arial" w:cs="Arial" w:eastAsia="Arial" w:hAnsi="Arial"/>
                <w:sz w:val="16"/>
                <w:szCs w:val="16"/>
                <w:color w:val="32406B"/>
              </w:rPr>
              <w:t>24,951</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15,216</w:t>
            </w:r>
          </w:p>
        </w:tc>
        <w:tc>
          <w:tcPr>
            <w:tcW w:w="2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32406B"/>
              </w:rPr>
              <w:t>29,144</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32406B"/>
              </w:rPr>
              <w:t>52,846</w:t>
            </w:r>
          </w:p>
        </w:tc>
        <w:tc>
          <w:tcPr>
            <w:tcW w:w="840" w:type="dxa"/>
            <w:vAlign w:val="bottom"/>
          </w:tcPr>
          <w:p>
            <w:pPr>
              <w:jc w:val="right"/>
              <w:spacing w:after="0"/>
              <w:rPr>
                <w:sz w:val="20"/>
                <w:szCs w:val="20"/>
                <w:color w:val="auto"/>
              </w:rPr>
            </w:pPr>
            <w:r>
              <w:rPr>
                <w:rFonts w:ascii="Arial" w:cs="Arial" w:eastAsia="Arial" w:hAnsi="Arial"/>
                <w:sz w:val="16"/>
                <w:szCs w:val="16"/>
                <w:color w:val="32406B"/>
              </w:rPr>
              <w:t>54,471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32406B"/>
              </w:rPr>
              <w:t>Smart device distribution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3,382</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5,589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10,209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8,294</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3,010</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32406B"/>
              </w:rPr>
              <w:t>8,453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4,457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32406B"/>
              </w:rPr>
              <w:t>SaaS and others</w:t>
            </w:r>
          </w:p>
        </w:tc>
        <w:tc>
          <w:tcPr>
            <w:tcW w:w="640" w:type="dxa"/>
            <w:vAlign w:val="bottom"/>
          </w:tcPr>
          <w:p>
            <w:pPr>
              <w:jc w:val="right"/>
              <w:spacing w:after="0"/>
              <w:rPr>
                <w:sz w:val="20"/>
                <w:szCs w:val="20"/>
                <w:color w:val="auto"/>
              </w:rPr>
            </w:pPr>
            <w:r>
              <w:rPr>
                <w:rFonts w:ascii="Arial" w:cs="Arial" w:eastAsia="Arial" w:hAnsi="Arial"/>
                <w:sz w:val="16"/>
                <w:szCs w:val="16"/>
                <w:color w:val="32406B"/>
              </w:rPr>
              <w:t>89</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32406B"/>
              </w:rPr>
              <w:t>191</w:t>
            </w:r>
          </w:p>
        </w:tc>
        <w:tc>
          <w:tcPr>
            <w:tcW w:w="2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32406B"/>
              </w:rPr>
              <w:t>682</w:t>
            </w:r>
          </w:p>
        </w:tc>
        <w:tc>
          <w:tcPr>
            <w:tcW w:w="840" w:type="dxa"/>
            <w:vAlign w:val="bottom"/>
          </w:tcPr>
          <w:p>
            <w:pPr>
              <w:jc w:val="right"/>
              <w:spacing w:after="0"/>
              <w:rPr>
                <w:sz w:val="20"/>
                <w:szCs w:val="20"/>
                <w:color w:val="auto"/>
              </w:rPr>
            </w:pPr>
            <w:r>
              <w:rPr>
                <w:rFonts w:ascii="Arial" w:cs="Arial" w:eastAsia="Arial" w:hAnsi="Arial"/>
                <w:sz w:val="16"/>
                <w:szCs w:val="16"/>
                <w:color w:val="32406B"/>
              </w:rPr>
              <w:t>988</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720</w:t>
            </w:r>
          </w:p>
        </w:tc>
        <w:tc>
          <w:tcPr>
            <w:tcW w:w="2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32406B"/>
              </w:rPr>
              <w:t>1,236</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32406B"/>
              </w:rPr>
              <w:t>1,777</w:t>
            </w:r>
          </w:p>
        </w:tc>
        <w:tc>
          <w:tcPr>
            <w:tcW w:w="840" w:type="dxa"/>
            <w:vAlign w:val="bottom"/>
          </w:tcPr>
          <w:p>
            <w:pPr>
              <w:jc w:val="right"/>
              <w:spacing w:after="0"/>
              <w:rPr>
                <w:sz w:val="20"/>
                <w:szCs w:val="20"/>
                <w:color w:val="auto"/>
              </w:rPr>
            </w:pPr>
            <w:r>
              <w:rPr>
                <w:rFonts w:ascii="Arial" w:cs="Arial" w:eastAsia="Arial" w:hAnsi="Arial"/>
                <w:sz w:val="16"/>
                <w:szCs w:val="16"/>
                <w:color w:val="32406B"/>
              </w:rPr>
              <w:t>2,393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Total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16,250</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21,824</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32406B"/>
              </w:rPr>
              <w:t>33,482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34,233</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18,946</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32406B"/>
              </w:rPr>
              <w:t>38,833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32406B"/>
              </w:rPr>
              <w:t>59,080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63,015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b w:val="1"/>
                <w:bCs w:val="1"/>
                <w:color w:val="32406B"/>
              </w:rPr>
              <w:t>Cost of revenue</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(12,321)</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32406B"/>
                <w:w w:val="93"/>
              </w:rPr>
              <w:t>(16,314)</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(24,719)</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(24,649)</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(13,207)</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w w:val="97"/>
              </w:rPr>
              <w:t>(27,085)</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(38,750)</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32406B"/>
              </w:rPr>
              <w:t>(38,895)</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Gross profit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3,929</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32406B"/>
              </w:rPr>
              <w:t>5,510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32406B"/>
              </w:rPr>
              <w:t>8,763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9,584</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5,739</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32406B"/>
              </w:rPr>
              <w:t>11,748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32406B"/>
              </w:rPr>
              <w:t>20,330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32406B"/>
              </w:rPr>
              <w:t>24,120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b w:val="1"/>
                <w:bCs w:val="1"/>
                <w:color w:val="32406B"/>
              </w:rPr>
              <w:t>Operating expenses:</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32406B"/>
              </w:rPr>
              <w:t>Research and development expenses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(9,690)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32406B"/>
                <w:w w:val="93"/>
              </w:rPr>
              <w:t>(11,657)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(13,501)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(17,155)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(15,825)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w w:val="97"/>
              </w:rPr>
              <w:t>(16,086)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(20,052)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(25,467)</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32406B"/>
              </w:rPr>
              <w:t>Sales and marketing expenses</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32406B"/>
              </w:rPr>
              <w:t>(6,353)</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32406B"/>
              </w:rPr>
              <w:t>(8,369)</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32406B"/>
              </w:rPr>
              <w:t>(8,534)</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32406B"/>
              </w:rPr>
              <w:t>(13,761)</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32406B"/>
              </w:rPr>
              <w:t>(8,519)</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32406B"/>
              </w:rPr>
              <w:t>(7,443)</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32406B"/>
              </w:rPr>
              <w:t>(9,802)</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32406B"/>
              </w:rPr>
              <w:t>(11,792)</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32406B"/>
              </w:rPr>
              <w:t>General and administrative expenses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(2,137)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32406B"/>
              </w:rPr>
              <w:t>(2,421)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(3,719)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(3,919)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(3,430)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(3,825)</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(4,393)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(6,220)</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32406B"/>
              </w:rPr>
              <w:t>Other operating incomes/(expenses), net</w:t>
            </w:r>
          </w:p>
        </w:tc>
        <w:tc>
          <w:tcPr>
            <w:tcW w:w="640" w:type="dxa"/>
            <w:vAlign w:val="bottom"/>
          </w:tcPr>
          <w:p>
            <w:pPr>
              <w:jc w:val="right"/>
              <w:spacing w:after="0"/>
              <w:rPr>
                <w:sz w:val="20"/>
                <w:szCs w:val="20"/>
                <w:color w:val="auto"/>
              </w:rPr>
            </w:pPr>
            <w:r>
              <w:rPr>
                <w:rFonts w:ascii="Arial" w:cs="Arial" w:eastAsia="Arial" w:hAnsi="Arial"/>
                <w:sz w:val="16"/>
                <w:szCs w:val="16"/>
                <w:color w:val="32406B"/>
              </w:rPr>
              <w:t>13</w:t>
            </w:r>
          </w:p>
        </w:tc>
        <w:tc>
          <w:tcPr>
            <w:tcW w:w="26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32406B"/>
              </w:rPr>
              <w:t>(21)</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32406B"/>
              </w:rPr>
              <w:t>21</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32406B"/>
              </w:rPr>
              <w:t>(23)</w:t>
            </w:r>
          </w:p>
        </w:tc>
        <w:tc>
          <w:tcPr>
            <w:tcW w:w="640" w:type="dxa"/>
            <w:vAlign w:val="bottom"/>
          </w:tcPr>
          <w:p>
            <w:pPr>
              <w:jc w:val="right"/>
              <w:spacing w:after="0"/>
              <w:rPr>
                <w:sz w:val="20"/>
                <w:szCs w:val="20"/>
                <w:color w:val="auto"/>
              </w:rPr>
            </w:pPr>
            <w:r>
              <w:rPr>
                <w:rFonts w:ascii="Arial" w:cs="Arial" w:eastAsia="Arial" w:hAnsi="Arial"/>
                <w:sz w:val="16"/>
                <w:szCs w:val="16"/>
                <w:color w:val="32406B"/>
              </w:rPr>
              <w:t>252</w:t>
            </w:r>
          </w:p>
        </w:tc>
        <w:tc>
          <w:tcPr>
            <w:tcW w:w="2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32406B"/>
              </w:rPr>
              <w:t>28</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32406B"/>
              </w:rPr>
              <w:t>137</w:t>
            </w:r>
          </w:p>
        </w:tc>
        <w:tc>
          <w:tcPr>
            <w:tcW w:w="840" w:type="dxa"/>
            <w:vAlign w:val="bottom"/>
          </w:tcPr>
          <w:p>
            <w:pPr>
              <w:jc w:val="right"/>
              <w:spacing w:after="0"/>
              <w:rPr>
                <w:sz w:val="20"/>
                <w:szCs w:val="20"/>
                <w:color w:val="auto"/>
              </w:rPr>
            </w:pPr>
            <w:r>
              <w:rPr>
                <w:rFonts w:ascii="Arial" w:cs="Arial" w:eastAsia="Arial" w:hAnsi="Arial"/>
                <w:sz w:val="16"/>
                <w:szCs w:val="16"/>
                <w:color w:val="32406B"/>
              </w:rPr>
              <w:t>654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32406B"/>
              </w:rPr>
              <w:t>Total operating expenses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(18,167)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32406B"/>
                <w:w w:val="93"/>
              </w:rPr>
              <w:t>(22,468)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(25,733)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(34,858)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(27,522)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w w:val="97"/>
              </w:rPr>
              <w:t>(27,326)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(34,110)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(42,825)</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20"/>
                <w:szCs w:val="20"/>
                <w:color w:val="auto"/>
              </w:rPr>
            </w:pPr>
            <w:r>
              <w:rPr>
                <w:rFonts w:ascii="Arial" w:cs="Arial" w:eastAsia="Arial" w:hAnsi="Arial"/>
                <w:sz w:val="16"/>
                <w:szCs w:val="16"/>
                <w:b w:val="1"/>
                <w:bCs w:val="1"/>
                <w:color w:val="32406B"/>
              </w:rPr>
              <w:t>Loss from operations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(14,238)</w:t>
            </w:r>
          </w:p>
        </w:tc>
        <w:tc>
          <w:tcPr>
            <w:tcW w:w="2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w w:val="87"/>
              </w:rPr>
              <w:t>(16,958)</w:t>
            </w:r>
          </w:p>
        </w:tc>
        <w:tc>
          <w:tcPr>
            <w:tcW w:w="2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(16,970)</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(25,274)</w:t>
            </w:r>
          </w:p>
        </w:tc>
        <w:tc>
          <w:tcPr>
            <w:tcW w:w="2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(21,783)</w:t>
            </w:r>
          </w:p>
        </w:tc>
        <w:tc>
          <w:tcPr>
            <w:tcW w:w="2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w w:val="87"/>
              </w:rPr>
              <w:t>(15,578)</w:t>
            </w: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(13,780)</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(18,705)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32406B"/>
              </w:rPr>
              <w:t>Financial income, net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631</w:t>
            </w: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565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1,099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1,031</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1,192</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32406B"/>
              </w:rPr>
              <w:t>766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654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rPr>
                <w:sz w:val="20"/>
                <w:szCs w:val="20"/>
                <w:color w:val="auto"/>
              </w:rPr>
            </w:pPr>
            <w:r>
              <w:rPr>
                <w:rFonts w:ascii="Arial" w:cs="Arial" w:eastAsia="Arial" w:hAnsi="Arial"/>
                <w:sz w:val="16"/>
                <w:szCs w:val="16"/>
                <w:color w:val="32406B"/>
              </w:rPr>
              <w:t>Foreign exchange (loss)/gain, net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32406B"/>
              </w:rPr>
              <w:t>(483)</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32406B"/>
              </w:rPr>
              <w:t>133</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32406B"/>
              </w:rPr>
              <w:t>75</w:t>
            </w:r>
          </w:p>
        </w:tc>
        <w:tc>
          <w:tcPr>
            <w:tcW w:w="840" w:type="dxa"/>
            <w:vAlign w:val="bottom"/>
          </w:tcPr>
          <w:p>
            <w:pPr>
              <w:jc w:val="right"/>
              <w:spacing w:after="0"/>
              <w:rPr>
                <w:sz w:val="20"/>
                <w:szCs w:val="20"/>
                <w:color w:val="auto"/>
              </w:rPr>
            </w:pPr>
            <w:r>
              <w:rPr>
                <w:rFonts w:ascii="Arial" w:cs="Arial" w:eastAsia="Arial" w:hAnsi="Arial"/>
                <w:sz w:val="16"/>
                <w:szCs w:val="16"/>
                <w:color w:val="32406B"/>
              </w:rPr>
              <w:t>36</w:t>
            </w:r>
          </w:p>
        </w:tc>
        <w:tc>
          <w:tcPr>
            <w:tcW w:w="2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32406B"/>
              </w:rPr>
              <w:t>(10)</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32406B"/>
              </w:rPr>
              <w:t>146</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32406B"/>
              </w:rPr>
              <w:t>51</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32406B"/>
              </w:rPr>
              <w:t>(267)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Loss before income tax expense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(14,090)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32406B"/>
                <w:w w:val="93"/>
              </w:rPr>
              <w:t>(16,260)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(15,796)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(24,207)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(20,601)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w w:val="97"/>
              </w:rPr>
              <w:t>(14,666)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(13,075)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(18,364)</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32406B"/>
              </w:rPr>
              <w:t>Income tax expense</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32406B"/>
              </w:rPr>
              <w:t>(54)</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32406B"/>
              </w:rPr>
              <w:t>(50)</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32406B"/>
              </w:rPr>
              <w:t>(8)</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32406B"/>
              </w:rPr>
              <w:t>(12)</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32406B"/>
              </w:rPr>
              <w:t>(38)</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32406B"/>
              </w:rPr>
              <w:t>(76)</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32406B"/>
              </w:rPr>
              <w:t>(75)</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32406B"/>
              </w:rPr>
              <w:t>(17)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Net loss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(14,144)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32406B"/>
                <w:w w:val="93"/>
              </w:rPr>
              <w:t>(16,310)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(15,804)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(24,219)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(20,639)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w w:val="97"/>
              </w:rPr>
              <w:t>(14,742)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(13,150)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(18,381)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b w:val="1"/>
                <w:bCs w:val="1"/>
                <w:color w:val="32406B"/>
              </w:rPr>
              <w:t>Net loss attributable to Tuya Inc.</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vMerge w:val="continue"/>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(14,144)</w:t>
            </w:r>
          </w:p>
        </w:tc>
        <w:tc>
          <w:tcPr>
            <w:tcW w:w="2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32406B"/>
                <w:w w:val="87"/>
              </w:rPr>
              <w:t>(16,310)</w:t>
            </w:r>
          </w:p>
        </w:tc>
        <w:tc>
          <w:tcPr>
            <w:tcW w:w="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(15,804)</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(24,219)</w:t>
            </w:r>
          </w:p>
        </w:tc>
        <w:tc>
          <w:tcPr>
            <w:tcW w:w="2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(20,639)</w:t>
            </w:r>
          </w:p>
        </w:tc>
        <w:tc>
          <w:tcPr>
            <w:tcW w:w="24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32406B"/>
                <w:w w:val="87"/>
              </w:rPr>
              <w:t>(14,742)</w:t>
            </w:r>
          </w:p>
        </w:tc>
        <w:tc>
          <w:tcPr>
            <w:tcW w:w="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(13,150)</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(18,381)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32406B"/>
              </w:rPr>
              <w:t>Deemed dividend from preferred shareholders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32406B"/>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32406B"/>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32406B"/>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(3,430)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32406B"/>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32406B"/>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20"/>
                <w:szCs w:val="20"/>
                <w:color w:val="auto"/>
              </w:rPr>
            </w:pPr>
            <w:r>
              <w:rPr>
                <w:rFonts w:ascii="Arial" w:cs="Arial" w:eastAsia="Arial" w:hAnsi="Arial"/>
                <w:sz w:val="16"/>
                <w:szCs w:val="16"/>
                <w:b w:val="1"/>
                <w:bCs w:val="1"/>
                <w:color w:val="32406B"/>
                <w:w w:val="95"/>
              </w:rPr>
              <w:t>Net loss attributable to ordinary shareholders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(14,144)</w:t>
            </w:r>
          </w:p>
        </w:tc>
        <w:tc>
          <w:tcPr>
            <w:tcW w:w="26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w w:val="87"/>
              </w:rPr>
              <w:t>(16,310)</w:t>
            </w:r>
          </w:p>
        </w:tc>
        <w:tc>
          <w:tcPr>
            <w:tcW w:w="2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(15,804)</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(27,649)</w:t>
            </w:r>
          </w:p>
        </w:tc>
        <w:tc>
          <w:tcPr>
            <w:tcW w:w="2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(20,639)</w:t>
            </w:r>
          </w:p>
        </w:tc>
        <w:tc>
          <w:tcPr>
            <w:tcW w:w="2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w w:val="87"/>
              </w:rPr>
              <w:t>(14,742)</w:t>
            </w:r>
          </w:p>
        </w:tc>
        <w:tc>
          <w:tcPr>
            <w:tcW w:w="2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(13,150)</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(18,381)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Net loss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(14,144)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32406B"/>
                <w:w w:val="93"/>
              </w:rPr>
              <w:t>(16,310)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(15,804)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(24,219)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(20,639)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w w:val="97"/>
              </w:rPr>
              <w:t>(14,742)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(13,150)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(18,381)</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32406B"/>
              </w:rPr>
              <w:t>Other comprehensive (loss)/income</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32406B"/>
              </w:rPr>
              <w:t>Foreign currency translation</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(222)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32406B"/>
              </w:rPr>
              <w:t>(437)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849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(618)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(321)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1,543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1694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20"/>
                <w:szCs w:val="20"/>
                <w:color w:val="auto"/>
              </w:rPr>
            </w:pPr>
            <w:r>
              <w:rPr>
                <w:rFonts w:ascii="Arial" w:cs="Arial" w:eastAsia="Arial" w:hAnsi="Arial"/>
                <w:sz w:val="16"/>
                <w:szCs w:val="16"/>
                <w:b w:val="1"/>
                <w:bCs w:val="1"/>
                <w:color w:val="32406B"/>
                <w:w w:val="94"/>
              </w:rPr>
              <w:t>Total comprehensive loss attributable to Tuya</w:t>
            </w: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160"/>
              <w:spacing w:after="0"/>
              <w:rPr>
                <w:sz w:val="20"/>
                <w:szCs w:val="20"/>
                <w:color w:val="auto"/>
              </w:rPr>
            </w:pPr>
            <w:r>
              <w:rPr>
                <w:rFonts w:ascii="Arial" w:cs="Arial" w:eastAsia="Arial" w:hAnsi="Arial"/>
                <w:sz w:val="16"/>
                <w:szCs w:val="16"/>
                <w:b w:val="1"/>
                <w:bCs w:val="1"/>
                <w:color w:val="32406B"/>
              </w:rPr>
              <w:t>Inc.</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(14,366)</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32406B"/>
                <w:w w:val="93"/>
              </w:rPr>
              <w:t>(16,747)</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(14,955)</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(24,837)</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(20,960)</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w w:val="97"/>
              </w:rPr>
              <w:t>(14,776)</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32406B"/>
              </w:rPr>
              <w:t>(11,607)</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32406B"/>
              </w:rPr>
              <w:t>(16,687)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107</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1000" w:type="dxa"/>
            <w:vAlign w:val="bottom"/>
          </w:tcPr>
          <w:p>
            <w:pPr>
              <w:spacing w:after="0"/>
              <w:rPr>
                <w:sz w:val="20"/>
                <w:szCs w:val="20"/>
                <w:color w:val="auto"/>
              </w:rPr>
            </w:pPr>
            <w:r>
              <w:rPr>
                <w:rFonts w:ascii="Arial" w:cs="Arial" w:eastAsia="Arial" w:hAnsi="Arial"/>
                <w:sz w:val="16"/>
                <w:szCs w:val="16"/>
                <w:color w:val="32406B"/>
              </w:rPr>
              <w:t>Note:  (1)</w:t>
            </w:r>
          </w:p>
        </w:tc>
        <w:tc>
          <w:tcPr>
            <w:tcW w:w="5140" w:type="dxa"/>
            <w:vAlign w:val="bottom"/>
            <w:gridSpan w:val="7"/>
          </w:tcPr>
          <w:p>
            <w:pPr>
              <w:ind w:left="300"/>
              <w:spacing w:after="0"/>
              <w:rPr>
                <w:sz w:val="20"/>
                <w:szCs w:val="20"/>
                <w:color w:val="auto"/>
              </w:rPr>
            </w:pPr>
            <w:r>
              <w:rPr>
                <w:rFonts w:ascii="Arial" w:cs="Arial" w:eastAsia="Arial" w:hAnsi="Arial"/>
                <w:sz w:val="16"/>
                <w:szCs w:val="16"/>
                <w:color w:val="32406B"/>
              </w:rPr>
              <w:t>Share-based compensation expense was allocated as follows: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6"/>
        </w:trPr>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32406B"/>
              </w:rPr>
              <w:t>For the Three Months Ended</w:t>
            </w: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10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32406B"/>
              </w:rPr>
              <w:t>March 31,</w:t>
            </w: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June 30,</w:t>
            </w:r>
          </w:p>
        </w:tc>
        <w:tc>
          <w:tcPr>
            <w:tcW w:w="116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September 30,</w:t>
            </w:r>
          </w:p>
        </w:tc>
        <w:tc>
          <w:tcPr>
            <w:tcW w:w="112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December 31,</w:t>
            </w: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March 31,</w:t>
            </w:r>
          </w:p>
        </w:tc>
        <w:tc>
          <w:tcPr>
            <w:tcW w:w="8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32406B"/>
                <w:w w:val="96"/>
              </w:rPr>
              <w:t>June 30,</w:t>
            </w:r>
          </w:p>
        </w:tc>
        <w:tc>
          <w:tcPr>
            <w:tcW w:w="116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40" w:type="dxa"/>
            <w:vAlign w:val="bottom"/>
          </w:tcPr>
          <w:p>
            <w:pPr>
              <w:spacing w:after="0"/>
              <w:rPr>
                <w:sz w:val="10"/>
                <w:szCs w:val="10"/>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32406B"/>
              </w:rPr>
              <w:t>2019</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32406B"/>
              </w:rPr>
              <w:t>2019</w:t>
            </w: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32406B"/>
              </w:rPr>
              <w:t>2019</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32406B"/>
              </w:rPr>
              <w:t>2019</w:t>
            </w: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32406B"/>
              </w:rPr>
              <w:t>2020</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32406B"/>
              </w:rPr>
              <w:t>2020</w:t>
            </w: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32406B"/>
              </w:rPr>
              <w:t>2020</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32406B"/>
              </w:rPr>
              <w:t>2020</w:t>
            </w:r>
          </w:p>
        </w:tc>
        <w:tc>
          <w:tcPr>
            <w:tcW w:w="40" w:type="dxa"/>
            <w:vAlign w:val="bottom"/>
            <w:tcBorders>
              <w:bottom w:val="single" w:sz="8" w:color="CCEEFF"/>
            </w:tcBorders>
          </w:tcPr>
          <w:p>
            <w:pPr>
              <w:spacing w:after="0"/>
              <w:rPr>
                <w:sz w:val="14"/>
                <w:szCs w:val="14"/>
                <w:color w:val="auto"/>
              </w:rPr>
            </w:pPr>
          </w:p>
        </w:tc>
      </w:tr>
      <w:tr>
        <w:trPr>
          <w:trHeight w:val="196"/>
        </w:trPr>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Research and development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212</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284</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324</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398</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412</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406</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817</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961</w:t>
            </w:r>
          </w:p>
        </w:tc>
        <w:tc>
          <w:tcPr>
            <w:tcW w:w="40" w:type="dxa"/>
            <w:vAlign w:val="bottom"/>
            <w:shd w:val="clear" w:color="auto" w:fill="CCEEFF"/>
          </w:tcPr>
          <w:p>
            <w:pPr>
              <w:spacing w:after="0"/>
              <w:rPr>
                <w:sz w:val="17"/>
                <w:szCs w:val="17"/>
                <w:color w:val="auto"/>
              </w:rPr>
            </w:pPr>
          </w:p>
        </w:tc>
      </w:tr>
      <w:tr>
        <w:trPr>
          <w:trHeight w:val="203"/>
        </w:trPr>
        <w:tc>
          <w:tcPr>
            <w:tcW w:w="3280" w:type="dxa"/>
            <w:vAlign w:val="bottom"/>
            <w:gridSpan w:val="2"/>
          </w:tcPr>
          <w:p>
            <w:pPr>
              <w:spacing w:after="0"/>
              <w:rPr>
                <w:sz w:val="20"/>
                <w:szCs w:val="20"/>
                <w:color w:val="auto"/>
              </w:rPr>
            </w:pPr>
            <w:r>
              <w:rPr>
                <w:rFonts w:ascii="Arial" w:cs="Arial" w:eastAsia="Arial" w:hAnsi="Arial"/>
                <w:sz w:val="16"/>
                <w:szCs w:val="16"/>
                <w:color w:val="32406B"/>
              </w:rPr>
              <w:t>Sales and marketing expenses</w:t>
            </w:r>
          </w:p>
        </w:tc>
        <w:tc>
          <w:tcPr>
            <w:tcW w:w="640" w:type="dxa"/>
            <w:vAlign w:val="bottom"/>
          </w:tcPr>
          <w:p>
            <w:pPr>
              <w:jc w:val="right"/>
              <w:spacing w:after="0"/>
              <w:rPr>
                <w:sz w:val="20"/>
                <w:szCs w:val="20"/>
                <w:color w:val="auto"/>
              </w:rPr>
            </w:pPr>
            <w:r>
              <w:rPr>
                <w:rFonts w:ascii="Arial" w:cs="Arial" w:eastAsia="Arial" w:hAnsi="Arial"/>
                <w:sz w:val="16"/>
                <w:szCs w:val="16"/>
                <w:color w:val="32406B"/>
              </w:rPr>
              <w:t>159</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2406B"/>
              </w:rPr>
              <w:t>266</w:t>
            </w:r>
          </w:p>
        </w:tc>
        <w:tc>
          <w:tcPr>
            <w:tcW w:w="28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32406B"/>
              </w:rPr>
              <w:t>285</w:t>
            </w:r>
          </w:p>
        </w:tc>
        <w:tc>
          <w:tcPr>
            <w:tcW w:w="840" w:type="dxa"/>
            <w:vAlign w:val="bottom"/>
          </w:tcPr>
          <w:p>
            <w:pPr>
              <w:jc w:val="right"/>
              <w:spacing w:after="0"/>
              <w:rPr>
                <w:sz w:val="20"/>
                <w:szCs w:val="20"/>
                <w:color w:val="auto"/>
              </w:rPr>
            </w:pPr>
            <w:r>
              <w:rPr>
                <w:rFonts w:ascii="Arial" w:cs="Arial" w:eastAsia="Arial" w:hAnsi="Arial"/>
                <w:sz w:val="16"/>
                <w:szCs w:val="16"/>
                <w:color w:val="32406B"/>
              </w:rPr>
              <w:t>399</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323</w:t>
            </w:r>
          </w:p>
        </w:tc>
        <w:tc>
          <w:tcPr>
            <w:tcW w:w="28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32406B"/>
              </w:rPr>
              <w:t>183</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32406B"/>
              </w:rPr>
              <w:t>619</w:t>
            </w:r>
          </w:p>
        </w:tc>
        <w:tc>
          <w:tcPr>
            <w:tcW w:w="840" w:type="dxa"/>
            <w:vAlign w:val="bottom"/>
          </w:tcPr>
          <w:p>
            <w:pPr>
              <w:jc w:val="right"/>
              <w:spacing w:after="0"/>
              <w:rPr>
                <w:sz w:val="20"/>
                <w:szCs w:val="20"/>
                <w:color w:val="auto"/>
              </w:rPr>
            </w:pPr>
            <w:r>
              <w:rPr>
                <w:rFonts w:ascii="Arial" w:cs="Arial" w:eastAsia="Arial" w:hAnsi="Arial"/>
                <w:sz w:val="16"/>
                <w:szCs w:val="16"/>
                <w:color w:val="32406B"/>
              </w:rPr>
              <w:t>404</w:t>
            </w:r>
          </w:p>
        </w:tc>
        <w:tc>
          <w:tcPr>
            <w:tcW w:w="40" w:type="dxa"/>
            <w:vAlign w:val="bottom"/>
          </w:tcPr>
          <w:p>
            <w:pPr>
              <w:spacing w:after="0"/>
              <w:rPr>
                <w:sz w:val="17"/>
                <w:szCs w:val="17"/>
                <w:color w:val="auto"/>
              </w:rPr>
            </w:pPr>
          </w:p>
        </w:tc>
      </w:tr>
      <w:tr>
        <w:trPr>
          <w:trHeight w:val="203"/>
        </w:trPr>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General and administrative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406</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677</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32406B"/>
              </w:rPr>
              <w:t>819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991</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1,079</w:t>
            </w: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32406B"/>
              </w:rPr>
              <w:t>1,123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32406B"/>
              </w:rPr>
              <w:t>1,432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1,687</w:t>
            </w:r>
          </w:p>
        </w:tc>
        <w:tc>
          <w:tcPr>
            <w:tcW w:w="40" w:type="dxa"/>
            <w:vAlign w:val="bottom"/>
            <w:shd w:val="clear" w:color="auto" w:fill="CCEEFF"/>
          </w:tcPr>
          <w:p>
            <w:pPr>
              <w:spacing w:after="0"/>
              <w:rPr>
                <w:sz w:val="17"/>
                <w:szCs w:val="17"/>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6"/>
                <w:szCs w:val="16"/>
                <w:b w:val="1"/>
                <w:bCs w:val="1"/>
                <w:color w:val="32406B"/>
              </w:rPr>
              <w:t>Total</w:t>
            </w:r>
          </w:p>
        </w:tc>
        <w:tc>
          <w:tcPr>
            <w:tcW w:w="2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32406B"/>
              </w:rPr>
              <w:t>777</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32406B"/>
              </w:rPr>
              <w:t>1,227</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32406B"/>
              </w:rPr>
              <w:t>1,428</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32406B"/>
              </w:rPr>
              <w:t>1,788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32406B"/>
              </w:rPr>
              <w:t>1,814</w:t>
            </w:r>
          </w:p>
        </w:tc>
        <w:tc>
          <w:tcPr>
            <w:tcW w:w="2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32406B"/>
              </w:rPr>
              <w:t>1,712</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32406B"/>
              </w:rPr>
              <w:t>2,868</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32406B"/>
              </w:rPr>
              <w:t>3,052</w:t>
            </w:r>
          </w:p>
        </w:tc>
        <w:tc>
          <w:tcPr>
            <w:tcW w:w="40" w:type="dxa"/>
            <w:vAlign w:val="bottom"/>
          </w:tcPr>
          <w:p>
            <w:pPr>
              <w:spacing w:after="0"/>
              <w:rPr>
                <w:sz w:val="18"/>
                <w:szCs w:val="18"/>
                <w:color w:val="auto"/>
              </w:rPr>
            </w:pPr>
          </w:p>
        </w:tc>
      </w:tr>
    </w:tbl>
    <w:p>
      <w:pPr>
        <w:spacing w:after="0" w:line="19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32406B"/>
        </w:rPr>
        <w:t>Our revenue from IoT PaaS has generally increased sequentially in the quarters presented primarily due to the continued increase in the number of deployment of IoT PaaS, except for a decline in the first quarter of 2020 mainly due to COVID-19. We experienced a decline in demand for IoT PaaS in the first quarter of 2020 due to reduced production capacity of OEM customers, as COVID-19 containment measures began to be widely introduced across China where substantially all of these OEMs were located. Our revenue from IoT PaaS and number of deployments of IoT PaaS have largely returned to pre-COVID levels in the second quarter of 2020. Our revenue from smart device distribution depends, to a greater extent, on customers’ purchase patterns and demands as we strategically position smart device distribution as a way to nurture long term customer relationship, and thus fluctuates from period to period. Our revenue from SaaS and others have also increased sequentially over the quarters presented, except for a decrease in the first quarter of 2020 as a result of the negative impact of COVID-19. Since we launched our Industry SaaS business in March 2020, our revenue from SaaS and others has experienced rapid growth driven by strong demand from business operators for sophisticated, brand-agnostic industry SaaS offerings.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Cash Flows and Working Capital</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32406B"/>
        </w:rPr>
        <w:t>Our principal sources of liquidity have been cash generated from private sales of equity securities. As of December 31, 2020, we had US$179.8 million in cash and cash equivalents and short-term investment. As of December 31, 2020, cash and cash equivalents in an aggregate amount of RMB268.1 million and US$6.9 million, total equivalent to US$48.0 million, were held by our subsidiaries in the PRC; cash and cash equivalents, mainly denominated in US$, of total equivalent to US$109.1 million were held by our subsidiaries in Hong Kong; and the cash and cash equivalents, mainly denominated in U.S. dollars, EUR, and Japanese Yen, of total equivalent to US$1.7 million were held by Tuya Inc. and its other overseas subsidiaries. Our cash and cash equivalents and short-term investments consist of bank deposits and investments in short-term wealth management products offered by financial institutions in the PRC, most of which have original maturities of three months or less when purchased. We believe that our current cash and cash equivalents, balance of short-term investments and anticipated cash flows from operations will be sufficient to meet our anticipated cash needs, including cash needs for working capital and capital expenditures, for at least the next 12 months.</w:t>
      </w:r>
    </w:p>
    <w:p>
      <w:pPr>
        <w:spacing w:after="0" w:line="16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32406B"/>
        </w:rPr>
        <w:t>We intend to finance our future working capital requirements and capital expenditures primarily from cash expected to be generated from operating activities and funds raised from financing activities, including the net proceeds we will receive from this offering.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 See “Risk Factors— Risks Related to Our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108</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32406B"/>
        </w:rPr>
        <w:t>Business and Our Industry—We may require additional capital to support our business and response to business opportunities, and this capital might not be available on acceptable terms, if at all.”</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Additionally, historically we have not been profitable or generated positive operating cash flows. We generated net loss of US$70.5 million and US$66.9 million in 2019 and 2020, respectively. As of December 31, 2020, we had an accumulated deficit of US$192.5 million. We recorded net cash operating outflows of US$56.6 million and US$49.2 million in 2019 and 2020. If we are unable to achieve and sustain profitability, or if we continue to experience net cash operating outflows in the future, our business, liquidity, financial condition and results of operations may be materially and adversely affected. See “Risk Factors—Risks Related to Our Business and Our Industry—We have a history of net losses and may not be able to achieve or sustain profitability in the future.”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presents our consolidated cash flow data for the periods presented.</w:t>
      </w:r>
    </w:p>
    <w:p>
      <w:pPr>
        <w:spacing w:after="0" w:line="244"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32406B"/>
        </w:rPr>
        <w:t>For the Year Ended</w:t>
      </w:r>
    </w:p>
    <w:p>
      <w:pPr>
        <w:jc w:val="center"/>
        <w:ind w:left="9220"/>
        <w:spacing w:after="0" w:line="236" w:lineRule="auto"/>
        <w:rPr>
          <w:sz w:val="20"/>
          <w:szCs w:val="20"/>
          <w:color w:val="auto"/>
        </w:rPr>
      </w:pPr>
      <w:r>
        <w:rPr>
          <w:rFonts w:ascii="Arial" w:cs="Arial" w:eastAsia="Arial" w:hAnsi="Arial"/>
          <w:sz w:val="14"/>
          <w:szCs w:val="14"/>
          <w:b w:val="1"/>
          <w:bCs w:val="1"/>
          <w:color w:val="32406B"/>
        </w:rPr>
        <w:t>December 31,</w:t>
      </w:r>
    </w:p>
    <w:tbl>
      <w:tblPr>
        <w:tblLayout w:type="fixed"/>
        <w:tblInd w:w="120" w:type="dxa"/>
        <w:tblCellMar>
          <w:top w:w="0" w:type="dxa"/>
          <w:left w:w="0" w:type="dxa"/>
          <w:bottom w:w="0" w:type="dxa"/>
          <w:right w:w="0" w:type="dxa"/>
        </w:tblCellMar>
      </w:tblPr>
      <w:tr>
        <w:trPr>
          <w:trHeight w:val="142"/>
        </w:trPr>
        <w:tc>
          <w:tcPr>
            <w:tcW w:w="9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32406B"/>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32406B"/>
              </w:rPr>
              <w:t>US$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32406B"/>
              </w:rPr>
              <w:t>US$</w:t>
            </w:r>
          </w:p>
        </w:tc>
        <w:tc>
          <w:tcPr>
            <w:tcW w:w="12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1540" w:type="dxa"/>
            <w:vAlign w:val="bottom"/>
            <w:gridSpan w:val="3"/>
          </w:tcPr>
          <w:p>
            <w:pPr>
              <w:jc w:val="right"/>
              <w:ind w:right="254"/>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32406B"/>
              </w:rPr>
              <w:t>Net cash used in operating activities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(56,563)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(49,211)</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32406B"/>
              </w:rPr>
              <w:t>Net cash generated from/(used in) investing activities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32406B"/>
              </w:rPr>
              <w:t>8,491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32406B"/>
              </w:rPr>
              <w:t>(7,852)</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32406B"/>
              </w:rPr>
              <w:t>Net cash generated from/(used in) financing activities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8"/>
              </w:rPr>
              <w:t>174,230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(172)</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32406B"/>
              </w:rPr>
              <w:t>Effect of exchange rate changes on cash and cash equivalents, restricted cash</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32406B"/>
              </w:rPr>
              <w:t>(481)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32406B"/>
              </w:rPr>
              <w:t>2,903</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32406B"/>
              </w:rPr>
              <w:t>Net increase/(decrease) in cash and cash equivalents, restricted cash</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8"/>
              </w:rPr>
              <w:t>125,677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(54,332)</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32406B"/>
              </w:rPr>
              <w:t>Cash and cash equivalents, restricted cash at the beginning of the year</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32406B"/>
              </w:rPr>
              <w:t>87,610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32406B"/>
              </w:rPr>
              <w:t>213,287</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restricted cash at the end of the year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8"/>
              </w:rPr>
              <w:t>213,287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158,955</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Operating Activities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32406B"/>
        </w:rPr>
        <w:t>Net cash used in operating activities was US$49.2 million in 2020. The difference between our net loss of US$66.9 million and the net cash used in operating activities was mainly due to (i) an increase in advance from customers of US$13.0 million which was largely driven by our overall business growth and increased number of customers, (ii) an increase in accruals and other payables of US$11.9 million, (iii) an increase in accounts payables of US$11.0 million due to increased payables to our suppliers which, in turn, was largely driven by our overall business growth, and (iv) share-based compensation of US$9.4 million, partially offset by (i) an increase in inventories of US$19.8 million as we increased our stock of materials to meet the needs of our growing business, (ii) an increase in notes receivable of US$8.7 million due to increased customer payments in the form of commercial notes, and (iii) an increase in accounts receivable of US$7.2 million, driven by our overall business growth and increased number of customers.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Net cash used in operating activities was US$56.6 million in 2019. The difference between our net loss of US$70.5 million and the net cash used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in operating activities was mainly due to (i) an increase in accruals and other payables of US$11.8 million, (ii) an increase in accounts payable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US$7.5 million, (iii) share-based compensation of US$5.2 million, and (iv) an increase in amortization of right-of use assets of US$2.6 million, partially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offset by (i) an increase in inventories of US$11.0 million, (ii) an increase in accounts receivable of US$4.0 million and (iii) a decrease in operating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lease liabilities of US$2.3 million. The foregoing increases in accounts payable, inventories, and accounts receivable were primarily driven by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overall business growth in 2019.</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Investing Activities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32406B"/>
        </w:rPr>
        <w:t>Net cash used in investing activities was US$7.9 million in 2020, which was primarily attributable to payment for short-term investments of US$196.8 million, partially offset by (i) proceeds from disposal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109</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32406B"/>
        </w:rPr>
        <w:t>short-term investments of US$192.5 million and (ii) proceeds from disposal of a long-term investment of US$0.2 million. Our short-term investment mainly include bank time deposits and investments in short-term wealth management products offered by financial institutions in the PRC.</w:t>
      </w:r>
    </w:p>
    <w:p>
      <w:pPr>
        <w:spacing w:after="0" w:line="12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32406B"/>
        </w:rPr>
        <w:t>Net cash generated from investing activities was US$8.5 million in 2019, which was primarily attributable to (i) proceeds from investments in short-term investments of US$281.5 million and (ii) proceeds from disposal of property, equipment and software of US$5.0 thousand, partially offset by</w:t>
      </w:r>
    </w:p>
    <w:p>
      <w:pPr>
        <w:ind w:left="120" w:right="160" w:hanging="4"/>
        <w:spacing w:after="0" w:line="255" w:lineRule="auto"/>
        <w:tabs>
          <w:tab w:leader="none" w:pos="335"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payment for short-term investments of US$270.4 million, (ii) purchase of property, equipment and software of US$2.5 million and (iii) payment for long-term investments of US$0.1 million. Our short-term investment are investments in short-term wealth management products offered by financial institutions in the PRC.</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Financing Activities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32406B"/>
        </w:rPr>
        <w:t>Net cash used in financing activities in 2020 was US$172 thousand, which was due to payments of deferred offering costs of US$182 thousand, partially offset by subscription contributions from shareholders of US$10 thousand.</w:t>
      </w:r>
    </w:p>
    <w:p>
      <w:pPr>
        <w:spacing w:after="0" w:line="170"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32406B"/>
        </w:rPr>
        <w:t>Net cash generated from financing activities in 2019 was US$174.2 million, which was primarily attributable to proceeds from issuance of Series D preferred shares to investors in September and November 2019 of US$178.0 million (see “Description of Share Capital—History of Securities Issuances” for details), partially offset by a payment for repurchase of convertible preferred shares of US$3.8 million.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Capital Expenditures</w:t>
      </w:r>
    </w:p>
    <w:p>
      <w:pPr>
        <w:spacing w:after="0" w:line="12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32406B"/>
        </w:rPr>
        <w:t>Our capital expenditures are incurred primarily in connection with purchase of property, equipment and software. Our capital expenditures were US$2.5 million and US$3.2 million, respectively, in 2019 and 2020. We intend to fund our future capital expenditures with our existing cash balance and proceeds from this offering. We will continue to make capital expenditures to meet the expected growth of our business.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sets forth our contractual obligations and commitments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32406B"/>
              </w:rPr>
              <w:t>Payments Due by Years Ending</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32406B"/>
              </w:rPr>
              <w:t>Total</w:t>
            </w:r>
          </w:p>
        </w:tc>
        <w:tc>
          <w:tcPr>
            <w:tcW w:w="90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32406B"/>
              </w:rPr>
              <w:t>Less than</w:t>
            </w:r>
          </w:p>
        </w:tc>
        <w:tc>
          <w:tcPr>
            <w:tcW w:w="13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32406B"/>
              </w:rPr>
              <w:t>1-3 years</w:t>
            </w:r>
          </w:p>
        </w:tc>
        <w:tc>
          <w:tcPr>
            <w:tcW w:w="8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32406B"/>
                <w:w w:val="95"/>
              </w:rPr>
              <w:t>3-5 years</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32406B"/>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tcPr>
          <w:p>
            <w:pPr>
              <w:jc w:val="right"/>
              <w:ind w:right="120"/>
              <w:spacing w:after="0"/>
              <w:rPr>
                <w:sz w:val="20"/>
                <w:szCs w:val="20"/>
                <w:color w:val="auto"/>
              </w:rPr>
            </w:pPr>
            <w:r>
              <w:rPr>
                <w:rFonts w:ascii="Arial" w:cs="Arial" w:eastAsia="Arial" w:hAnsi="Arial"/>
                <w:sz w:val="14"/>
                <w:szCs w:val="14"/>
                <w:b w:val="1"/>
                <w:bCs w:val="1"/>
                <w:color w:val="32406B"/>
              </w:rPr>
              <w:t>1 year</w:t>
            </w:r>
          </w:p>
        </w:tc>
        <w:tc>
          <w:tcPr>
            <w:tcW w:w="13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tcPr>
          <w:p>
            <w:pPr>
              <w:ind w:left="320"/>
              <w:spacing w:after="0"/>
              <w:rPr>
                <w:sz w:val="20"/>
                <w:szCs w:val="20"/>
                <w:color w:val="auto"/>
              </w:rPr>
            </w:pPr>
            <w:r>
              <w:rPr>
                <w:rFonts w:ascii="Arial" w:cs="Arial" w:eastAsia="Arial" w:hAnsi="Arial"/>
                <w:sz w:val="14"/>
                <w:szCs w:val="14"/>
                <w:b w:val="1"/>
                <w:bCs w:val="1"/>
                <w:color w:val="32406B"/>
              </w:rPr>
              <w:t>5 years</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7"/>
              </w:rPr>
              <w:t>(US$ in thousands)</w:t>
            </w:r>
          </w:p>
        </w:tc>
        <w:tc>
          <w:tcPr>
            <w:tcW w:w="8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32406B"/>
              </w:rPr>
              <w:t>Operating leases</w:t>
            </w:r>
            <w:r>
              <w:rPr>
                <w:rFonts w:ascii="Arial" w:cs="Arial" w:eastAsia="Arial" w:hAnsi="Arial"/>
                <w:sz w:val="15"/>
                <w:szCs w:val="15"/>
                <w:color w:val="32406B"/>
              </w:rPr>
              <w:t>(1)</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32406B"/>
                <w:w w:val="94"/>
              </w:rPr>
              <w:t>12,732</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32406B"/>
              </w:rPr>
              <w:t>6,832</w:t>
            </w:r>
          </w:p>
        </w:tc>
        <w:tc>
          <w:tcPr>
            <w:tcW w:w="13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32406B"/>
              </w:rPr>
              <w:t>5,835</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32406B"/>
              </w:rPr>
              <w:t>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32406B"/>
              </w:rPr>
              <w:t>Purchase obligations</w:t>
            </w:r>
            <w:r>
              <w:rPr>
                <w:rFonts w:ascii="Arial" w:cs="Arial" w:eastAsia="Arial" w:hAnsi="Arial"/>
                <w:sz w:val="15"/>
                <w:szCs w:val="15"/>
                <w:color w:val="32406B"/>
              </w:rPr>
              <w:t>(2)</w:t>
            </w:r>
          </w:p>
        </w:tc>
        <w:tc>
          <w:tcPr>
            <w:tcW w:w="780" w:type="dxa"/>
            <w:vAlign w:val="bottom"/>
          </w:tcPr>
          <w:p>
            <w:pPr>
              <w:jc w:val="right"/>
              <w:ind w:right="155"/>
              <w:spacing w:after="0"/>
              <w:rPr>
                <w:sz w:val="20"/>
                <w:szCs w:val="20"/>
                <w:color w:val="auto"/>
              </w:rPr>
            </w:pPr>
            <w:r>
              <w:rPr>
                <w:rFonts w:ascii="Arial" w:cs="Arial" w:eastAsia="Arial" w:hAnsi="Arial"/>
                <w:sz w:val="18"/>
                <w:szCs w:val="18"/>
                <w:color w:val="32406B"/>
              </w:rPr>
              <w:t>2,382</w:t>
            </w:r>
          </w:p>
        </w:tc>
        <w:tc>
          <w:tcPr>
            <w:tcW w:w="900" w:type="dxa"/>
            <w:vAlign w:val="bottom"/>
          </w:tcPr>
          <w:p>
            <w:pPr>
              <w:jc w:val="right"/>
              <w:ind w:right="20"/>
              <w:spacing w:after="0"/>
              <w:rPr>
                <w:sz w:val="20"/>
                <w:szCs w:val="20"/>
                <w:color w:val="auto"/>
              </w:rPr>
            </w:pPr>
            <w:r>
              <w:rPr>
                <w:rFonts w:ascii="Arial" w:cs="Arial" w:eastAsia="Arial" w:hAnsi="Arial"/>
                <w:sz w:val="18"/>
                <w:szCs w:val="18"/>
                <w:color w:val="32406B"/>
              </w:rPr>
              <w:t>—</w:t>
            </w:r>
          </w:p>
        </w:tc>
        <w:tc>
          <w:tcPr>
            <w:tcW w:w="1320" w:type="dxa"/>
            <w:vAlign w:val="bottom"/>
          </w:tcPr>
          <w:p>
            <w:pPr>
              <w:jc w:val="right"/>
              <w:ind w:right="317"/>
              <w:spacing w:after="0"/>
              <w:rPr>
                <w:sz w:val="20"/>
                <w:szCs w:val="20"/>
                <w:color w:val="auto"/>
              </w:rPr>
            </w:pPr>
            <w:r>
              <w:rPr>
                <w:rFonts w:ascii="Arial" w:cs="Arial" w:eastAsia="Arial" w:hAnsi="Arial"/>
                <w:sz w:val="18"/>
                <w:szCs w:val="18"/>
                <w:color w:val="32406B"/>
              </w:rPr>
              <w:t>2,382</w:t>
            </w:r>
          </w:p>
        </w:tc>
        <w:tc>
          <w:tcPr>
            <w:tcW w:w="840" w:type="dxa"/>
            <w:vAlign w:val="bottom"/>
          </w:tcPr>
          <w:p>
            <w:pPr>
              <w:jc w:val="right"/>
              <w:ind w:right="135"/>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w:t>
            </w: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32406B"/>
                <w:w w:val="94"/>
              </w:rPr>
              <w:t>15,114</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32406B"/>
              </w:rPr>
              <w:t>6,832</w:t>
            </w:r>
          </w:p>
        </w:tc>
        <w:tc>
          <w:tcPr>
            <w:tcW w:w="1320" w:type="dxa"/>
            <w:vAlign w:val="bottom"/>
            <w:shd w:val="clear" w:color="auto" w:fill="CCEEFF"/>
          </w:tcPr>
          <w:p>
            <w:pPr>
              <w:jc w:val="right"/>
              <w:ind w:right="317"/>
              <w:spacing w:after="0"/>
              <w:rPr>
                <w:sz w:val="20"/>
                <w:szCs w:val="20"/>
                <w:color w:val="auto"/>
              </w:rPr>
            </w:pPr>
            <w:r>
              <w:rPr>
                <w:rFonts w:ascii="Arial" w:cs="Arial" w:eastAsia="Arial" w:hAnsi="Arial"/>
                <w:sz w:val="18"/>
                <w:szCs w:val="18"/>
                <w:b w:val="1"/>
                <w:bCs w:val="1"/>
                <w:color w:val="32406B"/>
              </w:rPr>
              <w:t>8,217</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32406B"/>
              </w:rPr>
              <w:t>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32406B"/>
        </w:rPr>
        <w:t>Notes:</w:t>
      </w:r>
    </w:p>
    <w:p>
      <w:pPr>
        <w:ind w:left="540" w:hanging="424"/>
        <w:spacing w:after="0" w:line="221" w:lineRule="auto"/>
        <w:tabs>
          <w:tab w:leader="none" w:pos="540" w:val="left"/>
        </w:tabs>
        <w:numPr>
          <w:ilvl w:val="0"/>
          <w:numId w:val="45"/>
        </w:numPr>
        <w:rPr>
          <w:rFonts w:ascii="Arial" w:cs="Arial" w:eastAsia="Arial" w:hAnsi="Arial"/>
          <w:sz w:val="14"/>
          <w:szCs w:val="14"/>
          <w:color w:val="32406B"/>
        </w:rPr>
      </w:pPr>
      <w:r>
        <w:rPr>
          <w:rFonts w:ascii="Arial" w:cs="Arial" w:eastAsia="Arial" w:hAnsi="Arial"/>
          <w:sz w:val="14"/>
          <w:szCs w:val="14"/>
          <w:color w:val="32406B"/>
        </w:rPr>
        <w:t>Operating leases represent total future minimum rent payments under non-cancelable operating lease agreements for our office premises.</w:t>
      </w:r>
    </w:p>
    <w:p>
      <w:pPr>
        <w:ind w:left="540" w:hanging="424"/>
        <w:spacing w:after="0"/>
        <w:tabs>
          <w:tab w:leader="none" w:pos="540" w:val="left"/>
        </w:tabs>
        <w:numPr>
          <w:ilvl w:val="0"/>
          <w:numId w:val="45"/>
        </w:numPr>
        <w:rPr>
          <w:rFonts w:ascii="Arial" w:cs="Arial" w:eastAsia="Arial" w:hAnsi="Arial"/>
          <w:sz w:val="14"/>
          <w:szCs w:val="14"/>
          <w:color w:val="32406B"/>
        </w:rPr>
      </w:pPr>
      <w:r>
        <w:rPr>
          <w:rFonts w:ascii="Arial" w:cs="Arial" w:eastAsia="Arial" w:hAnsi="Arial"/>
          <w:sz w:val="14"/>
          <w:szCs w:val="14"/>
          <w:color w:val="32406B"/>
        </w:rPr>
        <w:t>Purchase obligations represent total future minimum payments under a contract with one cloud infrastructure provider.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Holding Company Structure</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32406B"/>
        </w:rPr>
        <w:t>Tuya Inc. is a holding company with no material operations of its own. We conduct our operations through our PRC and other international subsidiaries. As a result, our ability to pay dividends depends upon dividends paid by our subsidiaries. If our subsidiaries incur debt on their own behalf in the future, the instruments governing their debt may restrict their ability to pay dividends to 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110</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32406B"/>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our consolidated VIE in China must make appropriations from their after-tax profit to non-distributable reserve funds including</w:t>
      </w:r>
    </w:p>
    <w:p>
      <w:pPr>
        <w:spacing w:after="0" w:line="2" w:lineRule="exact"/>
        <w:rPr>
          <w:sz w:val="20"/>
          <w:szCs w:val="20"/>
          <w:color w:val="auto"/>
        </w:rPr>
      </w:pPr>
    </w:p>
    <w:p>
      <w:pPr>
        <w:ind w:left="120" w:hanging="4"/>
        <w:spacing w:after="0" w:line="251" w:lineRule="auto"/>
        <w:tabs>
          <w:tab w:leader="none" w:pos="335"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consolidated VIE. Appropriation to discretionary surplus fund is made at the discretion of our consolidated VIE. Pursuant to the law applicable to China’s foreign investment enterprise, our subsidiaries that are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w:t>
      </w:r>
    </w:p>
    <w:p>
      <w:pPr>
        <w:spacing w:after="0" w:line="19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32406B"/>
        </w:rPr>
        <w:t>We are permitted under PRC laws and regulations to provide funding to our PRC subsidiaries in China through capital contributions or loans, subject to the approval of government authorities and limits on the amount of capital contributions and loans. In addition, our subsidiaries in China may provide RMB funding to our consolidated VIE only through entrusted loans. See “Risk Factors—Risks Related to Doing Business in China—PRC regulation of loans to and direct investment in PRC entities by offshore holding companies and governmental control of currency conversion may restrict or delay us from using the proceeds of this offering to make loans or additional capital contributions to our PRC subsidiaries and making loans to our VIE or its subsidiaries, which could adversely affect our liquidity and our ability to fund and expand our business” and “Use of Proceeds.” The ability of our subsidiaries in China to make dividends or other cash payments to us is subject to various restrictions under PRC laws and regulations. See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Internal Control Over Financial Reporting</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32406B"/>
        </w:rPr>
        <w:t>Prior to this offering, we have been a private company with limited accounting and financial reporting personnel and other resources to address our internal controls and procedures. In connection with the audit of our consolidated financial statements as of and for the years ended December 31, 2019 and 2020, we and our independent registered public accounting firm identified a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32406B"/>
        </w:rPr>
        <w:t>The material weakness identified is our company’s lack of sufficient and competent financial reporting and accounting personnel with appropriate knowledge and experience to address complex U.S. GAAP accounting issues and to prepare and review financial statements and related disclosures in accordance with U.S. GAAP and SEC reporting requirement.</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32406B"/>
        </w:rPr>
        <w:t>To remedy our identified material weakness, we have started to undertake steps to strengthen our internal control over financial reporting, including: (i) hiring more qualified resources including competent financial controllers and financial reporting managers, equipped with relevant U.S. GAAP and SEC reporting experiences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111</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32406B"/>
        </w:rPr>
        <w:t>and qualifications to strengthen the financial reporting function and to set up financial and system control framework, (ii) implementing regular and continuous U.S. GAAP accounting and financial reporting training programs for our accounting and financial reporting personnel, (iii) enhancing an internal audit function as well as engaging an external consulting firm to assist us to assess Sarbanes-Oxley compliance readiness and improve overall internal controls and (iv) sponsoring some of our accounting and financial reporting personnel to take the Uniform Certified Public Accountant Examination exam.</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32406B"/>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Factors—Risks Related to Our Business and Industry—If we fail to establish and maintain proper and effective internal control over financial reporting to remediate our material weaknesses, we may be unable to accurately report our results of operations, meet our reporting obligations or prevent fraud.”</w:t>
      </w:r>
    </w:p>
    <w:p>
      <w:pPr>
        <w:spacing w:after="0" w:line="18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32406B"/>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 However, pursuant to Section 404 and the related rules adopted by the SEC, we, as a public company after being listed, are required to maintain adequate internal control over financial reporting and include our management’s assessment of the effectiveness of our company’s internal control over financial reporting in our annual report for the fiscal year ending December 31, 2022.</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Off-Balance Sheet Arrangements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32406B"/>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Quantitative and Qualitative Disclosure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Interest Rate Risk</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32406B"/>
        </w:rPr>
        <w:t>Our exposure to interest rate risk primarily relates to the interest income generated by excess cash, which is mostly held in interest-bearing bank deposits.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Foreign Exchange Risk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We currently derive a significant majority of our revenues from IoT PaaS which, in turn, are generated primarily through our contracts with OEMs located in the PRC. These revenues are predominantly denominated in RMB. A substantial portion of our expenses are also denominated in RMB. Our reporting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112</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32406B"/>
        </w:rPr>
        <w:t>functional currency is the U.S. dollar. The financial statements of our subsidiaries and consolidated affiliated entities using functional currencies other than U.S. dollar, such as RMB, are translated to the U.S. dollar. As a result, as RMB depreciates or appreciates against the U.S. dollar, our revenue presented in U.S. dollars will be negatively or positively affected. We have not used any derivative financial instruments to hedge exposure to such risk. Although our exposure to foreign exchange risks should be limited in general, the value of your investment in the ADSs will be affected by the exchange rate between U.S. dollar and RMB because the value of our business is effectively denominated in RMB, while the ADSs representing our Class A ordinary shares will be traded in U.S. dollars.</w:t>
      </w:r>
    </w:p>
    <w:p>
      <w:pPr>
        <w:spacing w:after="0" w:line="192"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32406B"/>
        </w:rPr>
        <w:t>The value of the RMB against the U.S. dollar and other currencies is affected by changes in China’s political and economic conditions and by China’s foreign exchange policies, among other things. In July 2005, the PRC government changed its decades-old policy of pegging the value of the RMB to the U.S. dollar, and the RMB appreciated more than 20% against the U.S. dollar over the following three years. Since October 1, 2016, the RMB has joined the International Monetary Fund (IMF)’s basket of currencies that make up the Special Drawing Right (SDR), along with the U.S. dollar, the Euro, the Japanese yen and the British pound. With the development of the foreign exchange market and progress towards interest rate liberalization and RMB internationalization, the PRC government may in the future announce further changes to the exchange rate system and there is no guarantee that the RMB will not appreciate or depreciate significantly in value against the U.S. dollar in the future. It is difficult to predict how market forces or PRC or U.S. government policy may impact the exchange rate between the RMB and the U.S. dollar in the future.</w:t>
      </w:r>
    </w:p>
    <w:p>
      <w:pPr>
        <w:spacing w:after="0" w:line="165"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32406B"/>
        </w:rPr>
        <w:t>To the extent that we need to convert U.S. dollars into RMB for our operations, appreciation of RMB against the U.S. dollar would reduce the RMB amount we receive from the conversion. Conversely, if we decide to convert RMB into U.S. dollars for the purpose of making payments for dividends on our ordinary shares or ADSs, servicing our outstanding debt, or for other business purposes, appreciation of the U.S. dollar against the RMB would reduce the U.S. dollar amounts available to us.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Inflation Risk</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32406B"/>
        </w:rPr>
        <w:t>Since our inception, inflation in China has not materially impacted our results of operations. According to the National Bureau of Statistics of China, the year-over-year percent changes in the consumer price index for December 2018 and 2019 were increases of 1.9% and 4.5%, respectively. Although we have not in the past been materially affected by inflation since our inception, we can provide no assurance that we will not be affected in the future by higher rates of inflation in China.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Critical Accounting Policies, Judgments and Estimates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Revenue Recognition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We account for revenue in accordance with Accounting Standards Codification (ASC) Topic 606, Revenue From Contracts With Customers (ASC</w:t>
      </w:r>
    </w:p>
    <w:p>
      <w:pPr>
        <w:spacing w:after="0" w:line="46" w:lineRule="exact"/>
        <w:rPr>
          <w:sz w:val="20"/>
          <w:szCs w:val="20"/>
          <w:color w:val="auto"/>
        </w:rPr>
      </w:pPr>
    </w:p>
    <w:p>
      <w:pPr>
        <w:ind w:left="120" w:hanging="4"/>
        <w:spacing w:after="0" w:line="288" w:lineRule="auto"/>
        <w:tabs>
          <w:tab w:leader="none" w:pos="495" w:val="left"/>
        </w:tabs>
        <w:numPr>
          <w:ilvl w:val="0"/>
          <w:numId w:val="47"/>
        </w:numPr>
        <w:rPr>
          <w:rFonts w:ascii="Arial" w:cs="Arial" w:eastAsia="Arial" w:hAnsi="Arial"/>
          <w:sz w:val="16"/>
          <w:szCs w:val="16"/>
          <w:color w:val="32406B"/>
        </w:rPr>
      </w:pPr>
      <w:r>
        <w:rPr>
          <w:rFonts w:ascii="Arial" w:cs="Arial" w:eastAsia="Arial" w:hAnsi="Arial"/>
          <w:sz w:val="16"/>
          <w:szCs w:val="16"/>
          <w:color w:val="32406B"/>
        </w:rPr>
        <w:t>for all periods presented. According to ASC 606, revenue is recognized when control of the promised goods or services is transferred to the customers, in an amount that reflects the consideration We expect to be entitled to in exchange for those goods or services. We determine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We assess our revenue arrangements against specific criteria in order to determine if it is acting as principal or agent. Revenue arrangements with multiple performance obligations are divided into separate distinct goods or services. We allocate the transaction price to each performance obligation based on the relative standalone selling price of the goods or services provided.</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113</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Revenue is recorded net of value-added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revenue was disaggregated by its major revenue streams in the years presented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5"/>
          </w:tcPr>
          <w:p>
            <w:pPr>
              <w:ind w:left="24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8900" w:type="dxa"/>
            <w:vAlign w:val="bottom"/>
          </w:tcPr>
          <w:p>
            <w:pPr>
              <w:spacing w:after="0"/>
              <w:rPr>
                <w:sz w:val="12"/>
                <w:szCs w:val="12"/>
                <w:color w:val="auto"/>
              </w:rPr>
            </w:pPr>
          </w:p>
        </w:tc>
        <w:tc>
          <w:tcPr>
            <w:tcW w:w="7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32406B"/>
              </w:rPr>
              <w:t>2019</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32406B"/>
              </w:rPr>
              <w:t>2020</w:t>
            </w:r>
          </w:p>
        </w:tc>
        <w:tc>
          <w:tcPr>
            <w:tcW w:w="8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32406B"/>
              </w:rPr>
              <w:t>IoT PaaS</w:t>
            </w:r>
          </w:p>
        </w:tc>
        <w:tc>
          <w:tcPr>
            <w:tcW w:w="1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32406B"/>
              </w:rPr>
              <w:t>76,365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151,677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32406B"/>
              </w:rPr>
              <w:t>Smart device distribution</w:t>
            </w:r>
          </w:p>
        </w:tc>
        <w:tc>
          <w:tcPr>
            <w:tcW w:w="1300" w:type="dxa"/>
            <w:vAlign w:val="bottom"/>
            <w:gridSpan w:val="3"/>
          </w:tcPr>
          <w:p>
            <w:pPr>
              <w:ind w:left="220"/>
              <w:spacing w:after="0"/>
              <w:rPr>
                <w:sz w:val="20"/>
                <w:szCs w:val="20"/>
                <w:color w:val="auto"/>
              </w:rPr>
            </w:pPr>
            <w:r>
              <w:rPr>
                <w:rFonts w:ascii="Arial" w:cs="Arial" w:eastAsia="Arial" w:hAnsi="Arial"/>
                <w:sz w:val="18"/>
                <w:szCs w:val="18"/>
                <w:color w:val="32406B"/>
              </w:rPr>
              <w:t>27,474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32406B"/>
              </w:rPr>
              <w:t>22,071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32406B"/>
              </w:rPr>
              <w:t>SaaS and others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1,950</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6,126</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32406B"/>
              </w:rPr>
              <w:t>Total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105,789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179,874</w:t>
            </w:r>
          </w:p>
        </w:tc>
        <w:tc>
          <w:tcPr>
            <w:tcW w:w="8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 Revenue from IoT PaaS</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32406B"/>
        </w:rPr>
        <w:t>Our IoT PaaS combines cloud-based connectivity and basic IoT services, edge capabilities (including modules and IoT operating system embedded), device optimization solutions, and app development. Customers are charged based on the number of IoT PaaS product to be deployed on smart devices. We determined there are two distinct performance obligations in the delivery of IoT PaaS including (1) IoT PaaS product with edge capabilities, device optimization solutions and app development and; (2) cloud-based connectivity and basic IoT services provided to customers and end consumers. We allocate the transaction price to each performance obligation based on their relative standalone selling price. The standalone selling price for IoT PaaS is estimated based on the competitor’s pricing for similar products in the market, adjusted for entity-specific factors. As the standalone selling price of the cloud-based connectivity and basic IoT services is not directly observable, it is estimated by us by using an expected cost plus a margin approach. Key areas of judgment include the selection of relevant cloud and other costs necessary to satisfy the performance obligation and estimated profit margins. For the delivery of IoT PaaS product, revenue is recognized when IoT PaaS products are accepted by customers, which is the point that control of the product is transferred to the customers. A receivable is recognized when the IoT PaaS products are delivered and accepted by customers as this is the point in time that the consideration is unconditional. For cloud-based connectivity and basic IoT services, revenue is deferred and subsequently recognized from the end consumer’s activation to the end of the estimated IoT PaaS product’s life cycle on a straight-line basis. Based on our historical information, activation occurs, on average, an estimated 6 months after the IoT PaaS products are delivered to customers. The length of life cycle of the IoT PaaS products is estimated based on the historical data in previous years and by referencing the life cycle of different smart devices (e.g. lighting, security and monitoring devices) which ranged from 1.5 to 2 years.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Customers have a general right of return of the unqualified IoT PaaS products. Historically, the rate of return has not been material.</w:t>
      </w:r>
    </w:p>
    <w:p>
      <w:pPr>
        <w:spacing w:after="0" w:line="22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32406B"/>
        </w:rPr>
        <w:t>We started a membership program (the “2019 Membership Program”) in the fourth quarter of 2019. In the 2019 Membership Program, customers pay a fixed fee in exchange for IoT PaaS discount, VIP technical support, valued added services (“VAS” i.e. customized app development), and free participation in promotional activities. The promise to provide for technical support related services, the promotion related services and VAS are considered immaterial promises in the contract and are not considered distinct performance obligations. The membership fee is refundable if the volume requirements are met when the membership period ends. We historically generally refunds the membership fees even if the volume requirements are not met. Therefore, We do not expect being able to keep any of the membership fees and such fees are recorded as a refund liability under the 2019 Membership Program.</w:t>
      </w:r>
    </w:p>
    <w:p>
      <w:pPr>
        <w:spacing w:after="0" w:line="195"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32406B"/>
        </w:rPr>
        <w:t>We launched a new membership program (the “2020 Membership Program”) in the fourth quarter of 2020 and are no longer offering the 2019 Membership Program. In the 2020 Membership Program, customers pay a non-refundable fixed fee in exchange for member-exclusive IoT PaaS discounts within the membership period of typically 12 months. We record the upfront fixed membership fee as a deferred revenue and recognize revenue on a straight-line basis typically over the 12-month membership period in which customers entitle to the membership.</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114</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II. Revenue from smart device distribution</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32406B"/>
        </w:rPr>
        <w:t>In certain circumstances, we offer select brands, primarily customers who prefer not to deal with multiple OEMs, an option to purchase directly from our finished smart devices where IoT PaaS is deployed. After the brands place purchase orders directly with us, we then source the appropriate smart devices from OEMs based on the type of devices, hardware specifications and other metrics. We determine that there are two distinct performance obligations for its smart device distribution including the (1) smart devices embedded with IoT PaaS; and (2) cloud-based connectivity and basic IoT services. The transaction price allocation and revenue recognition are the same as the revenue from IoT PaaS.</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32406B"/>
        </w:rPr>
        <w:t>We present the revenue generated from its smart device distribution on a gross basis as we have control of the smart devices before they are transferred to the brand customers. In making this determination, we conclude we met the principles of control and also that we are the primary obligor to the brand customers, are subject to inventory risk and have latitude in establishing prices.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III. Revenue from SaaS and others</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32406B"/>
        </w:rPr>
        <w:t>SaaS and other revenue mainly include industry SaaS, customized software development and configuration, and other VAS to both business customers and the end consumers.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32406B"/>
        </w:rPr>
        <w:t>Industry SaaS is a vertical-focused software solution that enables businesses to easily and securely deploy, connect, and manage large numbers of smart devices for which we generally charge an annual subscription fee. These services include software authorization and standard SaaS platform maintenances and technical support.</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32406B"/>
        </w:rPr>
        <w:t>Customized software development and configuration mainly relate to contracts for the specific IT needs of the brands. The contracts generally include fixed milestone payments determined based on expected labor hours to complete the milestone.</w:t>
      </w:r>
    </w:p>
    <w:p>
      <w:pPr>
        <w:spacing w:after="0" w:line="170"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32406B"/>
        </w:rPr>
        <w:t>VAS primarily includes complementary services that are provided to brands and OEMs such as app launch, AI-powered virtual voice assistants, and data analytics and others. Such arrangements with the customers are short term and the performance obligations are satisfied at one point in time. VAS also include cloud-based services for the end customers such as IoT data storage, push messaging, object detection and digital content.</w:t>
      </w:r>
    </w:p>
    <w:p>
      <w:pPr>
        <w:spacing w:after="0" w:line="14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32406B"/>
        </w:rPr>
        <w:t>There are different kinds of contracts included in the SaaS and others, and each contract may contain multiple elements. We identify the distinct performance allocations and allocates transaction price to each distinct performance obligation based on relative estimated standalone selling price. Revenue is recognized when the performance obligations are satisfied, which is either over a period of time or at one point in time.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Remaining performance obligations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32406B"/>
        </w:rPr>
        <w:t>The remaining performance obligations primarily relate to our provision of i) cloud-based connectivity and basic IoT services; ii) membership services; and iii) SaaS and others, and all three of them are included in deferred revenue.</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32406B"/>
        </w:rPr>
        <w:t>The amounts allocated to the cloud-based connectivity and basic IoT services are deferred and recognized on a straight-line basis over the estimated IoT PaaS product’s life cycle. We apportion deferred revenue between current and non-current based upon cloud-based connectivity and basic IoT services to be provided over the life cycle of smart devices. Deferred revenue relating to our cloud services that have an expiration date of less than 12 months are classified as current, otherwise non-current.</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32406B"/>
        </w:rPr>
        <w:t>Starting from the fourth quarter of 2020, there are i) upfront fixed membership fee received and recorded as part of the deferred revenue, it is recognized as revenue on a straight-line basis typically over the 12-month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115</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32406B"/>
        </w:rPr>
        <w:t>membership period in which customers are entitled to the membership; and ii) amounts related to providing Industry SaaS (included in SaaS and others), in general, we charge annual subscription fee, which is deferred and recognized on a straight-line basis typically over the 12-month service period.</w:t>
      </w:r>
    </w:p>
    <w:p>
      <w:pPr>
        <w:spacing w:after="0" w:line="12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32406B"/>
        </w:rPr>
        <w:t>As of December 31, 2019 and 2020, the aggregate amount of transaction price allocated to the remaining performance obligations was US$0.8 million and US$4.2 million respectively, of which US$0.5 million and US$3.5 million were recorded in current deferred revenue while US$0.3 million and US$0.7 million were recorded in non-current deferred revenue respectively.</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32406B"/>
        </w:rPr>
        <w:t>Our contract liability, including both deferred revenue and the advance from customers, is US$14.8 million and US$31.3 million as of December 31, 2019 and 2020 respectively.</w:t>
      </w:r>
    </w:p>
    <w:p>
      <w:pPr>
        <w:spacing w:after="0" w:line="170"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32406B"/>
        </w:rPr>
        <w:t>We apply the practical expedient to omit disclosure of information about the transaction price allocated to remaining performance obligations and when revenue will be recognized, for the related contract has a duration of one year or less. The remaining amounts recorded in non-current deferred revenue of US$0.3 million and US$0.7 million as of December 31, 2019 and 2020, respectively, would likely be recognized within 18-24 months.</w:t>
      </w:r>
    </w:p>
    <w:p>
      <w:pPr>
        <w:spacing w:after="0" w:line="14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32406B"/>
        </w:rPr>
        <w:t>We provide warranty for IoT PaaS and smart device distribution mainly for one year. We accrue a warranty reserve for all IoT PaaS and smart device distribution, which include our best estimate of the projected costs to repair or replace items under warranties. These estimates are based on actual claims incurred to date and an estimate of the nature, frequency and costs of future claims. These estimates are inherently uncertain given our relatively short history of sales, and changes to the historical or projected warranty experience may cause material changes to the warranty reserve when we accumulate more actual data and experience in the future. The warranty reserve expected to be incurred is included within accruals and other liabilities in our consolidated balance sheets included elsewhere in this prospectus.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Share-based Compensation</w:t>
      </w:r>
    </w:p>
    <w:p>
      <w:pPr>
        <w:spacing w:after="0" w:line="117" w:lineRule="exact"/>
        <w:rPr>
          <w:sz w:val="20"/>
          <w:szCs w:val="20"/>
          <w:color w:val="auto"/>
        </w:rPr>
      </w:pPr>
    </w:p>
    <w:p>
      <w:pPr>
        <w:ind w:left="120" w:right="1080" w:firstLine="440"/>
        <w:spacing w:after="0" w:line="342" w:lineRule="auto"/>
        <w:rPr>
          <w:sz w:val="20"/>
          <w:szCs w:val="20"/>
          <w:color w:val="auto"/>
        </w:rPr>
      </w:pPr>
      <w:r>
        <w:rPr>
          <w:rFonts w:ascii="Arial" w:cs="Arial" w:eastAsia="Arial" w:hAnsi="Arial"/>
          <w:sz w:val="16"/>
          <w:szCs w:val="16"/>
          <w:color w:val="32406B"/>
        </w:rPr>
        <w:t>We grant restricted shares to the founders (also as key member of the management) and our share options to eligible employees and nonemployees. We account for these share-based awards in accordance with ASC 718 Compensation — Stock Compensation.</w:t>
      </w:r>
    </w:p>
    <w:p>
      <w:pPr>
        <w:spacing w:after="0" w:line="124"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32406B"/>
        </w:rPr>
        <w:t>The founders and employees’ share-based awards are measured at the grant date fair value of the awards and recognized as expenses using a straight-line method over the requisite service period, which is the vesting period. For share-based awards granted with only service conditions to our PRC employees, we allow accelerated full vesting upon occurrence of a change in control (including defined in our 2015 Equity Incentive Plan), cumulative share-based compensation expenses for the share-based awards should be recorded upon the completion of the change in control.</w:t>
      </w:r>
    </w:p>
    <w:p>
      <w:pPr>
        <w:spacing w:after="0" w:line="15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32406B"/>
        </w:rPr>
        <w:t>For nonemployees’ share-based awards, we adopted ASU 2018-07 “Improvements to Nonemployee Share-Based Payment Accounting” for the periods presented. In accordance with ASU 2018-07, it clarifies that equity-classified nonemployee share-based awards are measured at the grant date. The definition of the term grant date is amended to generally state the date at which a grantor and a grantee reach a mutual understanding of the key terms and conditions of a share-based payment award. Nonemployee share-based awards are measured at the grant date fair value of the awards and recognized as expenses using a straight-line method over the requisite service period, which is the vesting period.</w:t>
      </w:r>
    </w:p>
    <w:p>
      <w:pPr>
        <w:spacing w:after="0" w:line="16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32406B"/>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32406B"/>
        </w:rPr>
        <w:t>We adopted the binomial option-pricing model to measure the value of share options. For more information about the determination of the fair value of share options, see “Management’s Discussion and Analysis of Financial Condition and Results of Operations—Critical Accounting Policies, Judgments and Estimates—Fair value of share options.”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116</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32406B"/>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In accordance with ASU 2016-09, we made an entity-wide accounting policy election to account for forfeitures when they occur.</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32406B"/>
              </w:rPr>
              <w:t>Year ended December 31,</w:t>
            </w:r>
          </w:p>
        </w:tc>
      </w:tr>
      <w:tr>
        <w:trPr>
          <w:trHeight w:val="156"/>
        </w:trPr>
        <w:tc>
          <w:tcPr>
            <w:tcW w:w="76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32406B"/>
              </w:rPr>
              <w:t>2019</w:t>
            </w:r>
          </w:p>
        </w:tc>
        <w:tc>
          <w:tcPr>
            <w:tcW w:w="1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32406B"/>
              </w:rPr>
              <w:t>2020</w:t>
            </w: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Exercise price (US$)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0.79~1.08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0.3~1.08</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32406B"/>
              </w:rPr>
              <w:t>Exercise multiple</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32406B"/>
              </w:rPr>
              <w:t>2.2~2.8</w:t>
            </w:r>
          </w:p>
        </w:tc>
        <w:tc>
          <w:tcPr>
            <w:tcW w:w="1660" w:type="dxa"/>
            <w:vAlign w:val="bottom"/>
          </w:tcPr>
          <w:p>
            <w:pPr>
              <w:jc w:val="right"/>
              <w:spacing w:after="0"/>
              <w:rPr>
                <w:sz w:val="20"/>
                <w:szCs w:val="20"/>
                <w:color w:val="auto"/>
              </w:rPr>
            </w:pPr>
            <w:r>
              <w:rPr>
                <w:rFonts w:ascii="Arial" w:cs="Arial" w:eastAsia="Arial" w:hAnsi="Arial"/>
                <w:sz w:val="18"/>
                <w:szCs w:val="18"/>
                <w:color w:val="32406B"/>
              </w:rPr>
              <w:t>2.2~2.8</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Risk-free interest rate</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2.08%~2.79%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0.70%~0.82%</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32406B"/>
              </w:rPr>
              <w:t>Expected term (in years)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32406B"/>
              </w:rPr>
              <w:t>10</w:t>
            </w:r>
          </w:p>
        </w:tc>
        <w:tc>
          <w:tcPr>
            <w:tcW w:w="1660" w:type="dxa"/>
            <w:vAlign w:val="bottom"/>
          </w:tcPr>
          <w:p>
            <w:pPr>
              <w:jc w:val="right"/>
              <w:spacing w:after="0"/>
              <w:rPr>
                <w:sz w:val="20"/>
                <w:szCs w:val="20"/>
                <w:color w:val="auto"/>
              </w:rPr>
            </w:pPr>
            <w:r>
              <w:rPr>
                <w:rFonts w:ascii="Arial" w:cs="Arial" w:eastAsia="Arial" w:hAnsi="Arial"/>
                <w:sz w:val="18"/>
                <w:szCs w:val="18"/>
                <w:color w:val="32406B"/>
              </w:rPr>
              <w:t>10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Expected dividend yield</w:t>
            </w:r>
          </w:p>
        </w:tc>
        <w:tc>
          <w:tcPr>
            <w:tcW w:w="17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32406B"/>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32406B"/>
              </w:rPr>
              <w:t>—</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32406B"/>
              </w:rPr>
              <w:t>Expected volatility</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32406B"/>
              </w:rPr>
              <w:t>50.30%~51.13%</w:t>
            </w:r>
          </w:p>
        </w:tc>
        <w:tc>
          <w:tcPr>
            <w:tcW w:w="1660" w:type="dxa"/>
            <w:vAlign w:val="bottom"/>
          </w:tcPr>
          <w:p>
            <w:pPr>
              <w:jc w:val="right"/>
              <w:spacing w:after="0"/>
              <w:rPr>
                <w:sz w:val="20"/>
                <w:szCs w:val="20"/>
                <w:color w:val="auto"/>
              </w:rPr>
            </w:pPr>
            <w:r>
              <w:rPr>
                <w:rFonts w:ascii="Arial" w:cs="Arial" w:eastAsia="Arial" w:hAnsi="Arial"/>
                <w:sz w:val="18"/>
                <w:szCs w:val="18"/>
                <w:color w:val="32406B"/>
              </w:rPr>
              <w:t>50.66%~50.96%</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Expected forfeiture rate (post-vesting)</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4.19%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3.88%</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32406B"/>
              </w:rPr>
              <w:t>Fair value of the underlying shares on the date of options grants (US$)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32406B"/>
              </w:rPr>
              <w:t>1.56~2.66</w:t>
            </w:r>
          </w:p>
        </w:tc>
        <w:tc>
          <w:tcPr>
            <w:tcW w:w="1660" w:type="dxa"/>
            <w:vAlign w:val="bottom"/>
          </w:tcPr>
          <w:p>
            <w:pPr>
              <w:jc w:val="right"/>
              <w:spacing w:after="0"/>
              <w:rPr>
                <w:sz w:val="20"/>
                <w:szCs w:val="20"/>
                <w:color w:val="auto"/>
              </w:rPr>
            </w:pPr>
            <w:r>
              <w:rPr>
                <w:rFonts w:ascii="Arial" w:cs="Arial" w:eastAsia="Arial" w:hAnsi="Arial"/>
                <w:sz w:val="18"/>
                <w:szCs w:val="18"/>
                <w:color w:val="32406B"/>
              </w:rPr>
              <w:t>2.66~3.02</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32406B"/>
              </w:rPr>
              <w:t>Fair value of share option (US$)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1.02~1.98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1.98~2.54</w:t>
            </w:r>
          </w:p>
        </w:tc>
      </w:tr>
    </w:tbl>
    <w:p>
      <w:pPr>
        <w:spacing w:after="0" w:line="20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32406B"/>
        </w:rPr>
        <w:t>The expected volatility at the grant date and each option valuation date was estimated based on the annualized standard deviation of the daily return embedded in historical share prices of comparable peer companies with a time horizon equal to the expected expiry of the term of the options. We have not declared or paid any cash dividends on our capital stock, and we do not anticipate any dividend payments in the foreseeable future. Expected term is the contract life of the options. We estimated the risk-free interest rate based on the yield to maturity of U.S. treasury bonds denominated in US dollars at the option valuation date.</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32406B"/>
        </w:rPr>
        <w:t>For the purpose of determining the estimated fair value of our share options, we believe the expected volatility and the estimated fair value of our ordinary shares are the most critical assumptions. Changes in these assumptions could significantly affect the fair value of share options and hence the amount of stock-based compensation we recognize in our consolidated financial statements. Since we did not have a trading history for our shares sufficient to calculate our own historical volatility, the expected volatility of our future ordinary share price was estimated based on the price volatility of the shares of comparable public companies that operate in the same or similar business.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32406B"/>
        </w:rPr>
        <w:t>Subsequent to December 31, 2020, (i) on January 5, 2021, we granted a total of 9,255,000 share options to our employee and non-employees, (ii) on January 13, 2021, we entered into agreements with certain optionees under the 2015 Plan to amend the exercise price of certain outstanding share options held by these optionees located outside of the U.S. to purchase our ordinary shares, (iii) in early February 2021, we issued total 16,026,282 shares of ordinary shares for US$12.48 per share, with total consideration of approximately US$200 million from two investors at fair market price, including one holder of our Series D Preferred Shares and (iv) on February 21, 2021, we granted a total of 5,405,000 share options to our employee and non-employees.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Mezzanine Equity</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32406B"/>
        </w:rPr>
        <w:t>Mezzanine equity represents the Series A, Series A-1, Series B, Series C and Series D convertible preferred shares (collectively, the “Preferred Shares”) issued by us. Preferred Shares are contingently redeemable upon the occurrence of an event that is outside of our control. Therefore, we classify the Preferred Shares as mezzanine equity.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Fair value of ordinary shares</w:t>
      </w:r>
    </w:p>
    <w:p>
      <w:pPr>
        <w:spacing w:after="0" w:line="11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32406B"/>
        </w:rPr>
        <w:t>Prior to our initial public offering, we were a private company with no quoted market prices for our ordinary shares. We therefore needed to make estimates of financial forecast at various dates for the purpose of determining the fair value of our ordinary shares at the date of the grant of share-based compensation awards to our employees as one of the inputs into determining the grant date fair value of the option.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117</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32406B"/>
        </w:rPr>
        <w:t>The following table sets forth the fair value of our ordinary shares estimated at the grant dates of options with the assistance from an independent valuation firm.</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32406B"/>
                <w:w w:val="92"/>
              </w:rPr>
              <w:t>Date of valuation</w:t>
            </w:r>
          </w:p>
        </w:tc>
        <w:tc>
          <w:tcPr>
            <w:tcW w:w="5120" w:type="dxa"/>
            <w:vAlign w:val="bottom"/>
            <w:vMerge w:val="restart"/>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3"/>
              </w:rPr>
              <w:t>Fair Value Per Share</w:t>
            </w:r>
          </w:p>
        </w:tc>
        <w:tc>
          <w:tcPr>
            <w:tcW w:w="15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32406B"/>
              </w:rPr>
              <w:t>DLOM</w:t>
            </w:r>
          </w:p>
        </w:tc>
        <w:tc>
          <w:tcPr>
            <w:tcW w:w="14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32406B"/>
              </w:rPr>
              <w:t>Discount Rates</w:t>
            </w:r>
          </w:p>
        </w:tc>
        <w:tc>
          <w:tcPr>
            <w:tcW w:w="0" w:type="dxa"/>
            <w:vAlign w:val="bottom"/>
          </w:tcPr>
          <w:p>
            <w:pPr>
              <w:spacing w:after="0"/>
              <w:rPr>
                <w:sz w:val="1"/>
                <w:szCs w:val="1"/>
                <w:color w:val="auto"/>
              </w:rPr>
            </w:pPr>
          </w:p>
        </w:tc>
      </w:tr>
      <w:tr>
        <w:trPr>
          <w:trHeight w:val="191"/>
        </w:trPr>
        <w:tc>
          <w:tcPr>
            <w:tcW w:w="1060" w:type="dxa"/>
            <w:vAlign w:val="bottom"/>
            <w:tcBorders>
              <w:bottom w:val="single" w:sz="8" w:color="auto"/>
            </w:tcBorders>
            <w:vMerge w:val="continue"/>
          </w:tcPr>
          <w:p>
            <w:pPr>
              <w:spacing w:after="0"/>
              <w:rPr>
                <w:sz w:val="16"/>
                <w:szCs w:val="16"/>
                <w:color w:val="auto"/>
              </w:rPr>
            </w:pPr>
          </w:p>
        </w:tc>
        <w:tc>
          <w:tcPr>
            <w:tcW w:w="5120" w:type="dxa"/>
            <w:vAlign w:val="bottom"/>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8"/>
              </w:rPr>
              <w:t>(US$)</w:t>
            </w:r>
          </w:p>
        </w:tc>
        <w:tc>
          <w:tcPr>
            <w:tcW w:w="154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January 4, 2019</w:t>
            </w:r>
          </w:p>
        </w:tc>
        <w:tc>
          <w:tcPr>
            <w:tcW w:w="1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1.56</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25.00%</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21.00%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32406B"/>
              </w:rPr>
              <w:t>May 15, 2019</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32406B"/>
              </w:rPr>
              <w:t>2.57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32406B"/>
              </w:rPr>
              <w:t>24.00%</w:t>
            </w:r>
          </w:p>
        </w:tc>
        <w:tc>
          <w:tcPr>
            <w:tcW w:w="1440" w:type="dxa"/>
            <w:vAlign w:val="bottom"/>
          </w:tcPr>
          <w:p>
            <w:pPr>
              <w:jc w:val="right"/>
              <w:spacing w:after="0"/>
              <w:rPr>
                <w:sz w:val="20"/>
                <w:szCs w:val="20"/>
                <w:color w:val="auto"/>
              </w:rPr>
            </w:pPr>
            <w:r>
              <w:rPr>
                <w:rFonts w:ascii="Arial" w:cs="Arial" w:eastAsia="Arial" w:hAnsi="Arial"/>
                <w:sz w:val="18"/>
                <w:szCs w:val="18"/>
                <w:color w:val="32406B"/>
              </w:rPr>
              <w:t>Not applicable.</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November 11, 2019</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2.57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24.00%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Not applicable.</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32406B"/>
              </w:rPr>
              <w:t>April 27, 2020</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32406B"/>
              </w:rPr>
              <w:t>2.82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32406B"/>
              </w:rPr>
              <w:t>19.00%</w:t>
            </w:r>
          </w:p>
        </w:tc>
        <w:tc>
          <w:tcPr>
            <w:tcW w:w="1440" w:type="dxa"/>
            <w:vAlign w:val="bottom"/>
          </w:tcPr>
          <w:p>
            <w:pPr>
              <w:jc w:val="right"/>
              <w:spacing w:after="0"/>
              <w:rPr>
                <w:sz w:val="20"/>
                <w:szCs w:val="20"/>
                <w:color w:val="auto"/>
              </w:rPr>
            </w:pPr>
            <w:r>
              <w:rPr>
                <w:rFonts w:ascii="Arial" w:cs="Arial" w:eastAsia="Arial" w:hAnsi="Arial"/>
                <w:sz w:val="18"/>
                <w:szCs w:val="18"/>
                <w:color w:val="32406B"/>
              </w:rPr>
              <w:t>20.00%</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July 31, 2020</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2.82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19.00%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20.00%</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32406B"/>
              </w:rPr>
              <w:t>January 5, 2021</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32406B"/>
              </w:rPr>
              <w:t>12.48</w:t>
            </w:r>
          </w:p>
        </w:tc>
        <w:tc>
          <w:tcPr>
            <w:tcW w:w="1540" w:type="dxa"/>
            <w:vAlign w:val="bottom"/>
            <w:gridSpan w:val="2"/>
          </w:tcPr>
          <w:p>
            <w:pPr>
              <w:ind w:left="340"/>
              <w:spacing w:after="0"/>
              <w:rPr>
                <w:sz w:val="20"/>
                <w:szCs w:val="20"/>
                <w:color w:val="auto"/>
              </w:rPr>
            </w:pPr>
            <w:r>
              <w:rPr>
                <w:rFonts w:ascii="Arial" w:cs="Arial" w:eastAsia="Arial" w:hAnsi="Arial"/>
                <w:sz w:val="18"/>
                <w:szCs w:val="18"/>
                <w:color w:val="32406B"/>
                <w:w w:val="99"/>
              </w:rPr>
              <w:t>Not applicable.</w:t>
            </w:r>
          </w:p>
        </w:tc>
        <w:tc>
          <w:tcPr>
            <w:tcW w:w="1440" w:type="dxa"/>
            <w:vAlign w:val="bottom"/>
          </w:tcPr>
          <w:p>
            <w:pPr>
              <w:jc w:val="right"/>
              <w:spacing w:after="0"/>
              <w:rPr>
                <w:sz w:val="20"/>
                <w:szCs w:val="20"/>
                <w:color w:val="auto"/>
              </w:rPr>
            </w:pPr>
            <w:r>
              <w:rPr>
                <w:rFonts w:ascii="Arial" w:cs="Arial" w:eastAsia="Arial" w:hAnsi="Arial"/>
                <w:sz w:val="18"/>
                <w:szCs w:val="18"/>
                <w:color w:val="32406B"/>
              </w:rPr>
              <w:t>Not applicable.</w:t>
            </w:r>
          </w:p>
        </w:tc>
        <w:tc>
          <w:tcPr>
            <w:tcW w:w="0" w:type="dxa"/>
            <w:vAlign w:val="bottom"/>
          </w:tcPr>
          <w:p>
            <w:pPr>
              <w:spacing w:after="0"/>
              <w:rPr>
                <w:sz w:val="1"/>
                <w:szCs w:val="1"/>
                <w:color w:val="auto"/>
              </w:rPr>
            </w:pPr>
          </w:p>
        </w:tc>
      </w:tr>
      <w:tr>
        <w:trPr>
          <w:trHeight w:val="229"/>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January 13, 2021</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12.48</w:t>
            </w: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w w:val="99"/>
              </w:rPr>
              <w:t>Not applicable.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Not applicable.</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32406B"/>
              </w:rPr>
              <w:t>February 21, 2021</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32406B"/>
              </w:rPr>
              <w:t>14.46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32406B"/>
              </w:rPr>
              <w:t>5%</w:t>
            </w:r>
          </w:p>
        </w:tc>
        <w:tc>
          <w:tcPr>
            <w:tcW w:w="1440" w:type="dxa"/>
            <w:vAlign w:val="bottom"/>
          </w:tcPr>
          <w:p>
            <w:pPr>
              <w:jc w:val="right"/>
              <w:spacing w:after="0"/>
              <w:rPr>
                <w:sz w:val="20"/>
                <w:szCs w:val="20"/>
                <w:color w:val="auto"/>
              </w:rPr>
            </w:pPr>
            <w:r>
              <w:rPr>
                <w:rFonts w:ascii="Arial" w:cs="Arial" w:eastAsia="Arial" w:hAnsi="Arial"/>
                <w:sz w:val="18"/>
                <w:szCs w:val="18"/>
                <w:color w:val="32406B"/>
              </w:rPr>
              <w:t>Not applicable.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32406B"/>
        </w:rPr>
        <w:t>The option-pricing method was used to allocate equity value of our company to preferred and ordinary shares, taking into account the guidance prescribed by the AICPA Audit and Accounting Practice Aid. This method requires making estimates of the anticipated timing of a potential liquidity event, such as a sale of our company or an initial public offering, and estimates of the volatility of our equity securities. The anticipated timing is based on the plans of our board and management. The other major assumptions used in calculating the fair value of ordinary shares include:</w:t>
      </w:r>
    </w:p>
    <w:p>
      <w:pPr>
        <w:spacing w:after="0" w:line="63" w:lineRule="exact"/>
        <w:rPr>
          <w:sz w:val="20"/>
          <w:szCs w:val="20"/>
          <w:color w:val="auto"/>
        </w:rPr>
      </w:pPr>
    </w:p>
    <w:p>
      <w:pPr>
        <w:ind w:left="1080" w:right="40" w:hanging="532"/>
        <w:spacing w:after="0" w:line="277" w:lineRule="auto"/>
        <w:tabs>
          <w:tab w:leader="none" w:pos="108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Weighted average cost of capital, or WACC: The WACCs were determined in consideration of factors including risk-free rate, comparative industry risk, equity risk premium, company size and non-systematic risk factors.</w:t>
      </w:r>
    </w:p>
    <w:p>
      <w:pPr>
        <w:spacing w:after="0" w:line="75" w:lineRule="exact"/>
        <w:rPr>
          <w:rFonts w:ascii="Arial" w:cs="Arial" w:eastAsia="Arial" w:hAnsi="Arial"/>
          <w:sz w:val="18"/>
          <w:szCs w:val="18"/>
          <w:color w:val="32406B"/>
        </w:rPr>
      </w:pPr>
    </w:p>
    <w:p>
      <w:pPr>
        <w:ind w:left="1080" w:right="200" w:hanging="532"/>
        <w:spacing w:after="0" w:line="277" w:lineRule="auto"/>
        <w:tabs>
          <w:tab w:leader="none" w:pos="108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Comparable companies: In deriving the WACCs, which are used as the discount rates under the income approach, certain publicly traded companies in the internet industry were selected for reference as our guideline companies.</w:t>
      </w:r>
    </w:p>
    <w:p>
      <w:pPr>
        <w:spacing w:after="0" w:line="75" w:lineRule="exact"/>
        <w:rPr>
          <w:rFonts w:ascii="Arial" w:cs="Arial" w:eastAsia="Arial" w:hAnsi="Arial"/>
          <w:sz w:val="18"/>
          <w:szCs w:val="18"/>
          <w:color w:val="32406B"/>
        </w:rPr>
      </w:pPr>
    </w:p>
    <w:p>
      <w:pPr>
        <w:ind w:left="1080" w:right="40" w:hanging="532"/>
        <w:spacing w:after="0" w:line="272" w:lineRule="auto"/>
        <w:tabs>
          <w:tab w:leader="none" w:pos="1080" w:val="left"/>
        </w:tabs>
        <w:numPr>
          <w:ilvl w:val="0"/>
          <w:numId w:val="48"/>
        </w:numPr>
        <w:rPr>
          <w:rFonts w:ascii="Arial" w:cs="Arial" w:eastAsia="Arial" w:hAnsi="Arial"/>
          <w:sz w:val="17"/>
          <w:szCs w:val="17"/>
          <w:color w:val="32406B"/>
        </w:rPr>
      </w:pPr>
      <w:r>
        <w:rPr>
          <w:rFonts w:ascii="Arial" w:cs="Arial" w:eastAsia="Arial" w:hAnsi="Arial"/>
          <w:sz w:val="17"/>
          <w:szCs w:val="17"/>
          <w:color w:val="32406B"/>
        </w:rPr>
        <w:t>Discount for lack of marketability, or DLOM: DLOM was quantified by the protective put options mode. Under this option-pricing method, which assumed that the put option is struck at the price of the stock before the privately held shares can be sold, the cost of the put option was considered as a basis to determine the DLOM. This option pricing method is one of the methods commonly used in estimating DLOM as it can take into consideration factors such as timing of a liquidity event, for instance an initial public offering, and estimated volatility of our shares. The farther the valuation date is from an expected liquidity event, the higher the put option value is and thus the higher the implied DLOM is. The lower DLOM is used for the valuation, the higher the determined fair value of the ordinary shares becomes. DLOM remained around 24% in 2019 and decreased to around 5% in February 2021.</w:t>
      </w:r>
    </w:p>
    <w:p>
      <w:pPr>
        <w:spacing w:after="0" w:line="17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32406B"/>
        </w:rPr>
        <w:t>The determination of the equity value requires complex and subjective judgments to be made regarding prospects of the industry and the products at the valuation date, our projected financial and operating results, our unique business risks and the liquidity of our shares.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fair value of our ordinary shares increased from US$1.56 in January 2019 to US$2.57 in November 2019, which was primarily due to (i)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increased deployments of our Tuya IoT PaaS, which achieved more than 10 million deployments per month in the last quarter of 2019; (ii) in September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and November 2019, we issued a total of 52,428,242 Series D preferred shares to certain investors, which provided us an additional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US$178.0 million in capital for business expansion and contributed to the increase in fair value of our ordinary shares during this period and (iii)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organic growth of our business and continuous improvement in our financial performance. For more information about such securities issuance, see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“Description of Share Capital—History of Securities Issuances—Preferred Shares.”</w:t>
      </w:r>
    </w:p>
    <w:p>
      <w:pPr>
        <w:spacing w:after="0" w:line="21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32406B"/>
        </w:rPr>
        <w:t>The fair value of our ordinary shares further increased from US$2.57 in November 2019 to US$2.82 in July 2020, which was primarily due to further continuous growth of our business and continuous improvement in our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118</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32406B"/>
        </w:rPr>
        <w:t>financial performance, as our number of deployments largely returned to pre-COVID levels in the second quarter of 2020 as our OEM customers began to resume operations and clear the backlogs since restrictions in China continued to be eased and that we recorded a significant growth of our number of deployments in the third quarter of 2020 both consecutively and as compared to the same period in 2019.</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32406B"/>
        </w:rPr>
        <w:t>The fair value of our ordinary shares in January 2021 was benchmarked against the issuance price of our ordinary shares to Tencent Mobility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Limited and NVMB XIV Holdings Limited in early February 2021. The fair value of our ordinary shares further increased from US$2.82 in July 2020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US$12.48 in January 2021, which was primarily due to a combination of the following factors:</w:t>
      </w:r>
    </w:p>
    <w:p>
      <w:pPr>
        <w:spacing w:after="0" w:line="116" w:lineRule="exact"/>
        <w:rPr>
          <w:sz w:val="20"/>
          <w:szCs w:val="20"/>
          <w:color w:val="auto"/>
        </w:rPr>
      </w:pPr>
    </w:p>
    <w:p>
      <w:pPr>
        <w:ind w:left="1080" w:right="460" w:hanging="532"/>
        <w:spacing w:after="0" w:line="277" w:lineRule="auto"/>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organic growth of our business and the continuous improvement in our financial performance and an updated business outlook. More specifically:</w:t>
      </w:r>
    </w:p>
    <w:p>
      <w:pPr>
        <w:spacing w:after="0" w:line="75" w:lineRule="exact"/>
        <w:rPr>
          <w:rFonts w:ascii="Arial" w:cs="Arial" w:eastAsia="Arial" w:hAnsi="Arial"/>
          <w:sz w:val="18"/>
          <w:szCs w:val="18"/>
          <w:color w:val="32406B"/>
        </w:rPr>
      </w:pPr>
    </w:p>
    <w:p>
      <w:pPr>
        <w:ind w:left="1540" w:right="40" w:hanging="439"/>
        <w:spacing w:after="0" w:line="308" w:lineRule="auto"/>
        <w:tabs>
          <w:tab w:leader="none" w:pos="1540" w:val="left"/>
        </w:tabs>
        <w:numPr>
          <w:ilvl w:val="1"/>
          <w:numId w:val="49"/>
        </w:numPr>
        <w:rPr>
          <w:rFonts w:ascii="Arial" w:cs="Arial" w:eastAsia="Arial" w:hAnsi="Arial"/>
          <w:sz w:val="17"/>
          <w:szCs w:val="17"/>
          <w:color w:val="32406B"/>
        </w:rPr>
      </w:pPr>
      <w:r>
        <w:rPr>
          <w:rFonts w:ascii="Arial" w:cs="Arial" w:eastAsia="Arial" w:hAnsi="Arial"/>
          <w:sz w:val="17"/>
          <w:szCs w:val="17"/>
          <w:color w:val="32406B"/>
        </w:rPr>
        <w:t>despite the negative impact of COVID-19, our IoT PaaS and SaaS and others revenues in the second half of 2020 increased by 227% as compared to the same period in 2019 and increased by 241% as compared to the first half of 2020;</w:t>
      </w:r>
    </w:p>
    <w:p>
      <w:pPr>
        <w:spacing w:after="0" w:line="51" w:lineRule="exact"/>
        <w:rPr>
          <w:rFonts w:ascii="Arial" w:cs="Arial" w:eastAsia="Arial" w:hAnsi="Arial"/>
          <w:sz w:val="17"/>
          <w:szCs w:val="17"/>
          <w:color w:val="32406B"/>
        </w:rPr>
      </w:pPr>
    </w:p>
    <w:p>
      <w:pPr>
        <w:ind w:left="1540" w:hanging="439"/>
        <w:spacing w:after="0" w:line="277" w:lineRule="auto"/>
        <w:tabs>
          <w:tab w:leader="none" w:pos="1540" w:val="left"/>
        </w:tabs>
        <w:numPr>
          <w:ilvl w:val="1"/>
          <w:numId w:val="49"/>
        </w:numPr>
        <w:rPr>
          <w:rFonts w:ascii="Arial" w:cs="Arial" w:eastAsia="Arial" w:hAnsi="Arial"/>
          <w:sz w:val="18"/>
          <w:szCs w:val="18"/>
          <w:color w:val="32406B"/>
        </w:rPr>
      </w:pPr>
      <w:r>
        <w:rPr>
          <w:rFonts w:ascii="Arial" w:cs="Arial" w:eastAsia="Arial" w:hAnsi="Arial"/>
          <w:sz w:val="18"/>
          <w:szCs w:val="18"/>
          <w:color w:val="32406B"/>
        </w:rPr>
        <w:t>the increased deployments of our IoT PaaS; the deployment of our IoT PaaS in January 2021 significantly exceeded our deployments in the first quarter of 2020;</w:t>
      </w:r>
    </w:p>
    <w:p>
      <w:pPr>
        <w:spacing w:after="0" w:line="75" w:lineRule="exact"/>
        <w:rPr>
          <w:rFonts w:ascii="Arial" w:cs="Arial" w:eastAsia="Arial" w:hAnsi="Arial"/>
          <w:sz w:val="18"/>
          <w:szCs w:val="18"/>
          <w:color w:val="32406B"/>
        </w:rPr>
      </w:pPr>
    </w:p>
    <w:p>
      <w:pPr>
        <w:ind w:left="1540" w:right="20" w:hanging="439"/>
        <w:spacing w:after="0" w:line="277" w:lineRule="auto"/>
        <w:tabs>
          <w:tab w:leader="none" w:pos="1540" w:val="left"/>
        </w:tabs>
        <w:numPr>
          <w:ilvl w:val="1"/>
          <w:numId w:val="49"/>
        </w:numPr>
        <w:rPr>
          <w:rFonts w:ascii="Arial" w:cs="Arial" w:eastAsia="Arial" w:hAnsi="Arial"/>
          <w:sz w:val="18"/>
          <w:szCs w:val="18"/>
          <w:color w:val="32406B"/>
        </w:rPr>
      </w:pPr>
      <w:r>
        <w:rPr>
          <w:rFonts w:ascii="Arial" w:cs="Arial" w:eastAsia="Arial" w:hAnsi="Arial"/>
          <w:sz w:val="18"/>
          <w:szCs w:val="18"/>
          <w:color w:val="32406B"/>
        </w:rPr>
        <w:t>the significant increases in both the number of our IoT PaaS premium customers and the revenue contribution per IoT PaaS premium customer in the second half of 2020 as compared to the first half of 2020;</w:t>
      </w:r>
    </w:p>
    <w:p>
      <w:pPr>
        <w:spacing w:after="0" w:line="75" w:lineRule="exact"/>
        <w:rPr>
          <w:rFonts w:ascii="Arial" w:cs="Arial" w:eastAsia="Arial" w:hAnsi="Arial"/>
          <w:sz w:val="18"/>
          <w:szCs w:val="18"/>
          <w:color w:val="32406B"/>
        </w:rPr>
      </w:pPr>
    </w:p>
    <w:p>
      <w:pPr>
        <w:ind w:left="1540" w:right="500" w:hanging="439"/>
        <w:spacing w:after="0" w:line="277" w:lineRule="auto"/>
        <w:tabs>
          <w:tab w:leader="none" w:pos="1540" w:val="left"/>
        </w:tabs>
        <w:numPr>
          <w:ilvl w:val="1"/>
          <w:numId w:val="49"/>
        </w:numPr>
        <w:rPr>
          <w:rFonts w:ascii="Arial" w:cs="Arial" w:eastAsia="Arial" w:hAnsi="Arial"/>
          <w:sz w:val="18"/>
          <w:szCs w:val="18"/>
          <w:color w:val="32406B"/>
        </w:rPr>
      </w:pPr>
      <w:r>
        <w:rPr>
          <w:rFonts w:ascii="Arial" w:cs="Arial" w:eastAsia="Arial" w:hAnsi="Arial"/>
          <w:sz w:val="18"/>
          <w:szCs w:val="18"/>
          <w:color w:val="32406B"/>
        </w:rPr>
        <w:t>the introduction of new Industry SaaS offering in 2020 and the winning of contracts with key accounts, including those among China’s top 30 leading real estate groups, in the fourth quarter of 2020;</w:t>
      </w:r>
    </w:p>
    <w:p>
      <w:pPr>
        <w:spacing w:after="0" w:line="75" w:lineRule="exact"/>
        <w:rPr>
          <w:rFonts w:ascii="Arial" w:cs="Arial" w:eastAsia="Arial" w:hAnsi="Arial"/>
          <w:sz w:val="18"/>
          <w:szCs w:val="18"/>
          <w:color w:val="32406B"/>
        </w:rPr>
      </w:pPr>
    </w:p>
    <w:p>
      <w:pPr>
        <w:jc w:val="both"/>
        <w:ind w:left="1540" w:right="60" w:hanging="439"/>
        <w:spacing w:after="0" w:line="263" w:lineRule="auto"/>
        <w:tabs>
          <w:tab w:leader="none" w:pos="1540" w:val="left"/>
        </w:tabs>
        <w:numPr>
          <w:ilvl w:val="1"/>
          <w:numId w:val="49"/>
        </w:numPr>
        <w:rPr>
          <w:rFonts w:ascii="Arial" w:cs="Arial" w:eastAsia="Arial" w:hAnsi="Arial"/>
          <w:sz w:val="18"/>
          <w:szCs w:val="18"/>
          <w:color w:val="32406B"/>
        </w:rPr>
      </w:pPr>
      <w:r>
        <w:rPr>
          <w:rFonts w:ascii="Arial" w:cs="Arial" w:eastAsia="Arial" w:hAnsi="Arial"/>
          <w:sz w:val="18"/>
          <w:szCs w:val="18"/>
          <w:color w:val="32406B"/>
        </w:rPr>
        <w:t>the gross margins of our core business IoT PaaS have increased from 30.5% in the first quarter of 2020 to 34.9% in the third quarter of 2020; the gross margins of our core business IoT PaaS increased further to 40.1% in the fourth quarter of 2020 as compared to the previous quarter;</w:t>
      </w:r>
    </w:p>
    <w:p>
      <w:pPr>
        <w:spacing w:after="0" w:line="89" w:lineRule="exact"/>
        <w:rPr>
          <w:rFonts w:ascii="Arial" w:cs="Arial" w:eastAsia="Arial" w:hAnsi="Arial"/>
          <w:sz w:val="18"/>
          <w:szCs w:val="18"/>
          <w:color w:val="32406B"/>
        </w:rPr>
      </w:pPr>
    </w:p>
    <w:p>
      <w:pPr>
        <w:ind w:left="1540" w:right="140" w:hanging="439"/>
        <w:spacing w:after="0" w:line="279" w:lineRule="auto"/>
        <w:tabs>
          <w:tab w:leader="none" w:pos="1540" w:val="left"/>
        </w:tabs>
        <w:numPr>
          <w:ilvl w:val="1"/>
          <w:numId w:val="49"/>
        </w:numPr>
        <w:rPr>
          <w:rFonts w:ascii="Arial" w:cs="Arial" w:eastAsia="Arial" w:hAnsi="Arial"/>
          <w:sz w:val="17"/>
          <w:szCs w:val="17"/>
          <w:color w:val="32406B"/>
        </w:rPr>
      </w:pPr>
      <w:r>
        <w:rPr>
          <w:rFonts w:ascii="Arial" w:cs="Arial" w:eastAsia="Arial" w:hAnsi="Arial"/>
          <w:sz w:val="17"/>
          <w:szCs w:val="17"/>
          <w:color w:val="32406B"/>
        </w:rPr>
        <w:t>the continued upgrade of our IoT cloud platform and further improvement of our IoT device and software developer system in the second half of 2020 and the significant increases in the number of SDKs and SaaS applications developed using this platform; as of December 31, 2020, over 13,500 SDKs and 22,500 cloud-base SaaS applications had been developed using this platform, as compared to over 8,000 SDKs and 12,000 cloud-base SaaS applications as of September 30, 2020.</w:t>
      </w:r>
    </w:p>
    <w:p>
      <w:pPr>
        <w:spacing w:after="0" w:line="76" w:lineRule="exact"/>
        <w:rPr>
          <w:rFonts w:ascii="Arial" w:cs="Arial" w:eastAsia="Arial" w:hAnsi="Arial"/>
          <w:sz w:val="17"/>
          <w:szCs w:val="17"/>
          <w:color w:val="32406B"/>
        </w:rPr>
      </w:pPr>
    </w:p>
    <w:p>
      <w:pPr>
        <w:ind w:left="1080" w:right="20" w:hanging="532"/>
        <w:spacing w:after="0" w:line="272" w:lineRule="auto"/>
        <w:tabs>
          <w:tab w:leader="none" w:pos="108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the improvement in global capital markets sentiment from the second quarter of 2020. More specifically, the CCS ETF-PowerShares and the HKC TMT Index increased by 42.59% and 37.58%, respectively, from June 30, 2020 to January 29, 2021 (based on data published by Wind and EastMoney). Additionally, the P/S multiples of seven SaaS and PaaS companies (NASDAQ: MDB, NYSE: TWLO, NASDAQ: API, NYSE: ESTC, NASDAQ: CRWD, NYSE: ZEN and 2013.HK) ranged from 16.34x to 62.66x on January 29, 2021, representing significant increases as compared to their P/S multiples ranging from 10.92x to 44.24x on June 30, 2020. The average P/S multiple of these companies increased from 24.59x to 36.25x, while the median hits 35.13x, increasing by 59.10% between June 30, 2020 and January 31, 2021 (based on data published by Capital IQ).</w:t>
      </w:r>
    </w:p>
    <w:p>
      <w:pPr>
        <w:spacing w:after="0" w:line="82" w:lineRule="exact"/>
        <w:rPr>
          <w:rFonts w:ascii="Arial" w:cs="Arial" w:eastAsia="Arial" w:hAnsi="Arial"/>
          <w:sz w:val="17"/>
          <w:szCs w:val="17"/>
          <w:color w:val="32406B"/>
        </w:rPr>
      </w:pPr>
    </w:p>
    <w:p>
      <w:pPr>
        <w:ind w:left="1080" w:right="60" w:hanging="532"/>
        <w:spacing w:after="0" w:line="257" w:lineRule="auto"/>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since the kicking-off of our IPO plan in the second half of 2020, we have made continued progress towards our IPO, and we increased our estimated probability of a successful IPO from 50% in early July 2020 to 90% in January 2021 accordingly. The holders of our convertible redeemable preferred shares currently enjoy substantial economic rights and preferences over the holders of the ordinary shares. Because our preferred shares will be automatically redesigned as ordinary shares upon the completion of our IPO, as the probability of our IPO increased, the valuation of our ordinary shares has also increased.</w:t>
      </w:r>
    </w:p>
    <w:p>
      <w:pPr>
        <w:spacing w:after="0" w:line="18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32406B"/>
        </w:rPr>
        <w:t>The fair value of our ordinary shares increased from US$12.48 in January 2021 to US$14.46 in February 2021, which was primarily due to (i) further increase of our estimated probability of a successful IPO to 95%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119</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32406B"/>
        </w:rPr>
        <w:t>February 2021, (ii) further decrease of DLOM to around 5% in February 2021, as we made continued progress towards our IPO, and (iii) increase of P/S multiples by around 10% from January 2021 to February 2021 as a result of further improvement in global capital markets sentiment.</w:t>
      </w:r>
    </w:p>
    <w:p>
      <w:pPr>
        <w:spacing w:after="0" w:line="14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32406B"/>
        </w:rPr>
        <w:t>The fair value of our ordinary shares increased from US$14.46 in February 2021 further to US$18.50 the midpoint of the estimated public offering price range shown on the front cover of the preliminary prospectus, dated March 12, 2021 was primarily attributable to the following factors:</w:t>
      </w:r>
    </w:p>
    <w:p>
      <w:pPr>
        <w:spacing w:after="0" w:line="2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Reduced cost of capital and discount for lack of marketability</w:t>
      </w:r>
    </w:p>
    <w:p>
      <w:pPr>
        <w:spacing w:after="0" w:line="130" w:lineRule="exact"/>
        <w:rPr>
          <w:rFonts w:ascii="Arial" w:cs="Arial" w:eastAsia="Arial" w:hAnsi="Arial"/>
          <w:sz w:val="18"/>
          <w:szCs w:val="18"/>
          <w:color w:val="32406B"/>
        </w:rPr>
      </w:pPr>
    </w:p>
    <w:p>
      <w:pPr>
        <w:ind w:left="1540" w:hanging="439"/>
        <w:spacing w:after="0" w:line="255" w:lineRule="auto"/>
        <w:tabs>
          <w:tab w:leader="none" w:pos="1540" w:val="left"/>
        </w:tabs>
        <w:numPr>
          <w:ilvl w:val="1"/>
          <w:numId w:val="50"/>
        </w:numPr>
        <w:rPr>
          <w:rFonts w:ascii="Arial" w:cs="Arial" w:eastAsia="Arial" w:hAnsi="Arial"/>
          <w:sz w:val="18"/>
          <w:szCs w:val="18"/>
          <w:color w:val="32406B"/>
        </w:rPr>
      </w:pPr>
      <w:r>
        <w:rPr>
          <w:rFonts w:ascii="Arial" w:cs="Arial" w:eastAsia="Arial" w:hAnsi="Arial"/>
          <w:sz w:val="18"/>
          <w:szCs w:val="18"/>
          <w:color w:val="32406B"/>
        </w:rPr>
        <w:t>Due to the imminent initial public offering, if the we performs a valuation of our ordinary shares as of the initial public offering date using the same methodology with the other assumptions unchanged, the implied discount for marketability would have further decreased from 5.0% to 0.0%, and all outstanding preferred shares would be converted into ordinary shares. As a result, the per share value would increase from US$14.46 to US$15.22. Our initial public offering will increase the liquidity and marketability of our ordinary shares. Our initial public offering will also provide us with additional capital, enhance our ability to access capital markets to grow our business, and raise our overall profile.</w:t>
      </w:r>
    </w:p>
    <w:p>
      <w:pPr>
        <w:spacing w:after="0" w:line="97" w:lineRule="exact"/>
        <w:rPr>
          <w:rFonts w:ascii="Arial" w:cs="Arial" w:eastAsia="Arial" w:hAnsi="Arial"/>
          <w:sz w:val="18"/>
          <w:szCs w:val="18"/>
          <w:color w:val="32406B"/>
        </w:rPr>
      </w:pPr>
    </w:p>
    <w:p>
      <w:pPr>
        <w:ind w:left="1080" w:hanging="532"/>
        <w:spacing w:after="0"/>
        <w:tabs>
          <w:tab w:leader="none" w:pos="108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Substantial growth in our business performance and prospects</w:t>
      </w:r>
    </w:p>
    <w:p>
      <w:pPr>
        <w:spacing w:after="0" w:line="130" w:lineRule="exact"/>
        <w:rPr>
          <w:rFonts w:ascii="Arial" w:cs="Arial" w:eastAsia="Arial" w:hAnsi="Arial"/>
          <w:sz w:val="18"/>
          <w:szCs w:val="18"/>
          <w:color w:val="32406B"/>
        </w:rPr>
      </w:pPr>
    </w:p>
    <w:p>
      <w:pPr>
        <w:ind w:left="1540" w:right="100" w:hanging="439"/>
        <w:spacing w:after="0" w:line="296" w:lineRule="auto"/>
        <w:tabs>
          <w:tab w:leader="none" w:pos="1540" w:val="left"/>
        </w:tabs>
        <w:numPr>
          <w:ilvl w:val="1"/>
          <w:numId w:val="50"/>
        </w:numPr>
        <w:rPr>
          <w:rFonts w:ascii="Arial" w:cs="Arial" w:eastAsia="Arial" w:hAnsi="Arial"/>
          <w:sz w:val="16"/>
          <w:szCs w:val="16"/>
          <w:color w:val="32406B"/>
        </w:rPr>
      </w:pPr>
      <w:r>
        <w:rPr>
          <w:rFonts w:ascii="Arial" w:cs="Arial" w:eastAsia="Arial" w:hAnsi="Arial"/>
          <w:sz w:val="16"/>
          <w:szCs w:val="16"/>
          <w:color w:val="32406B"/>
        </w:rPr>
        <w:t>Organic growth of our business and the continuous improvement in our financial performance and updated business outlook, with particularly further growth of the followings in the 2-month period ended February 28, 2021: (i) our core business IoT PaaS and SaaS and others revenues; (ii) the gross margins of our business IoT PaaS as well as our overall gross margins; (iii) the contribution from our core business IoT PaaS and SaaS and other revenue to our total revenues further increased in the 2-month period ended February 28, 2021; and (iv) the number of our employees, most of which were research and development personnel.</w:t>
      </w:r>
    </w:p>
    <w:p>
      <w:pPr>
        <w:spacing w:after="0" w:line="66" w:lineRule="exact"/>
        <w:rPr>
          <w:rFonts w:ascii="Arial" w:cs="Arial" w:eastAsia="Arial" w:hAnsi="Arial"/>
          <w:sz w:val="16"/>
          <w:szCs w:val="16"/>
          <w:color w:val="32406B"/>
        </w:rPr>
      </w:pPr>
    </w:p>
    <w:p>
      <w:pPr>
        <w:ind w:left="1540" w:right="20" w:hanging="439"/>
        <w:spacing w:after="0" w:line="259" w:lineRule="auto"/>
        <w:tabs>
          <w:tab w:leader="none" w:pos="1540" w:val="left"/>
        </w:tabs>
        <w:numPr>
          <w:ilvl w:val="1"/>
          <w:numId w:val="50"/>
        </w:numPr>
        <w:rPr>
          <w:rFonts w:ascii="Arial" w:cs="Arial" w:eastAsia="Arial" w:hAnsi="Arial"/>
          <w:sz w:val="18"/>
          <w:szCs w:val="18"/>
          <w:color w:val="32406B"/>
        </w:rPr>
      </w:pPr>
      <w:r>
        <w:rPr>
          <w:rFonts w:ascii="Arial" w:cs="Arial" w:eastAsia="Arial" w:hAnsi="Arial"/>
          <w:sz w:val="18"/>
          <w:szCs w:val="18"/>
          <w:color w:val="32406B"/>
        </w:rPr>
        <w:t>Increased business and revenue expectation, given that (i) during the year 2020, especially in the fourth quarter of 2020, we experienced significant business growth; (ii) we has also observed the increasing acceptance of, and demand for, a software-enabled IoT experience globally as people continue to work, learn, and play from home, which we believe will continue to drive demands for smart devices and services powered by our IoT PaaS in the long term.</w:t>
      </w:r>
    </w:p>
    <w:p>
      <w:pPr>
        <w:spacing w:after="0" w:line="187"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32406B"/>
        </w:rPr>
        <w:t>As a result of the above factors, the expectations for our business and financial performance in terms of revenue, number of customers, the number of use cases supported, etc., have increased relative to the date of our most recent valuation.</w:t>
      </w:r>
    </w:p>
    <w:p>
      <w:pPr>
        <w:spacing w:after="0" w:line="76" w:lineRule="exact"/>
        <w:rPr>
          <w:sz w:val="20"/>
          <w:szCs w:val="20"/>
          <w:color w:val="auto"/>
        </w:rPr>
      </w:pPr>
    </w:p>
    <w:p>
      <w:pPr>
        <w:ind w:left="1080" w:right="660" w:hanging="532"/>
        <w:spacing w:after="0" w:line="277" w:lineRule="auto"/>
        <w:tabs>
          <w:tab w:leader="none" w:pos="1080" w:val="left"/>
        </w:tabs>
        <w:numPr>
          <w:ilvl w:val="0"/>
          <w:numId w:val="51"/>
        </w:numPr>
        <w:rPr>
          <w:rFonts w:ascii="Arial" w:cs="Arial" w:eastAsia="Arial" w:hAnsi="Arial"/>
          <w:sz w:val="18"/>
          <w:szCs w:val="18"/>
          <w:color w:val="32406B"/>
        </w:rPr>
      </w:pPr>
      <w:r>
        <w:rPr>
          <w:rFonts w:ascii="Arial" w:cs="Arial" w:eastAsia="Arial" w:hAnsi="Arial"/>
          <w:sz w:val="18"/>
          <w:szCs w:val="18"/>
          <w:color w:val="32406B"/>
        </w:rPr>
        <w:t>The continued recovery of the global economic situation and the improvement of COVID-19 situation leading to stronger investor confidence and increased expectations.</w:t>
      </w:r>
    </w:p>
    <w:p>
      <w:pPr>
        <w:spacing w:after="0" w:line="62" w:lineRule="exact"/>
        <w:rPr>
          <w:rFonts w:ascii="Arial" w:cs="Arial" w:eastAsia="Arial" w:hAnsi="Arial"/>
          <w:sz w:val="18"/>
          <w:szCs w:val="18"/>
          <w:color w:val="32406B"/>
        </w:rPr>
      </w:pPr>
    </w:p>
    <w:p>
      <w:pPr>
        <w:ind w:left="1100" w:right="20"/>
        <w:spacing w:after="0" w:line="255" w:lineRule="auto"/>
        <w:rPr>
          <w:rFonts w:ascii="Arial" w:cs="Arial" w:eastAsia="Arial" w:hAnsi="Arial"/>
          <w:sz w:val="18"/>
          <w:szCs w:val="18"/>
          <w:color w:val="32406B"/>
        </w:rPr>
      </w:pPr>
      <w:r>
        <w:rPr>
          <w:rFonts w:ascii="Arial" w:cs="Arial" w:eastAsia="Arial" w:hAnsi="Arial"/>
          <w:sz w:val="18"/>
          <w:szCs w:val="18"/>
          <w:color w:val="32406B"/>
        </w:rPr>
        <w:t>Since December 2020 when the global spread of COVID-19 reached its peak, the COVID-19 situations have stabilized in different regions in the world, and the global economic situation and global market is recovering. Different from other cloud infrastructure companies or SaaS or PaaS companies in other industries, our business is deeply integrated with our customers’ own businesses, which in turn are affected by the ultimate demands and purchasing power of the end users. The recovery of the end-user market and customers’ own business are positive signals for our business to maintain rapid growth, which has led to stronger investor confidence in us and our valuation and future performance.</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32406B"/>
        </w:rPr>
        <w:t>Once a public trading market of the ADSs has been established in connection with the completion of this offering, it will no longer be necessary for us to estimate the fair value of our ordinary shares in connection with our accounting for granted share options.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For detailed discussion on recent accounting pronouncements, see Note 2 to our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120</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INDUSTRY OVERVIEW</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32406B"/>
        </w:rPr>
        <w:t>Certain information, including statistics and estimates, set forth in this section and elsewhere in this prospectus and all tables and graphs set forth in this section has been derived from an industry report commissioned by us and independently prepared by CIC in connection with this offering. We believe that the sources of such information are appropriate, and we have taken reasonable care in extracting and reproducing such information. We have no reason to believe that such information is false or misleading in any material respect or that any fact has been omitted that would render such information false or misleading in any material respect. However, neither we nor any other party involved in this offering has independently verified such information, and neither we nor any other party involved in this offering makes any representation as to the accuracy or completeness of such information. Therefore, investors are cautioned not to place any undue reliance on the information, including statistics and estimates, set forth in this section or similar information included elsewhere in this 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The Internet of Things Era</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32406B"/>
        </w:rPr>
        <w:t>Internet of Things—the concept of connecting physical devices to a large, interconnected network—is profoundly transforming the way individuals interact with the physical world and changing how device companies develop products.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32406B"/>
        </w:rPr>
        <w:t>In the past decade, the mobile internet transformed people’s way of life. Proliferation of high-speed connectivity and advancements in computing, storage and networking capabilities enabled billions of people to communicate using smart mobile phones, or smartphones. Additionally, cloud-based technologies enabled development of mobile software applications, or apps that brought fundamental changes to customer experience and business operations. As a result, there was a convergence of operating systems that run mobile devices and mobile software app development tools, which drove a vibrant ecosystem of phones, users, developers and applications. Today there are billions of mobile phone users and millions of mobile apps. These mobile apps enabled people to socialize online, consume local services and conduct their lives from a smartphone. The concept of Social, Local, Mobile, or SoLoMo, has created trillion dollars of value in mobile internet.</w:t>
      </w:r>
    </w:p>
    <w:p>
      <w:pPr>
        <w:spacing w:after="0" w:line="17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32406B"/>
        </w:rPr>
        <w:t>The IoT era transcends the mobile internet, with distributed computing integrated with cloud infrastructure, supporting a rich set of applications and cloud-based services. As each dimension of SoLoMo extends into the IoT era, there is a massive opportunity for value creation by businesses.</w:t>
      </w:r>
    </w:p>
    <w:p>
      <w:pPr>
        <w:spacing w:after="0" w:line="2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32406B"/>
        </w:rPr>
      </w:pPr>
      <w:r>
        <w:rPr>
          <w:rFonts w:ascii="Arial" w:cs="Arial" w:eastAsia="Arial" w:hAnsi="Arial"/>
          <w:sz w:val="18"/>
          <w:szCs w:val="18"/>
          <w:color w:val="32406B"/>
        </w:rPr>
        <w:t>Social will evolve to Assistant, understanding user needs with built-in and cloud-based AI such as voice interaction.</w:t>
      </w:r>
    </w:p>
    <w:p>
      <w:pPr>
        <w:spacing w:after="0" w:line="130" w:lineRule="exact"/>
        <w:rPr>
          <w:rFonts w:ascii="Arial" w:cs="Arial" w:eastAsia="Arial" w:hAnsi="Arial"/>
          <w:sz w:val="18"/>
          <w:szCs w:val="18"/>
          <w:color w:val="32406B"/>
        </w:rPr>
      </w:pPr>
    </w:p>
    <w:p>
      <w:pPr>
        <w:ind w:left="1080" w:right="100" w:hanging="532"/>
        <w:spacing w:after="0" w:line="277" w:lineRule="auto"/>
        <w:tabs>
          <w:tab w:leader="none" w:pos="1080" w:val="left"/>
        </w:tabs>
        <w:numPr>
          <w:ilvl w:val="0"/>
          <w:numId w:val="52"/>
        </w:numPr>
        <w:rPr>
          <w:rFonts w:ascii="Arial" w:cs="Arial" w:eastAsia="Arial" w:hAnsi="Arial"/>
          <w:sz w:val="18"/>
          <w:szCs w:val="18"/>
          <w:color w:val="32406B"/>
        </w:rPr>
      </w:pPr>
      <w:r>
        <w:rPr>
          <w:rFonts w:ascii="Arial" w:cs="Arial" w:eastAsia="Arial" w:hAnsi="Arial"/>
          <w:sz w:val="18"/>
          <w:szCs w:val="18"/>
          <w:color w:val="32406B"/>
        </w:rPr>
        <w:t>Local will evolve to Space, maximizing user mobility by covering broader service possibilities such as autonomous driving and checkout-free shopping.</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52"/>
        </w:numPr>
        <w:rPr>
          <w:rFonts w:ascii="Arial" w:cs="Arial" w:eastAsia="Arial" w:hAnsi="Arial"/>
          <w:sz w:val="17"/>
          <w:szCs w:val="17"/>
          <w:color w:val="32406B"/>
        </w:rPr>
      </w:pPr>
      <w:r>
        <w:rPr>
          <w:rFonts w:ascii="Arial" w:cs="Arial" w:eastAsia="Arial" w:hAnsi="Arial"/>
          <w:sz w:val="17"/>
          <w:szCs w:val="17"/>
          <w:color w:val="32406B"/>
        </w:rPr>
        <w:t>Mobile will evolve to Things, making more devices smart beyond the phones, ranging from smart home to smart manufacturing.</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Today, a confluence of favorable technology progresses are driving IoT to an inflection point:</w:t>
      </w:r>
    </w:p>
    <w:p>
      <w:pPr>
        <w:spacing w:after="0" w:line="131" w:lineRule="exact"/>
        <w:rPr>
          <w:sz w:val="20"/>
          <w:szCs w:val="20"/>
          <w:color w:val="auto"/>
        </w:rPr>
      </w:pPr>
    </w:p>
    <w:p>
      <w:pPr>
        <w:ind w:left="1080" w:right="320" w:hanging="532"/>
        <w:spacing w:after="0" w:line="277" w:lineRule="auto"/>
        <w:tabs>
          <w:tab w:leader="none" w:pos="1080" w:val="left"/>
        </w:tabs>
        <w:numPr>
          <w:ilvl w:val="0"/>
          <w:numId w:val="53"/>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Cost and size of components are rapidly declining. </w:t>
      </w:r>
      <w:r>
        <w:rPr>
          <w:rFonts w:ascii="Arial" w:cs="Arial" w:eastAsia="Arial" w:hAnsi="Arial"/>
          <w:sz w:val="18"/>
          <w:szCs w:val="18"/>
          <w:color w:val="32406B"/>
        </w:rPr>
        <w:t>Steady technology improvements in microprocessors, memory and networking are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making components smaller and less expensive.</w:t>
      </w:r>
    </w:p>
    <w:p>
      <w:pPr>
        <w:spacing w:after="0" w:line="75" w:lineRule="exact"/>
        <w:rPr>
          <w:rFonts w:ascii="Arial" w:cs="Arial" w:eastAsia="Arial" w:hAnsi="Arial"/>
          <w:sz w:val="18"/>
          <w:szCs w:val="18"/>
          <w:color w:val="32406B"/>
        </w:rPr>
      </w:pPr>
    </w:p>
    <w:p>
      <w:pPr>
        <w:ind w:left="1080" w:right="360" w:hanging="532"/>
        <w:spacing w:after="0" w:line="277" w:lineRule="auto"/>
        <w:tabs>
          <w:tab w:leader="none" w:pos="1080" w:val="left"/>
        </w:tabs>
        <w:numPr>
          <w:ilvl w:val="0"/>
          <w:numId w:val="53"/>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High speed networking is ubiquitous. </w:t>
      </w:r>
      <w:r>
        <w:rPr>
          <w:rFonts w:ascii="Arial" w:cs="Arial" w:eastAsia="Arial" w:hAnsi="Arial"/>
          <w:sz w:val="18"/>
          <w:szCs w:val="18"/>
          <w:color w:val="32406B"/>
        </w:rPr>
        <w:t>High speed communication, supported by numerous protocols such as WiFi, 5G, Bluetooth and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ZigBee, is increasingly available allowing everything to be connected at all times, often at negligible cost.</w:t>
      </w:r>
    </w:p>
    <w:p>
      <w:pPr>
        <w:spacing w:after="0" w:line="75" w:lineRule="exact"/>
        <w:rPr>
          <w:rFonts w:ascii="Arial" w:cs="Arial" w:eastAsia="Arial" w:hAnsi="Arial"/>
          <w:sz w:val="18"/>
          <w:szCs w:val="18"/>
          <w:color w:val="32406B"/>
        </w:rPr>
      </w:pPr>
    </w:p>
    <w:p>
      <w:pPr>
        <w:ind w:left="1080" w:right="380" w:hanging="532"/>
        <w:spacing w:after="0" w:line="277" w:lineRule="auto"/>
        <w:tabs>
          <w:tab w:leader="none" w:pos="1080" w:val="left"/>
        </w:tabs>
        <w:numPr>
          <w:ilvl w:val="0"/>
          <w:numId w:val="53"/>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Cloud computing is readily available. </w:t>
      </w:r>
      <w:r>
        <w:rPr>
          <w:rFonts w:ascii="Arial" w:cs="Arial" w:eastAsia="Arial" w:hAnsi="Arial"/>
          <w:sz w:val="18"/>
          <w:szCs w:val="18"/>
          <w:color w:val="32406B"/>
        </w:rPr>
        <w:t>Centralized computing infrastructure becomes widely accessible and highly scalable for cloud-based software.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121</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Broadening Use Cases and Vertical Applications</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32406B"/>
        </w:rPr>
        <w:t>Similar to mobile in past decade, IoT is fundamentally changing people’s way of life through millions of applications for a broad range of use cases. The following select vertical applications illustrate the value proposition, and hence accelerating demand, for mobile-like software experiences from IoT:</w:t>
      </w:r>
    </w:p>
    <w:p>
      <w:pPr>
        <w:spacing w:after="0" w:line="89" w:lineRule="exact"/>
        <w:rPr>
          <w:sz w:val="20"/>
          <w:szCs w:val="20"/>
          <w:color w:val="auto"/>
        </w:rPr>
      </w:pPr>
    </w:p>
    <w:p>
      <w:pPr>
        <w:ind w:left="1080" w:right="260" w:hanging="532"/>
        <w:spacing w:after="0" w:line="277" w:lineRule="auto"/>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Smart home. </w:t>
      </w:r>
      <w:r>
        <w:rPr>
          <w:rFonts w:ascii="Arial" w:cs="Arial" w:eastAsia="Arial" w:hAnsi="Arial"/>
          <w:sz w:val="18"/>
          <w:szCs w:val="18"/>
          <w:color w:val="32406B"/>
        </w:rPr>
        <w:t>Home appliances, when powered with connectivity and software interface, can be controlled remotely as well as based on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time or environment inputs, ultimately driving cost efficiency and end user convenience.</w:t>
      </w:r>
    </w:p>
    <w:p>
      <w:pPr>
        <w:spacing w:after="0" w:line="75" w:lineRule="exact"/>
        <w:rPr>
          <w:rFonts w:ascii="Arial" w:cs="Arial" w:eastAsia="Arial" w:hAnsi="Arial"/>
          <w:sz w:val="18"/>
          <w:szCs w:val="18"/>
          <w:color w:val="32406B"/>
        </w:rPr>
      </w:pPr>
    </w:p>
    <w:p>
      <w:pPr>
        <w:ind w:left="1080" w:right="300" w:hanging="532"/>
        <w:spacing w:after="0" w:line="259" w:lineRule="auto"/>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Smart business. </w:t>
      </w:r>
      <w:r>
        <w:rPr>
          <w:rFonts w:ascii="Arial" w:cs="Arial" w:eastAsia="Arial" w:hAnsi="Arial"/>
          <w:sz w:val="18"/>
          <w:szCs w:val="18"/>
          <w:color w:val="32406B"/>
        </w:rPr>
        <w:t>Connected and software-enabled lighting, appliances and smart consumer security systems for commercial use cases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coupled with centralized data management allow business operators to monitor, control and program these systems, thereby optimizing asset utilization and reducing operating costs. One such example is smart retail—IoT enablement can bring self-served fast check out shopping experience to retail stores.</w:t>
      </w:r>
    </w:p>
    <w:p>
      <w:pPr>
        <w:spacing w:after="0" w:line="92" w:lineRule="exact"/>
        <w:rPr>
          <w:rFonts w:ascii="Arial" w:cs="Arial" w:eastAsia="Arial" w:hAnsi="Arial"/>
          <w:sz w:val="18"/>
          <w:szCs w:val="18"/>
          <w:color w:val="32406B"/>
        </w:rPr>
      </w:pPr>
    </w:p>
    <w:p>
      <w:pPr>
        <w:ind w:left="1080" w:hanging="532"/>
        <w:spacing w:after="0"/>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b w:val="1"/>
          <w:bCs w:val="1"/>
          <w:i w:val="1"/>
          <w:iCs w:val="1"/>
          <w:color w:val="32406B"/>
        </w:rPr>
        <w:t>Smart industries:</w:t>
      </w:r>
    </w:p>
    <w:p>
      <w:pPr>
        <w:spacing w:after="0" w:line="130" w:lineRule="exact"/>
        <w:rPr>
          <w:rFonts w:ascii="Arial" w:cs="Arial" w:eastAsia="Arial" w:hAnsi="Arial"/>
          <w:sz w:val="18"/>
          <w:szCs w:val="18"/>
          <w:color w:val="32406B"/>
        </w:rPr>
      </w:pPr>
    </w:p>
    <w:p>
      <w:pPr>
        <w:ind w:left="1540" w:hanging="439"/>
        <w:spacing w:after="0" w:line="263" w:lineRule="auto"/>
        <w:tabs>
          <w:tab w:leader="none" w:pos="1540" w:val="left"/>
        </w:tabs>
        <w:numPr>
          <w:ilvl w:val="1"/>
          <w:numId w:val="5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Smart manufacturing. </w:t>
      </w:r>
      <w:r>
        <w:rPr>
          <w:rFonts w:ascii="Arial" w:cs="Arial" w:eastAsia="Arial" w:hAnsi="Arial"/>
          <w:sz w:val="18"/>
          <w:szCs w:val="18"/>
          <w:color w:val="32406B"/>
        </w:rPr>
        <w:t>Software-enabled connected factory equipment allows for sensing, measurement, control and communication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of everything occurring throughout the manufacturing process. These devices enable remote monitoring and predictive maintenance of the equipment.</w:t>
      </w:r>
    </w:p>
    <w:p>
      <w:pPr>
        <w:spacing w:after="0" w:line="89" w:lineRule="exact"/>
        <w:rPr>
          <w:rFonts w:ascii="Arial" w:cs="Arial" w:eastAsia="Arial" w:hAnsi="Arial"/>
          <w:sz w:val="18"/>
          <w:szCs w:val="18"/>
          <w:color w:val="32406B"/>
        </w:rPr>
      </w:pPr>
    </w:p>
    <w:p>
      <w:pPr>
        <w:ind w:left="1540" w:right="20" w:hanging="439"/>
        <w:spacing w:after="0" w:line="263" w:lineRule="auto"/>
        <w:tabs>
          <w:tab w:leader="none" w:pos="1540" w:val="left"/>
        </w:tabs>
        <w:numPr>
          <w:ilvl w:val="1"/>
          <w:numId w:val="5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Smart transportation. </w:t>
      </w:r>
      <w:r>
        <w:rPr>
          <w:rFonts w:ascii="Arial" w:cs="Arial" w:eastAsia="Arial" w:hAnsi="Arial"/>
          <w:sz w:val="18"/>
          <w:szCs w:val="18"/>
          <w:color w:val="32406B"/>
        </w:rPr>
        <w:t>With software-enabled infrastructure, vehicles, traffic and mobility management, users are able to make better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use of the transportation network in areas such as routing, handling hazardous situations, parking, improving fuel efficiency and complying with speed limits, in addition to developing smarter infrastructure for the future.</w:t>
      </w:r>
    </w:p>
    <w:p>
      <w:pPr>
        <w:spacing w:after="0" w:line="89" w:lineRule="exact"/>
        <w:rPr>
          <w:rFonts w:ascii="Arial" w:cs="Arial" w:eastAsia="Arial" w:hAnsi="Arial"/>
          <w:sz w:val="18"/>
          <w:szCs w:val="18"/>
          <w:color w:val="32406B"/>
        </w:rPr>
      </w:pPr>
    </w:p>
    <w:p>
      <w:pPr>
        <w:ind w:left="1540" w:right="200" w:hanging="439"/>
        <w:spacing w:after="0" w:line="279" w:lineRule="auto"/>
        <w:tabs>
          <w:tab w:leader="none" w:pos="1540" w:val="left"/>
        </w:tabs>
        <w:numPr>
          <w:ilvl w:val="1"/>
          <w:numId w:val="54"/>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Smart healthcare. </w:t>
      </w:r>
      <w:r>
        <w:rPr>
          <w:rFonts w:ascii="Arial" w:cs="Arial" w:eastAsia="Arial" w:hAnsi="Arial"/>
          <w:sz w:val="17"/>
          <w:szCs w:val="17"/>
          <w:color w:val="32406B"/>
        </w:rPr>
        <w:t>IoT-enabled digital healthcare systems can seamlessly connect patients, hospitals, and device and medicine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suppliers, increase the efficiency of medical resources utilization, automate the workflow and improve the operating efficiency at hospitals. Additionally, analytics on the massive amount of data generated by smart health devices can help physicians make more timely, informed decisions as well as take proactive measures for better health management.</w:t>
      </w:r>
    </w:p>
    <w:p>
      <w:pPr>
        <w:spacing w:after="0" w:line="76" w:lineRule="exact"/>
        <w:rPr>
          <w:rFonts w:ascii="Arial" w:cs="Arial" w:eastAsia="Arial" w:hAnsi="Arial"/>
          <w:sz w:val="17"/>
          <w:szCs w:val="17"/>
          <w:color w:val="32406B"/>
        </w:rPr>
      </w:pPr>
    </w:p>
    <w:p>
      <w:pPr>
        <w:jc w:val="both"/>
        <w:ind w:left="1540" w:right="160" w:hanging="439"/>
        <w:spacing w:after="0" w:line="286" w:lineRule="auto"/>
        <w:tabs>
          <w:tab w:leader="none" w:pos="1540" w:val="left"/>
        </w:tabs>
        <w:numPr>
          <w:ilvl w:val="1"/>
          <w:numId w:val="54"/>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Smart energy and utilities. </w:t>
      </w:r>
      <w:r>
        <w:rPr>
          <w:rFonts w:ascii="Arial" w:cs="Arial" w:eastAsia="Arial" w:hAnsi="Arial"/>
          <w:sz w:val="17"/>
          <w:szCs w:val="17"/>
          <w:color w:val="32406B"/>
        </w:rPr>
        <w:t>Sensors, connectivity and analytics are applied to electric grid infrastructure to enable better efficiency,</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improve reliability, reduce emissions, and integrate more renewable and distributed energy resources. There will also be increasing IoT applications-enabled field devices and consumer energy technology devices at the edge of the grid.</w:t>
      </w:r>
    </w:p>
    <w:p>
      <w:pPr>
        <w:spacing w:after="0" w:line="70" w:lineRule="exact"/>
        <w:rPr>
          <w:rFonts w:ascii="Arial" w:cs="Arial" w:eastAsia="Arial" w:hAnsi="Arial"/>
          <w:sz w:val="17"/>
          <w:szCs w:val="17"/>
          <w:color w:val="32406B"/>
        </w:rPr>
      </w:pPr>
    </w:p>
    <w:p>
      <w:pPr>
        <w:ind w:left="1540" w:right="660" w:hanging="439"/>
        <w:spacing w:after="0" w:line="277" w:lineRule="auto"/>
        <w:tabs>
          <w:tab w:leader="none" w:pos="1540" w:val="left"/>
        </w:tabs>
        <w:numPr>
          <w:ilvl w:val="1"/>
          <w:numId w:val="5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Smart agriculture. </w:t>
      </w:r>
      <w:r>
        <w:rPr>
          <w:rFonts w:ascii="Arial" w:cs="Arial" w:eastAsia="Arial" w:hAnsi="Arial"/>
          <w:sz w:val="18"/>
          <w:szCs w:val="18"/>
          <w:color w:val="32406B"/>
        </w:rPr>
        <w:t>Leveraging sensors, software, connectivity and data analytics, IoT-enabled agriculture helps increase the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throughput and quality of crops, while reducing human labor.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Proliferation of Smart Devices</w:t>
      </w:r>
    </w:p>
    <w:p>
      <w:pPr>
        <w:spacing w:after="0" w:line="12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32406B"/>
        </w:rPr>
        <w:t>Growing end user demand for smart devices, driven by increased affordability and improved user experiences, is driving brands to embrace IoT in their products, and developers to create an innovative new generation of user centric software applications, which in turn is leading to more use cases and further demand for IoT. This virtuous cycle is driving significant growth in the number of IoT devices. According to CIC, shipment of devices related to smart home and smart business reached 762.8 million in 2019 and is expected to grow to 2.5 billion by 2024, representing a CAGR of 26.7%; shipment of devices related to smart industries reached 427.5 million in 2019 and is expected to grow to 1.3 billion by 2024, representing a CAGR of</w:t>
      </w:r>
    </w:p>
    <w:p>
      <w:pPr>
        <w:spacing w:after="0" w:line="2" w:lineRule="exact"/>
        <w:rPr>
          <w:sz w:val="20"/>
          <w:szCs w:val="20"/>
          <w:color w:val="auto"/>
        </w:rPr>
      </w:pPr>
    </w:p>
    <w:p>
      <w:pPr>
        <w:ind w:left="120" w:right="20"/>
        <w:spacing w:after="0" w:line="302" w:lineRule="auto"/>
        <w:rPr>
          <w:sz w:val="20"/>
          <w:szCs w:val="20"/>
          <w:color w:val="auto"/>
        </w:rPr>
      </w:pPr>
      <w:r>
        <w:rPr>
          <w:rFonts w:ascii="Arial" w:cs="Arial" w:eastAsia="Arial" w:hAnsi="Arial"/>
          <w:sz w:val="16"/>
          <w:szCs w:val="16"/>
          <w:color w:val="32406B"/>
        </w:rPr>
        <w:t>25.1%. Average penetration rate of connected devices among total incremental device shipment in home and business operations is 4.3% in 2019 and is expected to grow to 11.7% in 2024. Average penetration rate of connected devices among total incremental device shipment related to industrial operations is 11.9% in 2019 and is expected to grow to 22.4% in 2024. The chart below shows IoT devices shipment volume by year from 2019 to 2024.</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122</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32406B"/>
        </w:rPr>
        <w:t>Worldwide IoT Device Shipment Volume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452110" cy="18002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5211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Note:</w:t>
      </w:r>
    </w:p>
    <w:p>
      <w:pPr>
        <w:spacing w:after="0" w:line="23" w:lineRule="exact"/>
        <w:rPr>
          <w:sz w:val="20"/>
          <w:szCs w:val="20"/>
          <w:color w:val="auto"/>
        </w:rPr>
      </w:pPr>
    </w:p>
    <w:p>
      <w:pPr>
        <w:ind w:left="540" w:right="140" w:hanging="424"/>
        <w:spacing w:after="0" w:line="272" w:lineRule="auto"/>
        <w:tabs>
          <w:tab w:leader="none" w:pos="540" w:val="left"/>
        </w:tabs>
        <w:numPr>
          <w:ilvl w:val="0"/>
          <w:numId w:val="55"/>
        </w:numPr>
        <w:rPr>
          <w:rFonts w:ascii="Arial" w:cs="Arial" w:eastAsia="Arial" w:hAnsi="Arial"/>
          <w:sz w:val="16"/>
          <w:szCs w:val="16"/>
          <w:color w:val="32406B"/>
        </w:rPr>
      </w:pPr>
      <w:r>
        <w:rPr>
          <w:rFonts w:ascii="Arial" w:cs="Arial" w:eastAsia="Arial" w:hAnsi="Arial"/>
          <w:sz w:val="16"/>
          <w:szCs w:val="16"/>
          <w:color w:val="32406B"/>
        </w:rPr>
        <w:t>IoT devices related to smart home and smart business include lighting, electrical accessories, home appliances, smart consumer security and monitoring devices, healthcare products, education and entertainment devices, central control devices and others. IoT devices related to smart industries include those used for manufacturing, transportation and logistics, healthcare, energy, public utilities and agriculture.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Global Spend on IoT Technologies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 large number of these software-enabled devices and associated applications are transforming industries, changing city landscapes and impacting many aspects of human economic activities. The significant value creation potential is driving massive spend on IoT worldwide. According to IDC, the overall global IoT market, including hardware, software and services, is expected to grow from US$659.2 billion in 2019 to US$1,112.6 billion in 2024, representing a CAGR of 11.0%.</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32406B"/>
        </w:rPr>
        <w:t>Asia Pacific including Japan had the largest share of the global IoT spend in 2019, representing 45.2% of the overall spend. It is forecasted to continue to contribute the most to the overall spend, growing at 11.3% CAGR from 2019 to 2024 and representing 45.8% of the market in 2024. Americas and EMEA accounted for 28.8% and 25.9% share of the overall spend in 2019, respectively. They are forecasted to grow at 9.3% and 12.4% CAGR, respectively, from 2019 to 2024. The chart below shows regional spend in 2019 and 2024.</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32406B"/>
        </w:rPr>
        <w:t>Worldwide Internet of Things Spend by Region (US$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168910</wp:posOffset>
            </wp:positionV>
            <wp:extent cx="4003040" cy="18942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0304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123</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IoT Platform-as-a-Service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32406B"/>
        </w:rPr>
        <w:t>With the proliferation of software, there was a heightened need for organizations to make their software development cycles and feature update process time- and cost-efficient. Platform-as-a-Service, or PaaS, emerged as a solution. It is a platform where third party providers deliver software, infrastructure and hardware such as networking, storage, operating systems, middleware and development tools needed for software developers to build and manage software efficiently.</w:t>
      </w:r>
    </w:p>
    <w:p>
      <w:pPr>
        <w:spacing w:after="0" w:line="18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32406B"/>
        </w:rPr>
        <w:t>Similarly, with the proliferation of IoT, there is increasing demand from brands and other IoT developers for third-party IoT PaaS providers who can provide tools to make the software-enabled IoT product’s development and update process both time- and cost-efficient. IoT PaaS provides a platform with the software, infrastructure and hardware needed to develop software-enabled IoT products and services efficiently.</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32406B"/>
        </w:rPr>
        <w:t>Brands and OEMs leverage IoT PaaS to design and deliver software-enabled products to end users. Developers use tools from IoT PaaS to create solutions for more use cases. Technology providers partner with IoT PaaS to reach a broader set of customers. IoT PaaS presents strong value propositions to these key participants in the IoT ecosystem.</w:t>
      </w:r>
    </w:p>
    <w:p>
      <w:pPr>
        <w:spacing w:after="0" w:line="89" w:lineRule="exact"/>
        <w:rPr>
          <w:sz w:val="20"/>
          <w:szCs w:val="20"/>
          <w:color w:val="auto"/>
        </w:rPr>
      </w:pPr>
    </w:p>
    <w:p>
      <w:pPr>
        <w:ind w:left="1080" w:right="40" w:hanging="532"/>
        <w:spacing w:after="0" w:line="277" w:lineRule="auto"/>
        <w:tabs>
          <w:tab w:leader="none" w:pos="1080" w:val="left"/>
        </w:tabs>
        <w:numPr>
          <w:ilvl w:val="0"/>
          <w:numId w:val="56"/>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Brands and OEMs. </w:t>
      </w:r>
      <w:r>
        <w:rPr>
          <w:rFonts w:ascii="Arial" w:cs="Arial" w:eastAsia="Arial" w:hAnsi="Arial"/>
          <w:sz w:val="18"/>
          <w:szCs w:val="18"/>
          <w:color w:val="32406B"/>
        </w:rPr>
        <w:t>Shorter time-to-market, lower total cost, interoperability with multiple clouds and protocols and global scalability will</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be the key drivers for brands and OEMs to adopt IoT PaaS.</w:t>
      </w:r>
    </w:p>
    <w:p>
      <w:pPr>
        <w:spacing w:after="0" w:line="75" w:lineRule="exact"/>
        <w:rPr>
          <w:rFonts w:ascii="Arial" w:cs="Arial" w:eastAsia="Arial" w:hAnsi="Arial"/>
          <w:sz w:val="18"/>
          <w:szCs w:val="18"/>
          <w:color w:val="32406B"/>
        </w:rPr>
      </w:pPr>
    </w:p>
    <w:p>
      <w:pPr>
        <w:ind w:left="1080" w:hanging="532"/>
        <w:spacing w:after="0" w:line="263" w:lineRule="auto"/>
        <w:tabs>
          <w:tab w:leader="none" w:pos="1080" w:val="left"/>
        </w:tabs>
        <w:numPr>
          <w:ilvl w:val="0"/>
          <w:numId w:val="56"/>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Developers. </w:t>
      </w:r>
      <w:r>
        <w:rPr>
          <w:rFonts w:ascii="Arial" w:cs="Arial" w:eastAsia="Arial" w:hAnsi="Arial"/>
          <w:sz w:val="18"/>
          <w:szCs w:val="18"/>
          <w:color w:val="32406B"/>
        </w:rPr>
        <w:t>Top-tier IoT PaaS offerings can empower IoT developers with end-to-end and low-code / no-code development platform, large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number of out-of-the-box features and the ability to tap insights from aggregated data generated from connected devices across product manufacturers.</w:t>
      </w:r>
    </w:p>
    <w:p>
      <w:pPr>
        <w:spacing w:after="0" w:line="89" w:lineRule="exact"/>
        <w:rPr>
          <w:rFonts w:ascii="Arial" w:cs="Arial" w:eastAsia="Arial" w:hAnsi="Arial"/>
          <w:sz w:val="18"/>
          <w:szCs w:val="18"/>
          <w:color w:val="32406B"/>
        </w:rPr>
      </w:pPr>
    </w:p>
    <w:p>
      <w:pPr>
        <w:ind w:left="1080" w:right="660" w:hanging="532"/>
        <w:spacing w:after="0" w:line="342" w:lineRule="auto"/>
        <w:tabs>
          <w:tab w:leader="none" w:pos="1080" w:val="left"/>
        </w:tabs>
        <w:numPr>
          <w:ilvl w:val="0"/>
          <w:numId w:val="56"/>
        </w:numPr>
        <w:rPr>
          <w:rFonts w:ascii="Arial" w:cs="Arial" w:eastAsia="Arial" w:hAnsi="Arial"/>
          <w:sz w:val="16"/>
          <w:szCs w:val="16"/>
          <w:color w:val="32406B"/>
        </w:rPr>
      </w:pPr>
      <w:r>
        <w:rPr>
          <w:rFonts w:ascii="Arial" w:cs="Arial" w:eastAsia="Arial" w:hAnsi="Arial"/>
          <w:sz w:val="16"/>
          <w:szCs w:val="16"/>
          <w:b w:val="1"/>
          <w:bCs w:val="1"/>
          <w:i w:val="1"/>
          <w:iCs w:val="1"/>
          <w:color w:val="32406B"/>
        </w:rPr>
        <w:t xml:space="preserve">Technology partners. </w:t>
      </w:r>
      <w:r>
        <w:rPr>
          <w:rFonts w:ascii="Arial" w:cs="Arial" w:eastAsia="Arial" w:hAnsi="Arial"/>
          <w:sz w:val="16"/>
          <w:szCs w:val="16"/>
          <w:color w:val="32406B"/>
        </w:rPr>
        <w:t>Partnering with IoT PaaS providers will provide technology vendors access to brands and OEMs who could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potentially integrate their solutions, as well as a large community of IoT developers who may become part of their user base.</w:t>
      </w:r>
    </w:p>
    <w:p>
      <w:pPr>
        <w:spacing w:after="0" w:line="12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32406B"/>
        </w:rPr>
        <w:t>According to CIC, the total addressable market for IoT PaaS in 2019 was US$72.2 billion, out of which US$26.6 billion was attributable to smart home and smart business use cases, and US$45.6 billion was attributable to smart industry use cases. They estimate this overall IoT PaaS market to grow at a CAGR of 18.9% from 2019 to 2024 to reach US$171.7 billion, out of which US$57.9 billion is attributable to smart home and smart business, and US$113.8 billion is attributable to smart industries. China accounts for US$18.9 billion and US$49.7 billion of the overall IoT PaaS market in 2019 and 2024, respectively, representing a CAGR of 21.3%. The chart below shows IoT PaaS market opportunities in 2019 and 2024.</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32406B"/>
        </w:rPr>
        <w:t>IoT PaaS Total Addressable Market (US$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349240" cy="1611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492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Note:</w:t>
      </w:r>
    </w:p>
    <w:p>
      <w:pPr>
        <w:spacing w:after="0" w:line="23" w:lineRule="exact"/>
        <w:rPr>
          <w:sz w:val="20"/>
          <w:szCs w:val="20"/>
          <w:color w:val="auto"/>
        </w:rPr>
      </w:pPr>
    </w:p>
    <w:p>
      <w:pPr>
        <w:ind w:left="540" w:right="300" w:hanging="424"/>
        <w:spacing w:after="0" w:line="272" w:lineRule="auto"/>
        <w:tabs>
          <w:tab w:leader="none" w:pos="540" w:val="left"/>
        </w:tabs>
        <w:numPr>
          <w:ilvl w:val="0"/>
          <w:numId w:val="57"/>
        </w:numPr>
        <w:rPr>
          <w:rFonts w:ascii="Arial" w:cs="Arial" w:eastAsia="Arial" w:hAnsi="Arial"/>
          <w:sz w:val="16"/>
          <w:szCs w:val="16"/>
          <w:color w:val="32406B"/>
        </w:rPr>
      </w:pPr>
      <w:r>
        <w:rPr>
          <w:rFonts w:ascii="Arial" w:cs="Arial" w:eastAsia="Arial" w:hAnsi="Arial"/>
          <w:sz w:val="16"/>
          <w:szCs w:val="16"/>
          <w:color w:val="32406B"/>
        </w:rPr>
        <w:t>Segments related to smart home and smart business include lighting, electrical accessories, home appliances, smart consumer security and monitoring devices, healthcare products, education and entertainment devices, central control devices and others. Segments related to smart industries include manufacturing, transportation and logistics, healthcare, energy, public utilities and agriculture.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124</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32406B"/>
        </w:rPr>
        <w:t>The total addressable market is calculated by aggregating the individual market opportunity of each segment. Market sizes of most segments were calculated by multiplying the annual shipment volume of penetrable IoT devices within those segments by the unit revenue opportunity of each device. Market sizes of a few other segments, such as manufacturing production lines, were calculated by multiplying the number of incremental IoT devices needed for IoT enablement by the unit revenue opportunity of each device.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IoT Software-as-a-Service</w:t>
      </w:r>
    </w:p>
    <w:p>
      <w:pPr>
        <w:spacing w:after="0" w:line="121"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32406B"/>
        </w:rPr>
        <w:t>Proliferation of IoT devices has paved way for Software-as-a-Service, or SaaS, IoT solutions designed for business operators across multiple verticals. Business operators are increasingly adopting these IoT SaaS solutions to optimize cost and improve operating efficiency, while focusing on their core competencies. As an example, hotel administrators can use such a software solution to manage its software-enabled IoT devices in the hotel. The software would automatically turn off air conditioning when no customer is detected in a particular room for certain time period, thereby realizing energy cost savings. IoT SaaS customers, by nature, are end users of software-enabled IoT devices, which provides inputs and data for the SaaS solutions. Therefore, further penetration of IoT SaaS will lead to enhanced demand for smart devices from brands and OEMs, who in turn will start leveraging end-to-end IoT PaaS solutions for device development and activation.</w:t>
      </w:r>
    </w:p>
    <w:p>
      <w:pPr>
        <w:spacing w:after="0" w:line="17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32406B"/>
        </w:rPr>
        <w:t>According to IDC, IoT software spend has reached US$129.2 billion in 2019 and is forecasted to grow to US$237.0 billion by 2024, representing a CAGR of 12.9%. Software represents 19.6% and 21.3% of the total IoT spend in 2019 and 2024, respectively. IoT software spend in China is estimated to be US$21.5 billion in 2019 and US$42.9 billion in 2024, representing a CAGR of 14.8%. Within IoT software there are a range of categories such as application software, analytics software, security software and others. The chart below shows market opportunity of IoT software in 2019 and 2024.</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32406B"/>
        </w:rPr>
        <w:t>Total IoT Software Spend (US$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168910</wp:posOffset>
            </wp:positionV>
            <wp:extent cx="4071620" cy="1911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7162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Limitations of Existing Offerings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Existing solutions in the market lack comprehensive features needed for either IoT PaaS or IoT SaaS, let alone both. Most of the providers attempt to solve only a small part of the problem. In many cases, these vendors lack focus on IoT or do not have the expertise to build end-to-end offerings. We broadly categorize the existing solutions as following:</w:t>
      </w:r>
    </w:p>
    <w:p>
      <w:pPr>
        <w:spacing w:after="0" w:line="8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32406B"/>
        </w:rPr>
      </w:pPr>
      <w:r>
        <w:rPr>
          <w:rFonts w:ascii="Arial" w:cs="Arial" w:eastAsia="Arial" w:hAnsi="Arial"/>
          <w:sz w:val="18"/>
          <w:szCs w:val="18"/>
          <w:b w:val="1"/>
          <w:bCs w:val="1"/>
          <w:i w:val="1"/>
          <w:iCs w:val="1"/>
          <w:color w:val="32406B"/>
        </w:rPr>
        <w:t>Cloud providers.</w:t>
      </w:r>
    </w:p>
    <w:p>
      <w:pPr>
        <w:spacing w:after="0" w:line="130" w:lineRule="exact"/>
        <w:rPr>
          <w:rFonts w:ascii="Arial" w:cs="Arial" w:eastAsia="Arial" w:hAnsi="Arial"/>
          <w:sz w:val="18"/>
          <w:szCs w:val="18"/>
          <w:color w:val="32406B"/>
        </w:rPr>
      </w:pPr>
    </w:p>
    <w:p>
      <w:pPr>
        <w:ind w:left="1540" w:right="520" w:hanging="439"/>
        <w:spacing w:after="0" w:line="277" w:lineRule="auto"/>
        <w:tabs>
          <w:tab w:leader="none" w:pos="1540" w:val="left"/>
        </w:tabs>
        <w:numPr>
          <w:ilvl w:val="1"/>
          <w:numId w:val="58"/>
        </w:numPr>
        <w:rPr>
          <w:rFonts w:ascii="Arial" w:cs="Arial" w:eastAsia="Arial" w:hAnsi="Arial"/>
          <w:sz w:val="18"/>
          <w:szCs w:val="18"/>
          <w:color w:val="32406B"/>
        </w:rPr>
      </w:pPr>
      <w:r>
        <w:rPr>
          <w:rFonts w:ascii="Arial" w:cs="Arial" w:eastAsia="Arial" w:hAnsi="Arial"/>
          <w:sz w:val="18"/>
          <w:szCs w:val="18"/>
          <w:i w:val="1"/>
          <w:iCs w:val="1"/>
          <w:color w:val="32406B"/>
        </w:rPr>
        <w:t xml:space="preserve">Lack of end-to-end offerings. </w:t>
      </w:r>
      <w:r>
        <w:rPr>
          <w:rFonts w:ascii="Arial" w:cs="Arial" w:eastAsia="Arial" w:hAnsi="Arial"/>
          <w:sz w:val="18"/>
          <w:szCs w:val="18"/>
          <w:color w:val="32406B"/>
        </w:rPr>
        <w:t>These player primarily only focus on providing cloud computing capabilities required in the IoT</w:t>
      </w:r>
      <w:r>
        <w:rPr>
          <w:rFonts w:ascii="Arial" w:cs="Arial" w:eastAsia="Arial" w:hAnsi="Arial"/>
          <w:sz w:val="18"/>
          <w:szCs w:val="18"/>
          <w:i w:val="1"/>
          <w:iCs w:val="1"/>
          <w:color w:val="32406B"/>
        </w:rPr>
        <w:t xml:space="preserve"> </w:t>
      </w:r>
      <w:r>
        <w:rPr>
          <w:rFonts w:ascii="Arial" w:cs="Arial" w:eastAsia="Arial" w:hAnsi="Arial"/>
          <w:sz w:val="18"/>
          <w:szCs w:val="18"/>
          <w:color w:val="32406B"/>
        </w:rPr>
        <w:t>scenario.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125</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439"/>
        <w:spacing w:after="0" w:line="277" w:lineRule="auto"/>
        <w:tabs>
          <w:tab w:leader="none" w:pos="1540" w:val="left"/>
        </w:tabs>
        <w:numPr>
          <w:ilvl w:val="1"/>
          <w:numId w:val="59"/>
        </w:numPr>
        <w:rPr>
          <w:rFonts w:ascii="Arial" w:cs="Arial" w:eastAsia="Arial" w:hAnsi="Arial"/>
          <w:sz w:val="18"/>
          <w:szCs w:val="18"/>
          <w:color w:val="32406B"/>
        </w:rPr>
      </w:pPr>
      <w:r>
        <w:rPr>
          <w:rFonts w:ascii="Arial" w:cs="Arial" w:eastAsia="Arial" w:hAnsi="Arial"/>
          <w:sz w:val="18"/>
          <w:szCs w:val="18"/>
          <w:i w:val="1"/>
          <w:iCs w:val="1"/>
          <w:color w:val="32406B"/>
        </w:rPr>
        <w:t xml:space="preserve">Lack of neutrality. </w:t>
      </w:r>
      <w:r>
        <w:rPr>
          <w:rFonts w:ascii="Arial" w:cs="Arial" w:eastAsia="Arial" w:hAnsi="Arial"/>
          <w:sz w:val="18"/>
          <w:szCs w:val="18"/>
          <w:color w:val="32406B"/>
        </w:rPr>
        <w:t>Cloud providers usually build solutions around their own cloud infrastructure, hence are difficult to be adopted by</w:t>
      </w:r>
      <w:r>
        <w:rPr>
          <w:rFonts w:ascii="Arial" w:cs="Arial" w:eastAsia="Arial" w:hAnsi="Arial"/>
          <w:sz w:val="18"/>
          <w:szCs w:val="18"/>
          <w:i w:val="1"/>
          <w:iCs w:val="1"/>
          <w:color w:val="32406B"/>
        </w:rPr>
        <w:t xml:space="preserve"> </w:t>
      </w:r>
      <w:r>
        <w:rPr>
          <w:rFonts w:ascii="Arial" w:cs="Arial" w:eastAsia="Arial" w:hAnsi="Arial"/>
          <w:sz w:val="18"/>
          <w:szCs w:val="18"/>
          <w:color w:val="32406B"/>
        </w:rPr>
        <w:t>other IoT players.</w:t>
      </w:r>
    </w:p>
    <w:p>
      <w:pPr>
        <w:spacing w:after="0" w:line="75" w:lineRule="exact"/>
        <w:rPr>
          <w:rFonts w:ascii="Arial" w:cs="Arial" w:eastAsia="Arial" w:hAnsi="Arial"/>
          <w:sz w:val="18"/>
          <w:szCs w:val="18"/>
          <w:color w:val="32406B"/>
        </w:rPr>
      </w:pPr>
    </w:p>
    <w:p>
      <w:pPr>
        <w:ind w:left="1540" w:right="140" w:hanging="439"/>
        <w:spacing w:after="0" w:line="277" w:lineRule="auto"/>
        <w:tabs>
          <w:tab w:leader="none" w:pos="1540" w:val="left"/>
        </w:tabs>
        <w:numPr>
          <w:ilvl w:val="1"/>
          <w:numId w:val="59"/>
        </w:numPr>
        <w:rPr>
          <w:rFonts w:ascii="Arial" w:cs="Arial" w:eastAsia="Arial" w:hAnsi="Arial"/>
          <w:sz w:val="18"/>
          <w:szCs w:val="18"/>
          <w:color w:val="32406B"/>
        </w:rPr>
      </w:pPr>
      <w:r>
        <w:rPr>
          <w:rFonts w:ascii="Arial" w:cs="Arial" w:eastAsia="Arial" w:hAnsi="Arial"/>
          <w:sz w:val="18"/>
          <w:szCs w:val="18"/>
          <w:i w:val="1"/>
          <w:iCs w:val="1"/>
          <w:color w:val="32406B"/>
        </w:rPr>
        <w:t xml:space="preserve">Lagging in traction with brands and OEMs. </w:t>
      </w:r>
      <w:r>
        <w:rPr>
          <w:rFonts w:ascii="Arial" w:cs="Arial" w:eastAsia="Arial" w:hAnsi="Arial"/>
          <w:sz w:val="18"/>
          <w:szCs w:val="18"/>
          <w:color w:val="32406B"/>
        </w:rPr>
        <w:t>With the focus on cloud driven offerings and their own ecosystems, they have not built</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relationships with major brands and OEMs to power their devices.</w:t>
      </w:r>
    </w:p>
    <w:p>
      <w:pPr>
        <w:spacing w:after="0" w:line="75" w:lineRule="exact"/>
        <w:rPr>
          <w:rFonts w:ascii="Arial" w:cs="Arial" w:eastAsia="Arial" w:hAnsi="Arial"/>
          <w:sz w:val="18"/>
          <w:szCs w:val="18"/>
          <w:color w:val="32406B"/>
        </w:rPr>
      </w:pPr>
    </w:p>
    <w:p>
      <w:pPr>
        <w:ind w:left="1540" w:right="540" w:hanging="439"/>
        <w:spacing w:after="0" w:line="277" w:lineRule="auto"/>
        <w:tabs>
          <w:tab w:leader="none" w:pos="1540" w:val="left"/>
        </w:tabs>
        <w:numPr>
          <w:ilvl w:val="1"/>
          <w:numId w:val="59"/>
        </w:numPr>
        <w:rPr>
          <w:rFonts w:ascii="Arial" w:cs="Arial" w:eastAsia="Arial" w:hAnsi="Arial"/>
          <w:sz w:val="18"/>
          <w:szCs w:val="18"/>
          <w:color w:val="32406B"/>
        </w:rPr>
      </w:pPr>
      <w:r>
        <w:rPr>
          <w:rFonts w:ascii="Arial" w:cs="Arial" w:eastAsia="Arial" w:hAnsi="Arial"/>
          <w:sz w:val="18"/>
          <w:szCs w:val="18"/>
          <w:i w:val="1"/>
          <w:iCs w:val="1"/>
          <w:color w:val="32406B"/>
        </w:rPr>
        <w:t xml:space="preserve">Channel conflicts. </w:t>
      </w:r>
      <w:r>
        <w:rPr>
          <w:rFonts w:ascii="Arial" w:cs="Arial" w:eastAsia="Arial" w:hAnsi="Arial"/>
          <w:sz w:val="18"/>
          <w:szCs w:val="18"/>
          <w:color w:val="32406B"/>
        </w:rPr>
        <w:t>Additionally, some public cloud providers also operate large ecommerce platforms that may create channel</w:t>
      </w:r>
      <w:r>
        <w:rPr>
          <w:rFonts w:ascii="Arial" w:cs="Arial" w:eastAsia="Arial" w:hAnsi="Arial"/>
          <w:sz w:val="18"/>
          <w:szCs w:val="18"/>
          <w:i w:val="1"/>
          <w:iCs w:val="1"/>
          <w:color w:val="32406B"/>
        </w:rPr>
        <w:t xml:space="preserve"> </w:t>
      </w:r>
      <w:r>
        <w:rPr>
          <w:rFonts w:ascii="Arial" w:cs="Arial" w:eastAsia="Arial" w:hAnsi="Arial"/>
          <w:sz w:val="18"/>
          <w:szCs w:val="18"/>
          <w:color w:val="32406B"/>
        </w:rPr>
        <w:t>conflicts with device makers and retailers.</w:t>
      </w:r>
    </w:p>
    <w:p>
      <w:pPr>
        <w:spacing w:after="0" w:line="75" w:lineRule="exact"/>
        <w:rPr>
          <w:rFonts w:ascii="Arial" w:cs="Arial" w:eastAsia="Arial" w:hAnsi="Arial"/>
          <w:sz w:val="18"/>
          <w:szCs w:val="18"/>
          <w:color w:val="32406B"/>
        </w:rPr>
      </w:pPr>
    </w:p>
    <w:p>
      <w:pPr>
        <w:ind w:left="1080" w:right="40" w:hanging="532"/>
        <w:spacing w:after="0" w:line="286" w:lineRule="auto"/>
        <w:tabs>
          <w:tab w:leader="none" w:pos="1080" w:val="left"/>
        </w:tabs>
        <w:numPr>
          <w:ilvl w:val="0"/>
          <w:numId w:val="59"/>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In-house development. </w:t>
      </w:r>
      <w:r>
        <w:rPr>
          <w:rFonts w:ascii="Arial" w:cs="Arial" w:eastAsia="Arial" w:hAnsi="Arial"/>
          <w:sz w:val="17"/>
          <w:szCs w:val="17"/>
          <w:color w:val="32406B"/>
        </w:rPr>
        <w:t>Traditional device brands typically do not have the talent or skills for IoT platform development. Managing an IoT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platform is not core to their business either. A few new-generation device brands do have better platform capabilities and a large end user base, but their closed ecosystem prevents them from becoming a true enabler for the industry.</w:t>
      </w:r>
    </w:p>
    <w:p>
      <w:pPr>
        <w:spacing w:after="0" w:line="70" w:lineRule="exact"/>
        <w:rPr>
          <w:rFonts w:ascii="Arial" w:cs="Arial" w:eastAsia="Arial" w:hAnsi="Arial"/>
          <w:sz w:val="17"/>
          <w:szCs w:val="17"/>
          <w:color w:val="32406B"/>
        </w:rPr>
      </w:pPr>
    </w:p>
    <w:p>
      <w:pPr>
        <w:ind w:left="1080" w:hanging="532"/>
        <w:spacing w:after="0" w:line="263" w:lineRule="auto"/>
        <w:tabs>
          <w:tab w:leader="none" w:pos="1080" w:val="left"/>
        </w:tabs>
        <w:numPr>
          <w:ilvl w:val="0"/>
          <w:numId w:val="59"/>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Third-party platforms. </w:t>
      </w:r>
      <w:r>
        <w:rPr>
          <w:rFonts w:ascii="Arial" w:cs="Arial" w:eastAsia="Arial" w:hAnsi="Arial"/>
          <w:sz w:val="18"/>
          <w:szCs w:val="18"/>
          <w:color w:val="32406B"/>
        </w:rPr>
        <w:t>Third-party platforms are typically subscale and have not been able to establish a large global user base, which is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essential to form the virtuous network effects with the increasing value driven from device operation insights. Further, they typically do not provide end-to-end, integrated solutions.</w:t>
      </w:r>
    </w:p>
    <w:p>
      <w:pPr>
        <w:spacing w:after="0" w:line="89" w:lineRule="exact"/>
        <w:rPr>
          <w:rFonts w:ascii="Arial" w:cs="Arial" w:eastAsia="Arial" w:hAnsi="Arial"/>
          <w:sz w:val="18"/>
          <w:szCs w:val="18"/>
          <w:color w:val="32406B"/>
        </w:rPr>
      </w:pPr>
    </w:p>
    <w:p>
      <w:pPr>
        <w:ind w:left="1080" w:right="180" w:hanging="532"/>
        <w:spacing w:after="0" w:line="263" w:lineRule="auto"/>
        <w:tabs>
          <w:tab w:leader="none" w:pos="1080" w:val="left"/>
        </w:tabs>
        <w:numPr>
          <w:ilvl w:val="0"/>
          <w:numId w:val="59"/>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IoT SaaS vendors. </w:t>
      </w:r>
      <w:r>
        <w:rPr>
          <w:rFonts w:ascii="Arial" w:cs="Arial" w:eastAsia="Arial" w:hAnsi="Arial"/>
          <w:sz w:val="18"/>
          <w:szCs w:val="18"/>
          <w:color w:val="32406B"/>
        </w:rPr>
        <w:t>Existing vendors are mostly niche players focusing on siloed industries or verticals. Some vendors also only focus on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specific geographic locations. Additionally, the market currently lacks vendors offering IoT SaaS solutions integrated with IoT PaaS offerings.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Market Opportunity</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32406B"/>
        </w:rPr>
        <w:t>We believe that as organizations transition from traditional product companies to digital businesses with software-enabled IoT products, a significant amount of IT spend will be allocated to IoT enablement. We provide these organizations a neutral, comprehensive and scalable platform with an open ecosystem. According to CIC, we are one of the earliest in the industry to provide full stack IoT solutions spanning the perception, network, cloud and application layers. Our vision is to become the largest platform to enable IoT products and services across the globe. Our technology and products address use cases in the large markets of IoT PaaS as well as IoT SaaS, which includes application software and analytics software spend on IoT. According to CIC, the worldwide IoT PaaS total addressable market is forecasted to grow from US$72.2 billion in 2019 to US$171.7 billion by 2024, representing a CAGR of 18.9%. China represents 26.2% and 28.9% of this market in 2019 and 2024, respectively. According to IDC, the worldwide IoT software total addressable market is forecasted to grow from US$129.2 billion in 2019 to US$237.0 billion by 2024, representing a CAGR of 12.9%. China represents 16.6% and 18.1% of this market in 2019 and 2024, respectively.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126</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32406B"/>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Mission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mission is to build an IoT developer ecosystem and to enable everything to be smart.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Culture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32406B"/>
        </w:rPr>
        <w:t>We are a team of engineers and entrepreneurs with rich experience in software, cloud and enterprise services. Together as a team, we have a vision that in the era of Internet of Things, every “thing” will be connected seamlessly to unleash enormous commercial opportunities through software and to create value for users. We founded Tuya based upon the principles of team spirit, innovation and unlimited courage. We firmly believe that success comes for those who share a common pursuit to change the world for the better, those who are reformers to constantly generate groundbreaking ideas, and those who are brave enough to face the challenges and turn these ideas into reality. These beliefs underpin all the work we do and are the foundation of our corporate culture.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32406B"/>
        </w:rPr>
        <w:t>We have pioneered a purpose-built IoT cloud platform that delivers a full suite of offerings, including Platform-as-a-Service, or PaaS, and Software-as-a-Service, or SaaS, to businesses and developers. IoT is fundamentally changing the world and creating enormous business opportunities. Our IoT PaaS offering enables businesses and developers to quickly and cost-effectively develop, launch, manage and monetize software-enabled devices and services. Our Industry SaaS offering enables businesses to easily and securely deploy, connect, and manage large numbers and different types of smart devices. We also offer businesses, developers and end users a wide range of cloud-based value-added services to improve their ability to develop and manage IoT experiences.</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32406B"/>
        </w:rPr>
        <w:t>Through our IoT cloud platform, we have enabled developers to activate a vibrant IoT ecosystem of brands, OEMs, partners and end users to engage and communicate through a broad range of smart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134620</wp:posOffset>
            </wp:positionV>
            <wp:extent cx="2983230" cy="30600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8323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127</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32406B"/>
        </w:rPr>
        <w:t>We had over 5,000 customers in 2020, primarily including brands, OEMs, industry operators and system integrators. For the same period, our IoT PaaS empowered over 2,700 brands to develop their smart devices, including leading brands such as Calex, Philips and Schneider Electric. As we have cultivated a large and diversified customer base across different industry verticals, none of our customers is material to our total revenue. Our IoT PaaS currently enables businesses and developers to develop smart devices in more than 1,100 categories sold across over 220 countries and regions globally. In 2020, we powered over 116.5 million smart devices, making us the largest IoT PaaS business in the global market of IoT PaaS in terms of the volume of smart devices powered, according to CIC. As of December 31, 2020, there were approximately 204.3 million smart devices powered by Tuya. We are also attracting an increasing number of Industry SaaS customers. We have also established a large and active community of over 262,000 IoT device and software developers as of December 31, 2020. Our IoT cloud platform is currently capable of processing over 84 billion cloud requests and over 122 million AI voice interactions daily. Today, smart devices powered by Tuya are available in over 100,000 stores all over the world.</w:t>
      </w:r>
    </w:p>
    <w:p>
      <w:pPr>
        <w:spacing w:after="0" w:line="16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32406B"/>
        </w:rPr>
        <w:t>IoT provides the opportunity of connecting every thing and every person. This offers a growth opportunity similar to that of the mobile internet. Today, billions of smartphone users run their lives on millions of apps. The mobile internet revolution is made possible by ubiquitous high speed connectivity, local capabilities in computing, storage and networking, and most importantly a software experience that transforms business operations and user interaction. We believe IoT will follow a similar evolution enabled by connectivity, computing, software and software development tools. The IoT developers are key to unlocking the IoT growth opportunity. As developers create more smart devices and IoT services, they need a software platform that enables them to develop efficiently and manage the complexities of the full development cycle.</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32406B"/>
        </w:rPr>
        <w:t>We are the software platform for the IoT era. Traditionally, businesses offered static, disconnected devices that limited their ability to establish and maintain long-term relationships with their end users. We have built a neutral, comprehensive, cloud-native and developer-friendly platform, where businesses and developers can develop software applications that turn traditional devices into connected and active devices, engage with end users throughout the product lifecycle, and create new revenue opportunities.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32406B"/>
        </w:rPr>
        <w:t>Our products enable customers across a broad range of industry verticals, such as smart home, smart business, healthcare, education and agriculture. Our multi-cloud platform allows customers to switch among major cloud infrastructure providers, such as Amazon Web Services, Microsoft Azure and Tencent Cloud, and integrates mainstream third-party technologies, such as Amazon Alexa, Google Assistant and Samsung SmartThings, to make smart devices more intelligent.</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32406B"/>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 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w:t>
      </w:r>
    </w:p>
    <w:p>
      <w:pPr>
        <w:spacing w:after="0" w:line="16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32406B"/>
        </w:rPr>
        <w:t>We help our customers succeed and we benefit from their growth through our consumption-based revenue model as we deploy IoT PaaS to more smart devices developed by our customers. We had 188 premium IoT PaaS customers, defined as IoT PaaS customers who individually contributed more than US$100,000 of revenue during the immediately preceding 12-month periods, as of December 31, 2020. For the same period, our premium IoT PaaS customers contributed approximately 87% of our revenues generated from IoT PaaS. Our dollar-based net expansion rate of IoT PaaS was 181% for the trailing 12-month period ended December 31, 2020, indicating strong growth within our existing customer base.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128</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32406B"/>
        </w:rPr>
        <w:t>We also provide Industry SaaS in select verticals to directly help businesses deliver a full IoT experience, driving efficiency, cost saving and productivity. For example, our Smart Hotel SaaS solution allows hotel managers to monitor from a single control point different aspects of hotel services, such as housekeeping, guest traffic control, property surveillance and maintenance. Our Smart Consumer Security SaaS solution enables home and business owners to monitor multiple smart consumer security devices, such as sensors and motion detectors, to enhance security and provide better control over their properties.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Our business has scaled rapidly in recent periods. For 2020, our revenue grew to US$179.9 million, representing an increase of 70% over the same period in 2019. We generated net loss of US$70.5 million and US$66.9 million in 2019 and 2020,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The Internet of Things Era</w:t>
      </w:r>
    </w:p>
    <w:p>
      <w:pPr>
        <w:spacing w:after="0" w:line="11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32406B"/>
        </w:rPr>
        <w:t>Internet of Things—the concept of connecting physical devices to a large, interconnected network—is profoundly transforming the way individuals interact with the physical world and changing how device companies develop products.</w:t>
      </w:r>
    </w:p>
    <w:p>
      <w:pPr>
        <w:spacing w:after="0" w:line="170"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32406B"/>
        </w:rPr>
        <w:t>In the past decade, the mobile internet transformed people’s way of life. There was a convergence of operating systems and application development tools for smartphones, which drove a vibrant ecosystem of phones, users, developers and applications. Today there are billions of smartphone users and millions of mobile apps. These mobile apps enabled people to socialize online, consume local services and conduct their lives from a smartphone. The concept of “Social, Local, Mobile”, or SoLoMo, has created trillion dollars of value in mobile internet.</w:t>
      </w:r>
    </w:p>
    <w:p>
      <w:pPr>
        <w:spacing w:after="0" w:line="17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32406B"/>
        </w:rPr>
        <w:t>The IoT era transcends the mobile internet, with SoLoMo evolving to “Assistant, Space, Things”, generating a massive opportunity for value creation by businesses.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The Growing Importance of a Software Experience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With favorable technology drivers, users want a software experience in IoT, and businesses need to deliver it.</w:t>
      </w:r>
    </w:p>
    <w:p>
      <w:pPr>
        <w:spacing w:after="0" w:line="131" w:lineRule="exact"/>
        <w:rPr>
          <w:sz w:val="20"/>
          <w:szCs w:val="20"/>
          <w:color w:val="auto"/>
        </w:rPr>
      </w:pPr>
    </w:p>
    <w:p>
      <w:pPr>
        <w:ind w:left="1080" w:right="100" w:hanging="532"/>
        <w:spacing w:after="0" w:line="259" w:lineRule="auto"/>
        <w:tabs>
          <w:tab w:leader="none" w:pos="1080" w:val="left"/>
        </w:tabs>
        <w:numPr>
          <w:ilvl w:val="0"/>
          <w:numId w:val="60"/>
        </w:numPr>
        <w:rPr>
          <w:rFonts w:ascii="Arial" w:cs="Arial" w:eastAsia="Arial" w:hAnsi="Arial"/>
          <w:sz w:val="18"/>
          <w:szCs w:val="18"/>
          <w:color w:val="32406B"/>
        </w:rPr>
      </w:pPr>
      <w:r>
        <w:rPr>
          <w:rFonts w:ascii="Arial" w:cs="Arial" w:eastAsia="Arial" w:hAnsi="Arial"/>
          <w:sz w:val="18"/>
          <w:szCs w:val="18"/>
          <w:i w:val="1"/>
          <w:iCs w:val="1"/>
          <w:color w:val="32406B"/>
        </w:rPr>
        <w:t xml:space="preserve">Consumers expect a software-like experience. </w:t>
      </w:r>
      <w:r>
        <w:rPr>
          <w:rFonts w:ascii="Arial" w:cs="Arial" w:eastAsia="Arial" w:hAnsi="Arial"/>
          <w:sz w:val="18"/>
          <w:szCs w:val="18"/>
          <w:color w:val="32406B"/>
        </w:rPr>
        <w:t>Traditionally, consumer devices were largely designed with physical and manual interfaces.</w:t>
      </w:r>
      <w:r>
        <w:rPr>
          <w:rFonts w:ascii="Arial" w:cs="Arial" w:eastAsia="Arial" w:hAnsi="Arial"/>
          <w:sz w:val="18"/>
          <w:szCs w:val="18"/>
          <w:i w:val="1"/>
          <w:iCs w:val="1"/>
          <w:color w:val="32406B"/>
        </w:rPr>
        <w:t xml:space="preserve"> </w:t>
      </w:r>
      <w:r>
        <w:rPr>
          <w:rFonts w:ascii="Arial" w:cs="Arial" w:eastAsia="Arial" w:hAnsi="Arial"/>
          <w:sz w:val="18"/>
          <w:szCs w:val="18"/>
          <w:color w:val="32406B"/>
        </w:rPr>
        <w:t>Consumers are accustomed to software-like experiences to program, control and interact with their devices in the most convenient ways. Recently, voice-enabled devices supported by Amazon Alexa, Google Assistant, Samsung SmartThings or other virtual assistants that further simplify interaction have proliferated rapidly.</w:t>
      </w:r>
    </w:p>
    <w:p>
      <w:pPr>
        <w:spacing w:after="0" w:line="92" w:lineRule="exact"/>
        <w:rPr>
          <w:rFonts w:ascii="Arial" w:cs="Arial" w:eastAsia="Arial" w:hAnsi="Arial"/>
          <w:sz w:val="18"/>
          <w:szCs w:val="18"/>
          <w:color w:val="32406B"/>
        </w:rPr>
      </w:pPr>
    </w:p>
    <w:p>
      <w:pPr>
        <w:ind w:left="1080" w:right="140" w:hanging="532"/>
        <w:spacing w:after="0" w:line="257" w:lineRule="auto"/>
        <w:tabs>
          <w:tab w:leader="none" w:pos="1080" w:val="left"/>
        </w:tabs>
        <w:numPr>
          <w:ilvl w:val="0"/>
          <w:numId w:val="60"/>
        </w:numPr>
        <w:rPr>
          <w:rFonts w:ascii="Arial" w:cs="Arial" w:eastAsia="Arial" w:hAnsi="Arial"/>
          <w:sz w:val="18"/>
          <w:szCs w:val="18"/>
          <w:color w:val="32406B"/>
        </w:rPr>
      </w:pPr>
      <w:r>
        <w:rPr>
          <w:rFonts w:ascii="Arial" w:cs="Arial" w:eastAsia="Arial" w:hAnsi="Arial"/>
          <w:sz w:val="18"/>
          <w:szCs w:val="18"/>
          <w:i w:val="1"/>
          <w:iCs w:val="1"/>
          <w:color w:val="32406B"/>
        </w:rPr>
        <w:t xml:space="preserve">Product companies must transform into software companies. </w:t>
      </w:r>
      <w:r>
        <w:rPr>
          <w:rFonts w:ascii="Arial" w:cs="Arial" w:eastAsia="Arial" w:hAnsi="Arial"/>
          <w:sz w:val="18"/>
          <w:szCs w:val="18"/>
          <w:color w:val="32406B"/>
        </w:rPr>
        <w:t>As consumer preferences evolve, product companies recognize the need to</w:t>
      </w:r>
      <w:r>
        <w:rPr>
          <w:rFonts w:ascii="Arial" w:cs="Arial" w:eastAsia="Arial" w:hAnsi="Arial"/>
          <w:sz w:val="18"/>
          <w:szCs w:val="18"/>
          <w:i w:val="1"/>
          <w:iCs w:val="1"/>
          <w:color w:val="32406B"/>
        </w:rPr>
        <w:t xml:space="preserve"> </w:t>
      </w:r>
      <w:r>
        <w:rPr>
          <w:rFonts w:ascii="Arial" w:cs="Arial" w:eastAsia="Arial" w:hAnsi="Arial"/>
          <w:sz w:val="18"/>
          <w:szCs w:val="18"/>
          <w:color w:val="32406B"/>
        </w:rPr>
        <w:t>deliver a differentiated experience by software-enabling their products. This enables product companies to transform into software companies. Products that are software enabled and internet connected allow branded product companies to gain valuable insights through feedback based on multi-dimensional data collected by the devices, and to offer and enhance user experience from improved product design and algorithms.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Challenges in Delivering IoT and Software Experience</w:t>
      </w:r>
    </w:p>
    <w:p>
      <w:pPr>
        <w:spacing w:after="0" w:line="11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32406B"/>
        </w:rPr>
        <w:t>Businesses and developers still face a number of challenges in delivering software-enabled IoT offerings, which also affect the end user experience:</w:t>
      </w:r>
    </w:p>
    <w:p>
      <w:pPr>
        <w:spacing w:after="0" w:line="76" w:lineRule="exact"/>
        <w:rPr>
          <w:sz w:val="20"/>
          <w:szCs w:val="20"/>
          <w:color w:val="auto"/>
        </w:rPr>
      </w:pPr>
    </w:p>
    <w:p>
      <w:pPr>
        <w:jc w:val="both"/>
        <w:ind w:left="1080" w:right="60" w:hanging="532"/>
        <w:spacing w:after="0" w:line="263" w:lineRule="auto"/>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i w:val="1"/>
          <w:iCs w:val="1"/>
          <w:color w:val="32406B"/>
        </w:rPr>
        <w:t xml:space="preserve">Lack of development talent and capabilities. </w:t>
      </w:r>
      <w:r>
        <w:rPr>
          <w:rFonts w:ascii="Arial" w:cs="Arial" w:eastAsia="Arial" w:hAnsi="Arial"/>
          <w:sz w:val="18"/>
          <w:szCs w:val="18"/>
          <w:color w:val="32406B"/>
        </w:rPr>
        <w:t>Both device and software development require new capabilities to support the design, release</w:t>
      </w:r>
      <w:r>
        <w:rPr>
          <w:rFonts w:ascii="Arial" w:cs="Arial" w:eastAsia="Arial" w:hAnsi="Arial"/>
          <w:sz w:val="18"/>
          <w:szCs w:val="18"/>
          <w:i w:val="1"/>
          <w:iCs w:val="1"/>
          <w:color w:val="32406B"/>
        </w:rPr>
        <w:t xml:space="preserve"> </w:t>
      </w:r>
      <w:r>
        <w:rPr>
          <w:rFonts w:ascii="Arial" w:cs="Arial" w:eastAsia="Arial" w:hAnsi="Arial"/>
          <w:sz w:val="18"/>
          <w:szCs w:val="18"/>
          <w:color w:val="32406B"/>
        </w:rPr>
        <w:t>and management of software-enabled products. Such technology expertise—especially the knowledge, experience and talents necessary to support software deployed across millions of devices—is in short supply.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129</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532"/>
        <w:spacing w:after="0" w:line="259" w:lineRule="auto"/>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i w:val="1"/>
          <w:iCs w:val="1"/>
          <w:color w:val="32406B"/>
        </w:rPr>
        <w:t xml:space="preserve">Cost and complexity to develop platform, tools and applications. </w:t>
      </w:r>
      <w:r>
        <w:rPr>
          <w:rFonts w:ascii="Arial" w:cs="Arial" w:eastAsia="Arial" w:hAnsi="Arial"/>
          <w:sz w:val="18"/>
          <w:szCs w:val="18"/>
          <w:color w:val="32406B"/>
        </w:rPr>
        <w:t>For product companies and developers, significant investments are</w:t>
      </w:r>
      <w:r>
        <w:rPr>
          <w:rFonts w:ascii="Arial" w:cs="Arial" w:eastAsia="Arial" w:hAnsi="Arial"/>
          <w:sz w:val="18"/>
          <w:szCs w:val="18"/>
          <w:i w:val="1"/>
          <w:iCs w:val="1"/>
          <w:color w:val="32406B"/>
        </w:rPr>
        <w:t xml:space="preserve"> </w:t>
      </w:r>
      <w:r>
        <w:rPr>
          <w:rFonts w:ascii="Arial" w:cs="Arial" w:eastAsia="Arial" w:hAnsi="Arial"/>
          <w:sz w:val="18"/>
          <w:szCs w:val="18"/>
          <w:color w:val="32406B"/>
        </w:rPr>
        <w:t>required to develop an IoT offering, ranging from developing scalable platform software or middleware as well as easy-to-use developer tools, all the way to designing and testing customer-facing applications. Rigorous requirements on security, compliance, scalability and interoperability bring additional cost and complexity.</w:t>
      </w:r>
    </w:p>
    <w:p>
      <w:pPr>
        <w:spacing w:after="0" w:line="92" w:lineRule="exact"/>
        <w:rPr>
          <w:rFonts w:ascii="Arial" w:cs="Arial" w:eastAsia="Arial" w:hAnsi="Arial"/>
          <w:sz w:val="18"/>
          <w:szCs w:val="18"/>
          <w:color w:val="32406B"/>
        </w:rPr>
      </w:pPr>
    </w:p>
    <w:p>
      <w:pPr>
        <w:ind w:left="1080" w:right="20" w:hanging="532"/>
        <w:spacing w:after="0" w:line="263" w:lineRule="auto"/>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i w:val="1"/>
          <w:iCs w:val="1"/>
          <w:color w:val="32406B"/>
        </w:rPr>
        <w:t xml:space="preserve">Long time-to-market. </w:t>
      </w:r>
      <w:r>
        <w:rPr>
          <w:rFonts w:ascii="Arial" w:cs="Arial" w:eastAsia="Arial" w:hAnsi="Arial"/>
          <w:sz w:val="18"/>
          <w:szCs w:val="18"/>
          <w:color w:val="32406B"/>
        </w:rPr>
        <w:t>There is an immediate need for brands and OEMs to deliver software-enabled experiences for traditional products.</w:t>
      </w:r>
      <w:r>
        <w:rPr>
          <w:rFonts w:ascii="Arial" w:cs="Arial" w:eastAsia="Arial" w:hAnsi="Arial"/>
          <w:sz w:val="18"/>
          <w:szCs w:val="18"/>
          <w:i w:val="1"/>
          <w:iCs w:val="1"/>
          <w:color w:val="32406B"/>
        </w:rPr>
        <w:t xml:space="preserve"> </w:t>
      </w:r>
      <w:r>
        <w:rPr>
          <w:rFonts w:ascii="Arial" w:cs="Arial" w:eastAsia="Arial" w:hAnsi="Arial"/>
          <w:sz w:val="18"/>
          <w:szCs w:val="18"/>
          <w:color w:val="32406B"/>
        </w:rPr>
        <w:t>Undergoing such a transformation on their own or even integrating piecemeal offerings to tailor this, leads to long development cycles and often loss of market share.</w:t>
      </w:r>
    </w:p>
    <w:p>
      <w:pPr>
        <w:spacing w:after="0" w:line="89" w:lineRule="exact"/>
        <w:rPr>
          <w:rFonts w:ascii="Arial" w:cs="Arial" w:eastAsia="Arial" w:hAnsi="Arial"/>
          <w:sz w:val="18"/>
          <w:szCs w:val="18"/>
          <w:color w:val="32406B"/>
        </w:rPr>
      </w:pPr>
    </w:p>
    <w:p>
      <w:pPr>
        <w:ind w:left="1080" w:hanging="532"/>
        <w:spacing w:after="0" w:line="275" w:lineRule="auto"/>
        <w:tabs>
          <w:tab w:leader="none" w:pos="1080" w:val="left"/>
        </w:tabs>
        <w:numPr>
          <w:ilvl w:val="0"/>
          <w:numId w:val="62"/>
        </w:numPr>
        <w:rPr>
          <w:rFonts w:ascii="Arial" w:cs="Arial" w:eastAsia="Arial" w:hAnsi="Arial"/>
          <w:sz w:val="17"/>
          <w:szCs w:val="17"/>
          <w:color w:val="32406B"/>
        </w:rPr>
      </w:pPr>
      <w:r>
        <w:rPr>
          <w:rFonts w:ascii="Arial" w:cs="Arial" w:eastAsia="Arial" w:hAnsi="Arial"/>
          <w:sz w:val="17"/>
          <w:szCs w:val="17"/>
          <w:i w:val="1"/>
          <w:iCs w:val="1"/>
          <w:color w:val="32406B"/>
        </w:rPr>
        <w:t xml:space="preserve">Lack of standardized, easy-to-use infrastructure and tools for developers. </w:t>
      </w:r>
      <w:r>
        <w:rPr>
          <w:rFonts w:ascii="Arial" w:cs="Arial" w:eastAsia="Arial" w:hAnsi="Arial"/>
          <w:sz w:val="17"/>
          <w:szCs w:val="17"/>
          <w:color w:val="32406B"/>
        </w:rPr>
        <w:t>Developers for smart devices and IoT software often face a lack</w:t>
      </w:r>
      <w:r>
        <w:rPr>
          <w:rFonts w:ascii="Arial" w:cs="Arial" w:eastAsia="Arial" w:hAnsi="Arial"/>
          <w:sz w:val="17"/>
          <w:szCs w:val="17"/>
          <w:i w:val="1"/>
          <w:iCs w:val="1"/>
          <w:color w:val="32406B"/>
        </w:rPr>
        <w:t xml:space="preserve"> </w:t>
      </w:r>
      <w:r>
        <w:rPr>
          <w:rFonts w:ascii="Arial" w:cs="Arial" w:eastAsia="Arial" w:hAnsi="Arial"/>
          <w:sz w:val="17"/>
          <w:szCs w:val="17"/>
          <w:color w:val="32406B"/>
        </w:rPr>
        <w:t>of widely established standards given the industry is relatively nascent. It can take tremendous effort to develop common software infrastructure with a large variety of application programming interfaces, or APIs, that might not be compatible with each other or to migrate a set of developed software and data from one cloud provider to another. This common software infrastructure is often difficult for application developers to build and scale to support evolving application requirements.</w:t>
      </w:r>
    </w:p>
    <w:p>
      <w:pPr>
        <w:spacing w:after="0" w:line="81" w:lineRule="exact"/>
        <w:rPr>
          <w:rFonts w:ascii="Arial" w:cs="Arial" w:eastAsia="Arial" w:hAnsi="Arial"/>
          <w:sz w:val="17"/>
          <w:szCs w:val="17"/>
          <w:color w:val="32406B"/>
        </w:rPr>
      </w:pPr>
    </w:p>
    <w:p>
      <w:pPr>
        <w:ind w:left="1080" w:right="80" w:hanging="532"/>
        <w:spacing w:after="0" w:line="257" w:lineRule="auto"/>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i w:val="1"/>
          <w:iCs w:val="1"/>
          <w:color w:val="32406B"/>
        </w:rPr>
        <w:t xml:space="preserve">Inconsistent user experience. </w:t>
      </w:r>
      <w:r>
        <w:rPr>
          <w:rFonts w:ascii="Arial" w:cs="Arial" w:eastAsia="Arial" w:hAnsi="Arial"/>
          <w:sz w:val="18"/>
          <w:szCs w:val="18"/>
          <w:color w:val="32406B"/>
        </w:rPr>
        <w:t>End users are largely accustomed to the unified experience provided by the iOS and Android systems in</w:t>
      </w:r>
      <w:r>
        <w:rPr>
          <w:rFonts w:ascii="Arial" w:cs="Arial" w:eastAsia="Arial" w:hAnsi="Arial"/>
          <w:sz w:val="18"/>
          <w:szCs w:val="18"/>
          <w:i w:val="1"/>
          <w:iCs w:val="1"/>
          <w:color w:val="32406B"/>
        </w:rPr>
        <w:t xml:space="preserve"> </w:t>
      </w:r>
      <w:r>
        <w:rPr>
          <w:rFonts w:ascii="Arial" w:cs="Arial" w:eastAsia="Arial" w:hAnsi="Arial"/>
          <w:sz w:val="18"/>
          <w:szCs w:val="18"/>
          <w:color w:val="32406B"/>
        </w:rPr>
        <w:t>mobile internet, where they can have intuitive and standardized interaction with applications on their smartphones. Currently, many smart devices lack that level of consistencies in software experience. End users might have to switch between different applications and user interfaces to control different devices, and cannot share data between them. Such friction and confusion can deter them from acquiring more smart devices and services.</w:t>
      </w:r>
    </w:p>
    <w:p>
      <w:pPr>
        <w:spacing w:after="0" w:line="188"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32406B"/>
        </w:rPr>
        <w:t>These significant challenges have created the need for an IoT platform that takes care of the complexities of developing, launching, supporting and growing IoT software, so businesses and developers can leverage full-stack infrastructure and tools to develop devices and software applications with ease.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The Tuya Solution—An IoT Cloud Platform</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32406B"/>
        </w:rPr>
        <w:t>We have pioneered an IoT cloud platform that empowers businesses and developers to transform from offering traditional products into providing software-enabled smart devices and IoT services that extend beyond the point of sale. Customers leverage our IoT cloud platform to quickly and cost-effectively launch, manage and monetize their software-enabled devices and services. We deliver a one-stop, developer-first, cloud-agnostic platform with broad use cases that allows our customers to digitalize their businesses and transform the experience of their end users. Through our platform we have established a thriving ecosystem of brands, OEMs, developers, partners and end users.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130</w:t>
      </w:r>
    </w:p>
    <w:p>
      <w:pPr>
        <w:sectPr>
          <w:pgSz w:w="11900" w:h="16838" w:orient="portrait"/>
          <w:cols w:equalWidth="0" w:num="1">
            <w:col w:w="11080"/>
          </w:cols>
          <w:pgMar w:left="32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2802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32406B"/>
        </w:rPr>
        <w:t>The foundation of our solution is Tuya IoT Cloud infrastructure, our unified underlying cloud infrastructure that provides a rich set of infrastructure capabilities and developer tools.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Based upon Tuya IoT Cloud infrastructure, we offer the following products and services:</w:t>
      </w:r>
    </w:p>
    <w:p>
      <w:pPr>
        <w:spacing w:after="0" w:line="131" w:lineRule="exact"/>
        <w:rPr>
          <w:sz w:val="20"/>
          <w:szCs w:val="20"/>
          <w:color w:val="auto"/>
        </w:rPr>
      </w:pPr>
    </w:p>
    <w:p>
      <w:pPr>
        <w:ind w:left="1080" w:hanging="532"/>
        <w:spacing w:after="0" w:line="254" w:lineRule="auto"/>
        <w:tabs>
          <w:tab w:leader="none" w:pos="1080" w:val="left"/>
        </w:tabs>
        <w:numPr>
          <w:ilvl w:val="0"/>
          <w:numId w:val="63"/>
        </w:numPr>
        <w:rPr>
          <w:rFonts w:ascii="Arial" w:cs="Arial" w:eastAsia="Arial" w:hAnsi="Arial"/>
          <w:sz w:val="18"/>
          <w:szCs w:val="18"/>
          <w:color w:val="32406B"/>
        </w:rPr>
      </w:pPr>
      <w:r>
        <w:rPr>
          <w:rFonts w:ascii="Arial" w:cs="Arial" w:eastAsia="Arial" w:hAnsi="Arial"/>
          <w:sz w:val="18"/>
          <w:szCs w:val="18"/>
          <w:i w:val="1"/>
          <w:iCs w:val="1"/>
          <w:color w:val="32406B"/>
        </w:rPr>
        <w:t xml:space="preserve">IoT PaaS. </w:t>
      </w:r>
      <w:r>
        <w:rPr>
          <w:rFonts w:ascii="Arial" w:cs="Arial" w:eastAsia="Arial" w:hAnsi="Arial"/>
          <w:sz w:val="18"/>
          <w:szCs w:val="18"/>
          <w:color w:val="32406B"/>
        </w:rPr>
        <w:t>Our IoT PaaS combines</w:t>
      </w:r>
      <w:r>
        <w:rPr>
          <w:rFonts w:ascii="Arial" w:cs="Arial" w:eastAsia="Arial" w:hAnsi="Arial"/>
          <w:sz w:val="18"/>
          <w:szCs w:val="18"/>
          <w:i w:val="1"/>
          <w:iCs w:val="1"/>
          <w:color w:val="32406B"/>
        </w:rPr>
        <w:t xml:space="preserve"> cloud-based connectivity and basic IoT services</w:t>
      </w:r>
      <w:r>
        <w:rPr>
          <w:rFonts w:ascii="Arial" w:cs="Arial" w:eastAsia="Arial" w:hAnsi="Arial"/>
          <w:sz w:val="18"/>
          <w:szCs w:val="18"/>
          <w:color w:val="32406B"/>
        </w:rPr>
        <w:t>,</w:t>
      </w:r>
      <w:r>
        <w:rPr>
          <w:rFonts w:ascii="Arial" w:cs="Arial" w:eastAsia="Arial" w:hAnsi="Arial"/>
          <w:sz w:val="18"/>
          <w:szCs w:val="18"/>
          <w:i w:val="1"/>
          <w:iCs w:val="1"/>
          <w:color w:val="32406B"/>
        </w:rPr>
        <w:t xml:space="preserve"> edge capabilities</w:t>
      </w:r>
      <w:r>
        <w:rPr>
          <w:rFonts w:ascii="Arial" w:cs="Arial" w:eastAsia="Arial" w:hAnsi="Arial"/>
          <w:sz w:val="18"/>
          <w:szCs w:val="18"/>
          <w:color w:val="32406B"/>
        </w:rPr>
        <w:t>,</w:t>
      </w:r>
      <w:r>
        <w:rPr>
          <w:rFonts w:ascii="Arial" w:cs="Arial" w:eastAsia="Arial" w:hAnsi="Arial"/>
          <w:sz w:val="18"/>
          <w:szCs w:val="18"/>
          <w:i w:val="1"/>
          <w:iCs w:val="1"/>
          <w:color w:val="32406B"/>
        </w:rPr>
        <w:t xml:space="preserve"> app development and device optimization solutions</w:t>
      </w:r>
      <w:r>
        <w:rPr>
          <w:rFonts w:ascii="Arial" w:cs="Arial" w:eastAsia="Arial" w:hAnsi="Arial"/>
          <w:sz w:val="18"/>
          <w:szCs w:val="18"/>
          <w:color w:val="32406B"/>
        </w:rPr>
        <w:t>, which we believe are the most fundamental elements of enabling a product with IoT. Our IoT PaaS can be</w:t>
      </w:r>
      <w:r>
        <w:rPr>
          <w:rFonts w:ascii="Arial" w:cs="Arial" w:eastAsia="Arial" w:hAnsi="Arial"/>
          <w:sz w:val="18"/>
          <w:szCs w:val="18"/>
          <w:i w:val="1"/>
          <w:iCs w:val="1"/>
          <w:color w:val="32406B"/>
        </w:rPr>
        <w:t xml:space="preserve"> </w:t>
      </w:r>
      <w:r>
        <w:rPr>
          <w:rFonts w:ascii="Arial" w:cs="Arial" w:eastAsia="Arial" w:hAnsi="Arial"/>
          <w:sz w:val="18"/>
          <w:szCs w:val="18"/>
          <w:color w:val="32406B"/>
        </w:rPr>
        <w:t>seamlessly deployed on public or private cloud infrastructures such as Amazon Web Services, Microsoft Azure and Tencent Cloud. Our IoT PaaS transforms traditional products smoothly into IoT-enabled products with computing, storage and networking capabilities on the “edge”, laying the foundation for a low code or no code development environment. We also provide a rich set of developer tools and cloud-based services for customers to personalize or develop IoT applications that connect to our IoT cloud platform and manage their smart devices for a broad range of use cases.</w:t>
      </w:r>
    </w:p>
    <w:p>
      <w:pPr>
        <w:spacing w:after="0" w:line="100" w:lineRule="exact"/>
        <w:rPr>
          <w:rFonts w:ascii="Arial" w:cs="Arial" w:eastAsia="Arial" w:hAnsi="Arial"/>
          <w:sz w:val="18"/>
          <w:szCs w:val="18"/>
          <w:color w:val="32406B"/>
        </w:rPr>
      </w:pPr>
    </w:p>
    <w:p>
      <w:pPr>
        <w:ind w:left="1080" w:right="80" w:hanging="532"/>
        <w:spacing w:after="0" w:line="279" w:lineRule="auto"/>
        <w:tabs>
          <w:tab w:leader="none" w:pos="1080" w:val="left"/>
        </w:tabs>
        <w:numPr>
          <w:ilvl w:val="0"/>
          <w:numId w:val="63"/>
        </w:numPr>
        <w:rPr>
          <w:rFonts w:ascii="Arial" w:cs="Arial" w:eastAsia="Arial" w:hAnsi="Arial"/>
          <w:sz w:val="17"/>
          <w:szCs w:val="17"/>
          <w:color w:val="32406B"/>
        </w:rPr>
      </w:pPr>
      <w:r>
        <w:rPr>
          <w:rFonts w:ascii="Arial" w:cs="Arial" w:eastAsia="Arial" w:hAnsi="Arial"/>
          <w:sz w:val="17"/>
          <w:szCs w:val="17"/>
          <w:i w:val="1"/>
          <w:iCs w:val="1"/>
          <w:color w:val="32406B"/>
        </w:rPr>
        <w:t xml:space="preserve">Industry SaaS. </w:t>
      </w:r>
      <w:r>
        <w:rPr>
          <w:rFonts w:ascii="Arial" w:cs="Arial" w:eastAsia="Arial" w:hAnsi="Arial"/>
          <w:sz w:val="17"/>
          <w:szCs w:val="17"/>
          <w:color w:val="32406B"/>
        </w:rPr>
        <w:t>We offer Industry SaaS, vertical-focused software solutions for a growing number of industry verticals. Businesses, such as</w:t>
      </w:r>
      <w:r>
        <w:rPr>
          <w:rFonts w:ascii="Arial" w:cs="Arial" w:eastAsia="Arial" w:hAnsi="Arial"/>
          <w:sz w:val="17"/>
          <w:szCs w:val="17"/>
          <w:i w:val="1"/>
          <w:iCs w:val="1"/>
          <w:color w:val="32406B"/>
        </w:rPr>
        <w:t xml:space="preserve"> </w:t>
      </w:r>
      <w:r>
        <w:rPr>
          <w:rFonts w:ascii="Arial" w:cs="Arial" w:eastAsia="Arial" w:hAnsi="Arial"/>
          <w:sz w:val="17"/>
          <w:szCs w:val="17"/>
          <w:color w:val="32406B"/>
        </w:rPr>
        <w:t>hotel operators or property managers, leverage our SaaS solutions to intelligently manage their operations based on connected smart devices, thereby improving operating efficiency and optimizing costs. Our SaaS offerings are fully integrated with our IoT cloud infrastructure, device management apps and user apps, for customers to use in a plug-and-play manner.</w:t>
      </w:r>
    </w:p>
    <w:p>
      <w:pPr>
        <w:spacing w:after="0" w:line="76" w:lineRule="exact"/>
        <w:rPr>
          <w:rFonts w:ascii="Arial" w:cs="Arial" w:eastAsia="Arial" w:hAnsi="Arial"/>
          <w:sz w:val="17"/>
          <w:szCs w:val="17"/>
          <w:color w:val="32406B"/>
        </w:rPr>
      </w:pPr>
    </w:p>
    <w:p>
      <w:pPr>
        <w:ind w:left="1080" w:right="220" w:hanging="532"/>
        <w:spacing w:after="0" w:line="259" w:lineRule="auto"/>
        <w:tabs>
          <w:tab w:leader="none" w:pos="1080" w:val="left"/>
        </w:tabs>
        <w:numPr>
          <w:ilvl w:val="0"/>
          <w:numId w:val="63"/>
        </w:numPr>
        <w:rPr>
          <w:rFonts w:ascii="Arial" w:cs="Arial" w:eastAsia="Arial" w:hAnsi="Arial"/>
          <w:sz w:val="18"/>
          <w:szCs w:val="18"/>
          <w:color w:val="32406B"/>
        </w:rPr>
      </w:pPr>
      <w:r>
        <w:rPr>
          <w:rFonts w:ascii="Arial" w:cs="Arial" w:eastAsia="Arial" w:hAnsi="Arial"/>
          <w:sz w:val="18"/>
          <w:szCs w:val="18"/>
          <w:i w:val="1"/>
          <w:iCs w:val="1"/>
          <w:color w:val="32406B"/>
        </w:rPr>
        <w:t xml:space="preserve">Cloud-based value-added services and others. </w:t>
      </w:r>
      <w:r>
        <w:rPr>
          <w:rFonts w:ascii="Arial" w:cs="Arial" w:eastAsia="Arial" w:hAnsi="Arial"/>
          <w:sz w:val="18"/>
          <w:szCs w:val="18"/>
          <w:color w:val="32406B"/>
        </w:rPr>
        <w:t>We have started to roll out a variety of services both to business customers and directly to</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end users of Tuya-powered smart devices. We offer AI-powered virtual assistants and data analytics to business customers. We also offer a wide and expanding range of cloud-based services directly to end users including IoT data storage, push messaging and content services.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The Benefits of Our IoT Cloud Platform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key benefits to our business customers include:</w:t>
      </w:r>
    </w:p>
    <w:p>
      <w:pPr>
        <w:spacing w:after="0" w:line="131" w:lineRule="exact"/>
        <w:rPr>
          <w:sz w:val="20"/>
          <w:szCs w:val="20"/>
          <w:color w:val="auto"/>
        </w:rPr>
      </w:pPr>
    </w:p>
    <w:p>
      <w:pPr>
        <w:ind w:left="1080" w:right="400" w:hanging="532"/>
        <w:spacing w:after="0" w:line="279" w:lineRule="auto"/>
        <w:tabs>
          <w:tab w:leader="none" w:pos="1080" w:val="left"/>
        </w:tabs>
        <w:numPr>
          <w:ilvl w:val="0"/>
          <w:numId w:val="64"/>
        </w:numPr>
        <w:rPr>
          <w:rFonts w:ascii="Arial" w:cs="Arial" w:eastAsia="Arial" w:hAnsi="Arial"/>
          <w:sz w:val="17"/>
          <w:szCs w:val="17"/>
          <w:color w:val="32406B"/>
        </w:rPr>
      </w:pPr>
      <w:r>
        <w:rPr>
          <w:rFonts w:ascii="Arial" w:cs="Arial" w:eastAsia="Arial" w:hAnsi="Arial"/>
          <w:sz w:val="17"/>
          <w:szCs w:val="17"/>
          <w:i w:val="1"/>
          <w:iCs w:val="1"/>
          <w:color w:val="32406B"/>
        </w:rPr>
        <w:t xml:space="preserve">Scalable development talent and capabilities. </w:t>
      </w:r>
      <w:r>
        <w:rPr>
          <w:rFonts w:ascii="Arial" w:cs="Arial" w:eastAsia="Arial" w:hAnsi="Arial"/>
          <w:sz w:val="17"/>
          <w:szCs w:val="17"/>
          <w:color w:val="32406B"/>
        </w:rPr>
        <w:t>Product companies that use our IoT cloud platform become more efficient in utilizing</w:t>
      </w:r>
      <w:r>
        <w:rPr>
          <w:rFonts w:ascii="Arial" w:cs="Arial" w:eastAsia="Arial" w:hAnsi="Arial"/>
          <w:sz w:val="17"/>
          <w:szCs w:val="17"/>
          <w:i w:val="1"/>
          <w:iCs w:val="1"/>
          <w:color w:val="32406B"/>
        </w:rPr>
        <w:t xml:space="preserve"> </w:t>
      </w:r>
      <w:r>
        <w:rPr>
          <w:rFonts w:ascii="Arial" w:cs="Arial" w:eastAsia="Arial" w:hAnsi="Arial"/>
          <w:sz w:val="17"/>
          <w:szCs w:val="17"/>
          <w:color w:val="32406B"/>
        </w:rPr>
        <w:t>in-house resources dedicated to developing IoT software, and focus their talent on core business competences in product development instead of building their IoT software development platform and tools from scratch. We continue to expand features offered on our platform which enable our business customers to maintain IoT cloud services or codes more easily.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131</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3" w:lineRule="auto"/>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i w:val="1"/>
          <w:iCs w:val="1"/>
          <w:color w:val="32406B"/>
        </w:rPr>
        <w:t xml:space="preserve">Reduction in cost and complexity. </w:t>
      </w:r>
      <w:r>
        <w:rPr>
          <w:rFonts w:ascii="Arial" w:cs="Arial" w:eastAsia="Arial" w:hAnsi="Arial"/>
          <w:sz w:val="18"/>
          <w:szCs w:val="18"/>
          <w:color w:val="32406B"/>
        </w:rPr>
        <w:t>Businesses using our IoT cloud platform can save on the heavy investment in setting up and maintaining</w:t>
      </w:r>
      <w:r>
        <w:rPr>
          <w:rFonts w:ascii="Arial" w:cs="Arial" w:eastAsia="Arial" w:hAnsi="Arial"/>
          <w:sz w:val="18"/>
          <w:szCs w:val="18"/>
          <w:i w:val="1"/>
          <w:iCs w:val="1"/>
          <w:color w:val="32406B"/>
        </w:rPr>
        <w:t xml:space="preserve"> </w:t>
      </w:r>
      <w:r>
        <w:rPr>
          <w:rFonts w:ascii="Arial" w:cs="Arial" w:eastAsia="Arial" w:hAnsi="Arial"/>
          <w:sz w:val="18"/>
          <w:szCs w:val="18"/>
          <w:color w:val="32406B"/>
        </w:rPr>
        <w:t>complex IT infrastructure. They are able to outsource complex IoT infrastructure requirements to us while we enable them to adopt the latest technologies with purpose-built capabilities for security, compliance and interoperability.</w:t>
      </w:r>
    </w:p>
    <w:p>
      <w:pPr>
        <w:spacing w:after="0" w:line="89" w:lineRule="exact"/>
        <w:rPr>
          <w:rFonts w:ascii="Arial" w:cs="Arial" w:eastAsia="Arial" w:hAnsi="Arial"/>
          <w:sz w:val="18"/>
          <w:szCs w:val="18"/>
          <w:color w:val="32406B"/>
        </w:rPr>
      </w:pPr>
    </w:p>
    <w:p>
      <w:pPr>
        <w:ind w:left="1080" w:right="180" w:hanging="532"/>
        <w:spacing w:after="0" w:line="263" w:lineRule="auto"/>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i w:val="1"/>
          <w:iCs w:val="1"/>
          <w:color w:val="32406B"/>
        </w:rPr>
        <w:t xml:space="preserve">Short time-to-market. </w:t>
      </w:r>
      <w:r>
        <w:rPr>
          <w:rFonts w:ascii="Arial" w:cs="Arial" w:eastAsia="Arial" w:hAnsi="Arial"/>
          <w:sz w:val="18"/>
          <w:szCs w:val="18"/>
          <w:color w:val="32406B"/>
        </w:rPr>
        <w:t>With our IoT cloud platform, businesses can launch smart devices and corresponding software applications with</w:t>
      </w:r>
      <w:r>
        <w:rPr>
          <w:rFonts w:ascii="Arial" w:cs="Arial" w:eastAsia="Arial" w:hAnsi="Arial"/>
          <w:sz w:val="18"/>
          <w:szCs w:val="18"/>
          <w:i w:val="1"/>
          <w:iCs w:val="1"/>
          <w:color w:val="32406B"/>
        </w:rPr>
        <w:t xml:space="preserve"> </w:t>
      </w:r>
      <w:r>
        <w:rPr>
          <w:rFonts w:ascii="Arial" w:cs="Arial" w:eastAsia="Arial" w:hAnsi="Arial"/>
          <w:sz w:val="18"/>
          <w:szCs w:val="18"/>
          <w:color w:val="32406B"/>
        </w:rPr>
        <w:t>faster time-to-market, often within weeks or days, saving up to 90% of the time and uncertainty from developing a full stack for product releases, according to CIC.</w:t>
      </w:r>
    </w:p>
    <w:p>
      <w:pPr>
        <w:spacing w:after="0" w:line="89" w:lineRule="exact"/>
        <w:rPr>
          <w:rFonts w:ascii="Arial" w:cs="Arial" w:eastAsia="Arial" w:hAnsi="Arial"/>
          <w:sz w:val="18"/>
          <w:szCs w:val="18"/>
          <w:color w:val="32406B"/>
        </w:rPr>
      </w:pPr>
    </w:p>
    <w:p>
      <w:pPr>
        <w:ind w:left="1080" w:right="200" w:hanging="532"/>
        <w:spacing w:after="0" w:line="286" w:lineRule="auto"/>
        <w:tabs>
          <w:tab w:leader="none" w:pos="1080" w:val="left"/>
        </w:tabs>
        <w:numPr>
          <w:ilvl w:val="0"/>
          <w:numId w:val="65"/>
        </w:numPr>
        <w:rPr>
          <w:rFonts w:ascii="Arial" w:cs="Arial" w:eastAsia="Arial" w:hAnsi="Arial"/>
          <w:sz w:val="17"/>
          <w:szCs w:val="17"/>
          <w:color w:val="32406B"/>
        </w:rPr>
      </w:pPr>
      <w:r>
        <w:rPr>
          <w:rFonts w:ascii="Arial" w:cs="Arial" w:eastAsia="Arial" w:hAnsi="Arial"/>
          <w:sz w:val="17"/>
          <w:szCs w:val="17"/>
          <w:i w:val="1"/>
          <w:iCs w:val="1"/>
          <w:color w:val="32406B"/>
        </w:rPr>
        <w:t xml:space="preserve">Long-term customer engagement. </w:t>
      </w:r>
      <w:r>
        <w:rPr>
          <w:rFonts w:ascii="Arial" w:cs="Arial" w:eastAsia="Arial" w:hAnsi="Arial"/>
          <w:sz w:val="17"/>
          <w:szCs w:val="17"/>
          <w:color w:val="32406B"/>
        </w:rPr>
        <w:t>More authorized user interaction and deeper user insight allow product companies to build a long-last</w:t>
      </w:r>
      <w:r>
        <w:rPr>
          <w:rFonts w:ascii="Arial" w:cs="Arial" w:eastAsia="Arial" w:hAnsi="Arial"/>
          <w:sz w:val="17"/>
          <w:szCs w:val="17"/>
          <w:i w:val="1"/>
          <w:iCs w:val="1"/>
          <w:color w:val="32406B"/>
        </w:rPr>
        <w:t xml:space="preserve"> </w:t>
      </w:r>
      <w:r>
        <w:rPr>
          <w:rFonts w:ascii="Arial" w:cs="Arial" w:eastAsia="Arial" w:hAnsi="Arial"/>
          <w:sz w:val="17"/>
          <w:szCs w:val="17"/>
          <w:color w:val="32406B"/>
        </w:rPr>
        <w:t>relationship with their end users. We strategically enable businesses to conduct targeted marketing, e-commerce, and customer service beyond point of sale so that they can maintain improved customer relationships throughout the product lifecycle.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key benefits to developers on our IoT cloud platform include:</w:t>
      </w:r>
    </w:p>
    <w:p>
      <w:pPr>
        <w:spacing w:after="0" w:line="131" w:lineRule="exact"/>
        <w:rPr>
          <w:sz w:val="20"/>
          <w:szCs w:val="20"/>
          <w:color w:val="auto"/>
        </w:rPr>
      </w:pPr>
    </w:p>
    <w:p>
      <w:pPr>
        <w:ind w:left="1080" w:right="40" w:hanging="532"/>
        <w:spacing w:after="0" w:line="259" w:lineRule="auto"/>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i w:val="1"/>
          <w:iCs w:val="1"/>
          <w:color w:val="32406B"/>
        </w:rPr>
        <w:t xml:space="preserve">Neutral and highly compatible infrastructure. </w:t>
      </w:r>
      <w:r>
        <w:rPr>
          <w:rFonts w:ascii="Arial" w:cs="Arial" w:eastAsia="Arial" w:hAnsi="Arial"/>
          <w:sz w:val="18"/>
          <w:szCs w:val="18"/>
          <w:color w:val="32406B"/>
        </w:rPr>
        <w:t>Developers can develop software for multiple environments as our platform is cloud- and</w:t>
      </w:r>
      <w:r>
        <w:rPr>
          <w:rFonts w:ascii="Arial" w:cs="Arial" w:eastAsia="Arial" w:hAnsi="Arial"/>
          <w:sz w:val="18"/>
          <w:szCs w:val="18"/>
          <w:i w:val="1"/>
          <w:iCs w:val="1"/>
          <w:color w:val="32406B"/>
        </w:rPr>
        <w:t xml:space="preserve"> </w:t>
      </w:r>
      <w:r>
        <w:rPr>
          <w:rFonts w:ascii="Arial" w:cs="Arial" w:eastAsia="Arial" w:hAnsi="Arial"/>
          <w:sz w:val="18"/>
          <w:szCs w:val="18"/>
          <w:color w:val="32406B"/>
        </w:rPr>
        <w:t>communication protocol-agnostic with comprehensive APIs and partnership with leading global technology providers. Such infrastructure enables device and software developers to create a standardized base across their product portfolio, and even allows their products to be able to connect other third party devices applying the same standards.</w:t>
      </w:r>
    </w:p>
    <w:p>
      <w:pPr>
        <w:spacing w:after="0" w:line="92" w:lineRule="exact"/>
        <w:rPr>
          <w:rFonts w:ascii="Arial" w:cs="Arial" w:eastAsia="Arial" w:hAnsi="Arial"/>
          <w:sz w:val="18"/>
          <w:szCs w:val="18"/>
          <w:color w:val="32406B"/>
        </w:rPr>
      </w:pPr>
    </w:p>
    <w:p>
      <w:pPr>
        <w:ind w:left="1080" w:right="60" w:hanging="532"/>
        <w:spacing w:after="0" w:line="279" w:lineRule="auto"/>
        <w:tabs>
          <w:tab w:leader="none" w:pos="1080" w:val="left"/>
        </w:tabs>
        <w:numPr>
          <w:ilvl w:val="0"/>
          <w:numId w:val="66"/>
        </w:numPr>
        <w:rPr>
          <w:rFonts w:ascii="Arial" w:cs="Arial" w:eastAsia="Arial" w:hAnsi="Arial"/>
          <w:sz w:val="17"/>
          <w:szCs w:val="17"/>
          <w:color w:val="32406B"/>
        </w:rPr>
      </w:pPr>
      <w:r>
        <w:rPr>
          <w:rFonts w:ascii="Arial" w:cs="Arial" w:eastAsia="Arial" w:hAnsi="Arial"/>
          <w:sz w:val="17"/>
          <w:szCs w:val="17"/>
          <w:i w:val="1"/>
          <w:iCs w:val="1"/>
          <w:color w:val="32406B"/>
        </w:rPr>
        <w:t xml:space="preserve">Low-code or no-code development tools. </w:t>
      </w:r>
      <w:r>
        <w:rPr>
          <w:rFonts w:ascii="Arial" w:cs="Arial" w:eastAsia="Arial" w:hAnsi="Arial"/>
          <w:sz w:val="17"/>
          <w:szCs w:val="17"/>
          <w:color w:val="32406B"/>
        </w:rPr>
        <w:t>We significantly reduce the threshold for software development. Product companies can easily</w:t>
      </w:r>
      <w:r>
        <w:rPr>
          <w:rFonts w:ascii="Arial" w:cs="Arial" w:eastAsia="Arial" w:hAnsi="Arial"/>
          <w:sz w:val="17"/>
          <w:szCs w:val="17"/>
          <w:i w:val="1"/>
          <w:iCs w:val="1"/>
          <w:color w:val="32406B"/>
        </w:rPr>
        <w:t xml:space="preserve"> </w:t>
      </w:r>
      <w:r>
        <w:rPr>
          <w:rFonts w:ascii="Arial" w:cs="Arial" w:eastAsia="Arial" w:hAnsi="Arial"/>
          <w:sz w:val="17"/>
          <w:szCs w:val="17"/>
          <w:color w:val="32406B"/>
        </w:rPr>
        <w:t>and quickly design, develop and launch scalable software-enabled smart devices through our intuitive, visual programming interfaces that enable rich software functionality to be developed with little or no programming expertise. At the same time, our rich set of development solutions make it easy for advanced developers to create applications efficiently with differentiated outcome.</w:t>
      </w:r>
    </w:p>
    <w:p>
      <w:pPr>
        <w:spacing w:after="0" w:line="76" w:lineRule="exact"/>
        <w:rPr>
          <w:rFonts w:ascii="Arial" w:cs="Arial" w:eastAsia="Arial" w:hAnsi="Arial"/>
          <w:sz w:val="17"/>
          <w:szCs w:val="17"/>
          <w:color w:val="32406B"/>
        </w:rPr>
      </w:pPr>
    </w:p>
    <w:p>
      <w:pPr>
        <w:ind w:left="1080" w:right="240" w:hanging="532"/>
        <w:spacing w:after="0" w:line="263" w:lineRule="auto"/>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i w:val="1"/>
          <w:iCs w:val="1"/>
          <w:color w:val="32406B"/>
        </w:rPr>
        <w:t xml:space="preserve">Powerful data analytics. </w:t>
      </w:r>
      <w:r>
        <w:rPr>
          <w:rFonts w:ascii="Arial" w:cs="Arial" w:eastAsia="Arial" w:hAnsi="Arial"/>
          <w:sz w:val="18"/>
          <w:szCs w:val="18"/>
          <w:color w:val="32406B"/>
        </w:rPr>
        <w:t>Developers can tap the deep insight from aggregated data generated by the devices connected to our IoT cloud</w:t>
      </w:r>
      <w:r>
        <w:rPr>
          <w:rFonts w:ascii="Arial" w:cs="Arial" w:eastAsia="Arial" w:hAnsi="Arial"/>
          <w:sz w:val="18"/>
          <w:szCs w:val="18"/>
          <w:i w:val="1"/>
          <w:iCs w:val="1"/>
          <w:color w:val="32406B"/>
        </w:rPr>
        <w:t xml:space="preserve"> </w:t>
      </w:r>
      <w:r>
        <w:rPr>
          <w:rFonts w:ascii="Arial" w:cs="Arial" w:eastAsia="Arial" w:hAnsi="Arial"/>
          <w:sz w:val="18"/>
          <w:szCs w:val="18"/>
          <w:color w:val="32406B"/>
        </w:rPr>
        <w:t>platform to understand user feedback, improve product design, as well as personalize the end user experience, even across brands and product companies.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key benefits to end users include:</w:t>
      </w:r>
    </w:p>
    <w:p>
      <w:pPr>
        <w:spacing w:after="0" w:line="131" w:lineRule="exact"/>
        <w:rPr>
          <w:sz w:val="20"/>
          <w:szCs w:val="20"/>
          <w:color w:val="auto"/>
        </w:rPr>
      </w:pPr>
    </w:p>
    <w:p>
      <w:pPr>
        <w:ind w:left="1080" w:right="100" w:hanging="532"/>
        <w:spacing w:after="0" w:line="259" w:lineRule="auto"/>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i w:val="1"/>
          <w:iCs w:val="1"/>
          <w:color w:val="32406B"/>
        </w:rPr>
        <w:t xml:space="preserve">Unified and consistent user experience across products and brands. </w:t>
      </w:r>
      <w:r>
        <w:rPr>
          <w:rFonts w:ascii="Arial" w:cs="Arial" w:eastAsia="Arial" w:hAnsi="Arial"/>
          <w:sz w:val="18"/>
          <w:szCs w:val="18"/>
          <w:color w:val="32406B"/>
        </w:rPr>
        <w:t>Our IoT cloud platform empowers end users to interact with multiple</w:t>
      </w:r>
      <w:r>
        <w:rPr>
          <w:rFonts w:ascii="Arial" w:cs="Arial" w:eastAsia="Arial" w:hAnsi="Arial"/>
          <w:sz w:val="18"/>
          <w:szCs w:val="18"/>
          <w:i w:val="1"/>
          <w:iCs w:val="1"/>
          <w:color w:val="32406B"/>
        </w:rPr>
        <w:t xml:space="preserve"> </w:t>
      </w:r>
      <w:r>
        <w:rPr>
          <w:rFonts w:ascii="Arial" w:cs="Arial" w:eastAsia="Arial" w:hAnsi="Arial"/>
          <w:sz w:val="18"/>
          <w:szCs w:val="18"/>
          <w:color w:val="32406B"/>
        </w:rPr>
        <w:t>products from multiple brands in their environment through one user interface that is simple, highly intuitive and frictionless, instead of switching between different apps for different brands and devices. Such experience extends to many aspects of their lives, from security, healthiness and entertainment to productivity and energy saving.</w:t>
      </w:r>
    </w:p>
    <w:p>
      <w:pPr>
        <w:spacing w:after="0" w:line="92" w:lineRule="exact"/>
        <w:rPr>
          <w:rFonts w:ascii="Arial" w:cs="Arial" w:eastAsia="Arial" w:hAnsi="Arial"/>
          <w:sz w:val="18"/>
          <w:szCs w:val="18"/>
          <w:color w:val="32406B"/>
        </w:rPr>
      </w:pPr>
    </w:p>
    <w:p>
      <w:pPr>
        <w:ind w:left="1080" w:right="40" w:hanging="532"/>
        <w:spacing w:after="0" w:line="308" w:lineRule="auto"/>
        <w:tabs>
          <w:tab w:leader="none" w:pos="1080" w:val="left"/>
        </w:tabs>
        <w:numPr>
          <w:ilvl w:val="0"/>
          <w:numId w:val="67"/>
        </w:numPr>
        <w:rPr>
          <w:rFonts w:ascii="Arial" w:cs="Arial" w:eastAsia="Arial" w:hAnsi="Arial"/>
          <w:sz w:val="17"/>
          <w:szCs w:val="17"/>
          <w:color w:val="32406B"/>
        </w:rPr>
      </w:pPr>
      <w:r>
        <w:rPr>
          <w:rFonts w:ascii="Arial" w:cs="Arial" w:eastAsia="Arial" w:hAnsi="Arial"/>
          <w:sz w:val="17"/>
          <w:szCs w:val="17"/>
          <w:i w:val="1"/>
          <w:iCs w:val="1"/>
          <w:color w:val="32406B"/>
        </w:rPr>
        <w:t xml:space="preserve">Products with software services at a reasonable price. </w:t>
      </w:r>
      <w:r>
        <w:rPr>
          <w:rFonts w:ascii="Arial" w:cs="Arial" w:eastAsia="Arial" w:hAnsi="Arial"/>
          <w:sz w:val="17"/>
          <w:szCs w:val="17"/>
          <w:color w:val="32406B"/>
        </w:rPr>
        <w:t>Consumers will not need to share significant upfront costs of platform and software</w:t>
      </w:r>
      <w:r>
        <w:rPr>
          <w:rFonts w:ascii="Arial" w:cs="Arial" w:eastAsia="Arial" w:hAnsi="Arial"/>
          <w:sz w:val="17"/>
          <w:szCs w:val="17"/>
          <w:i w:val="1"/>
          <w:iCs w:val="1"/>
          <w:color w:val="32406B"/>
        </w:rPr>
        <w:t xml:space="preserve"> </w:t>
      </w:r>
      <w:r>
        <w:rPr>
          <w:rFonts w:ascii="Arial" w:cs="Arial" w:eastAsia="Arial" w:hAnsi="Arial"/>
          <w:sz w:val="17"/>
          <w:szCs w:val="17"/>
          <w:color w:val="32406B"/>
        </w:rPr>
        <w:t>development, and enjoy smarter and more powerful smart devices and value-added services at a reasonable price.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Pioneer and Global Leader of IoT Cloud</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32406B"/>
        </w:rPr>
        <w:t>Our first-mover advantage, scale and expertise allow us to partner with our customers to help them develop software that differentiates their products, thereby gaining significant IoT mindshare with our customers.</w:t>
      </w:r>
    </w:p>
    <w:p>
      <w:pPr>
        <w:spacing w:after="0" w:line="76" w:lineRule="exact"/>
        <w:rPr>
          <w:sz w:val="20"/>
          <w:szCs w:val="20"/>
          <w:color w:val="auto"/>
        </w:rPr>
      </w:pPr>
    </w:p>
    <w:p>
      <w:pPr>
        <w:ind w:left="1080" w:right="120" w:hanging="532"/>
        <w:spacing w:after="0" w:line="257" w:lineRule="auto"/>
        <w:tabs>
          <w:tab w:leader="none" w:pos="1080" w:val="left"/>
        </w:tabs>
        <w:numPr>
          <w:ilvl w:val="0"/>
          <w:numId w:val="68"/>
        </w:numPr>
        <w:rPr>
          <w:rFonts w:ascii="Arial" w:cs="Arial" w:eastAsia="Arial" w:hAnsi="Arial"/>
          <w:sz w:val="18"/>
          <w:szCs w:val="18"/>
          <w:color w:val="32406B"/>
        </w:rPr>
      </w:pPr>
      <w:r>
        <w:rPr>
          <w:rFonts w:ascii="Arial" w:cs="Arial" w:eastAsia="Arial" w:hAnsi="Arial"/>
          <w:sz w:val="18"/>
          <w:szCs w:val="18"/>
          <w:i w:val="1"/>
          <w:iCs w:val="1"/>
          <w:color w:val="32406B"/>
        </w:rPr>
        <w:t xml:space="preserve">Market disruptor and established leader. </w:t>
      </w:r>
      <w:r>
        <w:rPr>
          <w:rFonts w:ascii="Arial" w:cs="Arial" w:eastAsia="Arial" w:hAnsi="Arial"/>
          <w:sz w:val="18"/>
          <w:szCs w:val="18"/>
          <w:color w:val="32406B"/>
        </w:rPr>
        <w:t>As a pioneer in IoT cloud platform that integrates both PaaS and SaaS, we enable businesses to</w:t>
      </w:r>
      <w:r>
        <w:rPr>
          <w:rFonts w:ascii="Arial" w:cs="Arial" w:eastAsia="Arial" w:hAnsi="Arial"/>
          <w:sz w:val="18"/>
          <w:szCs w:val="18"/>
          <w:i w:val="1"/>
          <w:iCs w:val="1"/>
          <w:color w:val="32406B"/>
        </w:rPr>
        <w:t xml:space="preserve"> </w:t>
      </w:r>
      <w:r>
        <w:rPr>
          <w:rFonts w:ascii="Arial" w:cs="Arial" w:eastAsia="Arial" w:hAnsi="Arial"/>
          <w:sz w:val="18"/>
          <w:szCs w:val="18"/>
          <w:color w:val="32406B"/>
        </w:rPr>
        <w:t>transform traditional devices into software-enabled products. Our IoT PaaS currently enables businesses and developers to develop smart devices in more than 1,100 categories sold across over 220 countries and regions globally. We have also nurtured a large and active community of over 262,000 IoT device and software developers as of December 31, 2020. Today, smart devices powered by Tuya are available in over 100,000 stores all over the world.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132</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308" w:lineRule="auto"/>
        <w:tabs>
          <w:tab w:leader="none" w:pos="1080" w:val="left"/>
        </w:tabs>
        <w:numPr>
          <w:ilvl w:val="0"/>
          <w:numId w:val="69"/>
        </w:numPr>
        <w:rPr>
          <w:rFonts w:ascii="Arial" w:cs="Arial" w:eastAsia="Arial" w:hAnsi="Arial"/>
          <w:sz w:val="17"/>
          <w:szCs w:val="17"/>
          <w:color w:val="32406B"/>
        </w:rPr>
      </w:pPr>
      <w:r>
        <w:rPr>
          <w:rFonts w:ascii="Arial" w:cs="Arial" w:eastAsia="Arial" w:hAnsi="Arial"/>
          <w:sz w:val="17"/>
          <w:szCs w:val="17"/>
          <w:i w:val="1"/>
          <w:iCs w:val="1"/>
          <w:color w:val="32406B"/>
        </w:rPr>
        <w:t xml:space="preserve">Massive scale of operation. </w:t>
      </w:r>
      <w:r>
        <w:rPr>
          <w:rFonts w:ascii="Arial" w:cs="Arial" w:eastAsia="Arial" w:hAnsi="Arial"/>
          <w:sz w:val="17"/>
          <w:szCs w:val="17"/>
          <w:color w:val="32406B"/>
        </w:rPr>
        <w:t>Our IoT cloud platform is currently capable of processing over 84 billion cloud requests and over 122 million</w:t>
      </w:r>
      <w:r>
        <w:rPr>
          <w:rFonts w:ascii="Arial" w:cs="Arial" w:eastAsia="Arial" w:hAnsi="Arial"/>
          <w:sz w:val="17"/>
          <w:szCs w:val="17"/>
          <w:i w:val="1"/>
          <w:iCs w:val="1"/>
          <w:color w:val="32406B"/>
        </w:rPr>
        <w:t xml:space="preserve"> </w:t>
      </w:r>
      <w:r>
        <w:rPr>
          <w:rFonts w:ascii="Arial" w:cs="Arial" w:eastAsia="Arial" w:hAnsi="Arial"/>
          <w:sz w:val="17"/>
          <w:szCs w:val="17"/>
          <w:color w:val="32406B"/>
        </w:rPr>
        <w:t>AI voice interactions daily, allowing us to better understand our customers and continuously improve our service capabilities.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Open and End-to-end IoT Cloud Platform</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We have built an open and fully integrated IoT cloud platform that provides businesses and developers across the world with lifecycle services and enable them to build and manage applications effectively by taking care of the remaining complexity.</w:t>
      </w:r>
    </w:p>
    <w:p>
      <w:pPr>
        <w:spacing w:after="0" w:line="76" w:lineRule="exact"/>
        <w:rPr>
          <w:sz w:val="20"/>
          <w:szCs w:val="20"/>
          <w:color w:val="auto"/>
        </w:rPr>
      </w:pPr>
    </w:p>
    <w:p>
      <w:pPr>
        <w:jc w:val="both"/>
        <w:ind w:left="1080" w:right="360" w:hanging="532"/>
        <w:spacing w:after="0" w:line="311" w:lineRule="auto"/>
        <w:tabs>
          <w:tab w:leader="none" w:pos="1080" w:val="left"/>
        </w:tabs>
        <w:numPr>
          <w:ilvl w:val="0"/>
          <w:numId w:val="70"/>
        </w:numPr>
        <w:rPr>
          <w:rFonts w:ascii="Arial" w:cs="Arial" w:eastAsia="Arial" w:hAnsi="Arial"/>
          <w:sz w:val="16"/>
          <w:szCs w:val="16"/>
          <w:color w:val="32406B"/>
        </w:rPr>
      </w:pPr>
      <w:r>
        <w:rPr>
          <w:rFonts w:ascii="Arial" w:cs="Arial" w:eastAsia="Arial" w:hAnsi="Arial"/>
          <w:sz w:val="16"/>
          <w:szCs w:val="16"/>
          <w:i w:val="1"/>
          <w:iCs w:val="1"/>
          <w:color w:val="32406B"/>
        </w:rPr>
        <w:t xml:space="preserve">Cloud agnostic. </w:t>
      </w:r>
      <w:r>
        <w:rPr>
          <w:rFonts w:ascii="Arial" w:cs="Arial" w:eastAsia="Arial" w:hAnsi="Arial"/>
          <w:sz w:val="16"/>
          <w:szCs w:val="16"/>
          <w:color w:val="32406B"/>
        </w:rPr>
        <w:t>Our multi-cloud architecture does not depend on any single cloud service provider. It seamlessly integrates into major</w:t>
      </w:r>
      <w:r>
        <w:rPr>
          <w:rFonts w:ascii="Arial" w:cs="Arial" w:eastAsia="Arial" w:hAnsi="Arial"/>
          <w:sz w:val="16"/>
          <w:szCs w:val="16"/>
          <w:i w:val="1"/>
          <w:iCs w:val="1"/>
          <w:color w:val="32406B"/>
        </w:rPr>
        <w:t xml:space="preserve"> </w:t>
      </w:r>
      <w:r>
        <w:rPr>
          <w:rFonts w:ascii="Arial" w:cs="Arial" w:eastAsia="Arial" w:hAnsi="Arial"/>
          <w:sz w:val="16"/>
          <w:szCs w:val="16"/>
          <w:color w:val="32406B"/>
        </w:rPr>
        <w:t>global cloud infrastructure such as Amazon Web Services, Microsoft Azure and Tencent Cloud. We enable global developers to easily transfer their completed and in-process software applications from one to another with low compliance risk and regulation friction.</w:t>
      </w:r>
    </w:p>
    <w:p>
      <w:pPr>
        <w:spacing w:after="0" w:line="54" w:lineRule="exact"/>
        <w:rPr>
          <w:rFonts w:ascii="Arial" w:cs="Arial" w:eastAsia="Arial" w:hAnsi="Arial"/>
          <w:sz w:val="16"/>
          <w:szCs w:val="16"/>
          <w:color w:val="32406B"/>
        </w:rPr>
      </w:pPr>
    </w:p>
    <w:p>
      <w:pPr>
        <w:ind w:left="1080" w:right="20" w:hanging="532"/>
        <w:spacing w:after="0" w:line="279" w:lineRule="auto"/>
        <w:tabs>
          <w:tab w:leader="none" w:pos="1080" w:val="left"/>
        </w:tabs>
        <w:numPr>
          <w:ilvl w:val="0"/>
          <w:numId w:val="70"/>
        </w:numPr>
        <w:rPr>
          <w:rFonts w:ascii="Arial" w:cs="Arial" w:eastAsia="Arial" w:hAnsi="Arial"/>
          <w:sz w:val="17"/>
          <w:szCs w:val="17"/>
          <w:color w:val="32406B"/>
        </w:rPr>
      </w:pPr>
      <w:r>
        <w:rPr>
          <w:rFonts w:ascii="Arial" w:cs="Arial" w:eastAsia="Arial" w:hAnsi="Arial"/>
          <w:sz w:val="17"/>
          <w:szCs w:val="17"/>
          <w:i w:val="1"/>
          <w:iCs w:val="1"/>
          <w:color w:val="32406B"/>
        </w:rPr>
        <w:t xml:space="preserve">Full-stack solution. </w:t>
      </w:r>
      <w:r>
        <w:rPr>
          <w:rFonts w:ascii="Arial" w:cs="Arial" w:eastAsia="Arial" w:hAnsi="Arial"/>
          <w:sz w:val="17"/>
          <w:szCs w:val="17"/>
          <w:color w:val="32406B"/>
        </w:rPr>
        <w:t>We deliver a solution that addresses all kinds of needs from developers along the technology stack, from infrastructure</w:t>
      </w:r>
      <w:r>
        <w:rPr>
          <w:rFonts w:ascii="Arial" w:cs="Arial" w:eastAsia="Arial" w:hAnsi="Arial"/>
          <w:sz w:val="17"/>
          <w:szCs w:val="17"/>
          <w:i w:val="1"/>
          <w:iCs w:val="1"/>
          <w:color w:val="32406B"/>
        </w:rPr>
        <w:t xml:space="preserve"> </w:t>
      </w:r>
      <w:r>
        <w:rPr>
          <w:rFonts w:ascii="Arial" w:cs="Arial" w:eastAsia="Arial" w:hAnsi="Arial"/>
          <w:sz w:val="17"/>
          <w:szCs w:val="17"/>
          <w:color w:val="32406B"/>
        </w:rPr>
        <w:t>support, operation and maintenance support, security and compliance monitoring, to data management, mainstream API access, end user application interfaces and industry-specific application-layer units. Developers can perform all IoT enablement tasks from design to launch using our IoT cloud platform only, without having to switch to different platforms.</w:t>
      </w:r>
    </w:p>
    <w:p>
      <w:pPr>
        <w:spacing w:after="0" w:line="76" w:lineRule="exact"/>
        <w:rPr>
          <w:rFonts w:ascii="Arial" w:cs="Arial" w:eastAsia="Arial" w:hAnsi="Arial"/>
          <w:sz w:val="17"/>
          <w:szCs w:val="17"/>
          <w:color w:val="32406B"/>
        </w:rPr>
      </w:pPr>
    </w:p>
    <w:p>
      <w:pPr>
        <w:ind w:left="1080" w:right="20" w:hanging="532"/>
        <w:spacing w:after="0" w:line="273" w:lineRule="auto"/>
        <w:tabs>
          <w:tab w:leader="none" w:pos="1080" w:val="left"/>
        </w:tabs>
        <w:numPr>
          <w:ilvl w:val="0"/>
          <w:numId w:val="70"/>
        </w:numPr>
        <w:rPr>
          <w:rFonts w:ascii="Arial" w:cs="Arial" w:eastAsia="Arial" w:hAnsi="Arial"/>
          <w:sz w:val="17"/>
          <w:szCs w:val="17"/>
          <w:color w:val="32406B"/>
        </w:rPr>
      </w:pPr>
      <w:r>
        <w:rPr>
          <w:rFonts w:ascii="Arial" w:cs="Arial" w:eastAsia="Arial" w:hAnsi="Arial"/>
          <w:sz w:val="17"/>
          <w:szCs w:val="17"/>
          <w:i w:val="1"/>
          <w:iCs w:val="1"/>
          <w:color w:val="32406B"/>
        </w:rPr>
        <w:t xml:space="preserve">Open. </w:t>
      </w:r>
      <w:r>
        <w:rPr>
          <w:rFonts w:ascii="Arial" w:cs="Arial" w:eastAsia="Arial" w:hAnsi="Arial"/>
          <w:sz w:val="17"/>
          <w:szCs w:val="17"/>
          <w:color w:val="32406B"/>
        </w:rPr>
        <w:t>We have designed our IoT cloud platform to be open. We have developed a rich collection of APIs that enable us to integrate</w:t>
      </w:r>
      <w:r>
        <w:rPr>
          <w:rFonts w:ascii="Arial" w:cs="Arial" w:eastAsia="Arial" w:hAnsi="Arial"/>
          <w:sz w:val="17"/>
          <w:szCs w:val="17"/>
          <w:i w:val="1"/>
          <w:iCs w:val="1"/>
          <w:color w:val="32406B"/>
        </w:rPr>
        <w:t xml:space="preserve"> </w:t>
      </w:r>
      <w:r>
        <w:rPr>
          <w:rFonts w:ascii="Arial" w:cs="Arial" w:eastAsia="Arial" w:hAnsi="Arial"/>
          <w:sz w:val="17"/>
          <w:szCs w:val="17"/>
          <w:color w:val="32406B"/>
        </w:rPr>
        <w:t>quickly and easily with a broad range of cloud infrastructure components. We are not limited to any particular ecosystem. We deliver seamless integration with all leading IoT and smart home services, including voice control from Amazon Alexa and Google Assistant, as well as other key platforms like Samsung SmartThings. Our solution support a range of bandwidth applications and connectivity protocols, including Wi-Fi, ZigBee, dual radio, Bluetooth, 5G and NB-IoT, and can mix and match connectivity needs of our customers. Our open architecture future-proofs our platform from changes in underlying industry standards and components.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Differentiated Technology and Data Capabilities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We fully leverage our cutting-edge technology to enable our customers to have better developing experience, and help them better serve end users.</w:t>
      </w:r>
    </w:p>
    <w:p>
      <w:pPr>
        <w:spacing w:after="0" w:line="154" w:lineRule="exact"/>
        <w:rPr>
          <w:sz w:val="20"/>
          <w:szCs w:val="20"/>
          <w:color w:val="auto"/>
        </w:rPr>
      </w:pPr>
    </w:p>
    <w:p>
      <w:pPr>
        <w:ind w:left="1080" w:right="140" w:hanging="532"/>
        <w:spacing w:after="0" w:line="342" w:lineRule="auto"/>
        <w:tabs>
          <w:tab w:leader="none" w:pos="1080" w:val="left"/>
        </w:tabs>
        <w:numPr>
          <w:ilvl w:val="0"/>
          <w:numId w:val="71"/>
        </w:numPr>
        <w:rPr>
          <w:rFonts w:ascii="Arial" w:cs="Arial" w:eastAsia="Arial" w:hAnsi="Arial"/>
          <w:sz w:val="16"/>
          <w:szCs w:val="16"/>
          <w:color w:val="32406B"/>
        </w:rPr>
      </w:pPr>
      <w:r>
        <w:rPr>
          <w:rFonts w:ascii="Arial" w:cs="Arial" w:eastAsia="Arial" w:hAnsi="Arial"/>
          <w:sz w:val="16"/>
          <w:szCs w:val="16"/>
          <w:i w:val="1"/>
          <w:iCs w:val="1"/>
          <w:color w:val="32406B"/>
        </w:rPr>
        <w:t xml:space="preserve">Simple but not simplistic. </w:t>
      </w:r>
      <w:r>
        <w:rPr>
          <w:rFonts w:ascii="Arial" w:cs="Arial" w:eastAsia="Arial" w:hAnsi="Arial"/>
          <w:sz w:val="16"/>
          <w:szCs w:val="16"/>
          <w:color w:val="32406B"/>
        </w:rPr>
        <w:t>Our simple-to-use low- to no-code development tools and ready-to-use cutting-edge features take away the vast</w:t>
      </w:r>
      <w:r>
        <w:rPr>
          <w:rFonts w:ascii="Arial" w:cs="Arial" w:eastAsia="Arial" w:hAnsi="Arial"/>
          <w:sz w:val="16"/>
          <w:szCs w:val="16"/>
          <w:i w:val="1"/>
          <w:iCs w:val="1"/>
          <w:color w:val="32406B"/>
        </w:rPr>
        <w:t xml:space="preserve"> </w:t>
      </w:r>
      <w:r>
        <w:rPr>
          <w:rFonts w:ascii="Arial" w:cs="Arial" w:eastAsia="Arial" w:hAnsi="Arial"/>
          <w:sz w:val="16"/>
          <w:szCs w:val="16"/>
          <w:color w:val="32406B"/>
        </w:rPr>
        <w:t>complexity of full stack IoT development. At the same time, developers can create differentiated products with our rich tools.</w:t>
      </w:r>
    </w:p>
    <w:p>
      <w:pPr>
        <w:spacing w:after="0" w:line="29" w:lineRule="exact"/>
        <w:rPr>
          <w:rFonts w:ascii="Arial" w:cs="Arial" w:eastAsia="Arial" w:hAnsi="Arial"/>
          <w:sz w:val="16"/>
          <w:szCs w:val="16"/>
          <w:color w:val="32406B"/>
        </w:rPr>
      </w:pPr>
    </w:p>
    <w:p>
      <w:pPr>
        <w:ind w:left="1080" w:right="100" w:hanging="532"/>
        <w:spacing w:after="0" w:line="259" w:lineRule="auto"/>
        <w:tabs>
          <w:tab w:leader="none" w:pos="1080" w:val="left"/>
        </w:tabs>
        <w:numPr>
          <w:ilvl w:val="0"/>
          <w:numId w:val="71"/>
        </w:numPr>
        <w:rPr>
          <w:rFonts w:ascii="Arial" w:cs="Arial" w:eastAsia="Arial" w:hAnsi="Arial"/>
          <w:sz w:val="18"/>
          <w:szCs w:val="18"/>
          <w:color w:val="32406B"/>
        </w:rPr>
      </w:pPr>
      <w:r>
        <w:rPr>
          <w:rFonts w:ascii="Arial" w:cs="Arial" w:eastAsia="Arial" w:hAnsi="Arial"/>
          <w:sz w:val="18"/>
          <w:szCs w:val="18"/>
          <w:i w:val="1"/>
          <w:iCs w:val="1"/>
          <w:color w:val="32406B"/>
        </w:rPr>
        <w:t xml:space="preserve">Reliable and scalable technology. </w:t>
      </w:r>
      <w:r>
        <w:rPr>
          <w:rFonts w:ascii="Arial" w:cs="Arial" w:eastAsia="Arial" w:hAnsi="Arial"/>
          <w:sz w:val="18"/>
          <w:szCs w:val="18"/>
          <w:color w:val="32406B"/>
        </w:rPr>
        <w:t>Our worldwide infrastructure support ensures secure and stable coverage, providing low-latency,</w:t>
      </w:r>
      <w:r>
        <w:rPr>
          <w:rFonts w:ascii="Arial" w:cs="Arial" w:eastAsia="Arial" w:hAnsi="Arial"/>
          <w:sz w:val="18"/>
          <w:szCs w:val="18"/>
          <w:i w:val="1"/>
          <w:iCs w:val="1"/>
          <w:color w:val="32406B"/>
        </w:rPr>
        <w:t xml:space="preserve"> </w:t>
      </w:r>
      <w:r>
        <w:rPr>
          <w:rFonts w:ascii="Arial" w:cs="Arial" w:eastAsia="Arial" w:hAnsi="Arial"/>
          <w:sz w:val="18"/>
          <w:szCs w:val="18"/>
          <w:color w:val="32406B"/>
        </w:rPr>
        <w:t>redundancy, and 99.9% uptime. Our IoT cloud platform is capable of handling over 84 billion cloud requests daily with an average device response time of less than 10 milliseconds. It also adopts a distributed and flexible service architecture that allows for real-time scaling, making it easy for customers to increase capacity.</w:t>
      </w:r>
    </w:p>
    <w:p>
      <w:pPr>
        <w:spacing w:after="0" w:line="92" w:lineRule="exact"/>
        <w:rPr>
          <w:rFonts w:ascii="Arial" w:cs="Arial" w:eastAsia="Arial" w:hAnsi="Arial"/>
          <w:sz w:val="18"/>
          <w:szCs w:val="18"/>
          <w:color w:val="32406B"/>
        </w:rPr>
      </w:pPr>
    </w:p>
    <w:p>
      <w:pPr>
        <w:jc w:val="both"/>
        <w:ind w:left="1080" w:right="80" w:hanging="532"/>
        <w:spacing w:after="0" w:line="311" w:lineRule="auto"/>
        <w:tabs>
          <w:tab w:leader="none" w:pos="1080" w:val="left"/>
        </w:tabs>
        <w:numPr>
          <w:ilvl w:val="0"/>
          <w:numId w:val="71"/>
        </w:numPr>
        <w:rPr>
          <w:rFonts w:ascii="Arial" w:cs="Arial" w:eastAsia="Arial" w:hAnsi="Arial"/>
          <w:sz w:val="16"/>
          <w:szCs w:val="16"/>
          <w:color w:val="32406B"/>
        </w:rPr>
      </w:pPr>
      <w:r>
        <w:rPr>
          <w:rFonts w:ascii="Arial" w:cs="Arial" w:eastAsia="Arial" w:hAnsi="Arial"/>
          <w:sz w:val="16"/>
          <w:szCs w:val="16"/>
          <w:i w:val="1"/>
          <w:iCs w:val="1"/>
          <w:color w:val="32406B"/>
        </w:rPr>
        <w:t xml:space="preserve">Unique device data insights. </w:t>
      </w:r>
      <w:r>
        <w:rPr>
          <w:rFonts w:ascii="Arial" w:cs="Arial" w:eastAsia="Arial" w:hAnsi="Arial"/>
          <w:sz w:val="16"/>
          <w:szCs w:val="16"/>
          <w:color w:val="32406B"/>
        </w:rPr>
        <w:t>Traditional businesses are provided with massive and insightful data on the usage of their devices and use of</w:t>
      </w:r>
      <w:r>
        <w:rPr>
          <w:rFonts w:ascii="Arial" w:cs="Arial" w:eastAsia="Arial" w:hAnsi="Arial"/>
          <w:sz w:val="16"/>
          <w:szCs w:val="16"/>
          <w:i w:val="1"/>
          <w:iCs w:val="1"/>
          <w:color w:val="32406B"/>
        </w:rPr>
        <w:t xml:space="preserve"> </w:t>
      </w:r>
      <w:r>
        <w:rPr>
          <w:rFonts w:ascii="Arial" w:cs="Arial" w:eastAsia="Arial" w:hAnsi="Arial"/>
          <w:sz w:val="16"/>
          <w:szCs w:val="16"/>
          <w:color w:val="32406B"/>
        </w:rPr>
        <w:t>their devices. With the in-depth business insights generated from such data, businesses can better understand their end users, upgrade their software and hardware and deliver more comprehensive IoT-enabled services to them, leading to a sustainable relationship.</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Thriving Ecosystem with Powerful Network Effects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32406B"/>
        </w:rPr>
        <w:t>We have established a thriving ecosystem of brands, OEMs, developers, partners and end users on our platform due to powerful network effects. End users of smart devices demand a single interface to interact with various types of devices from different brands—an experience similar to using different apps on one smartphone.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133</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32406B"/>
        </w:rPr>
        <w:t>Our platform provides an open architecture to connect any device from any brand, while enabling users to manage all devices across brands through a single portal—the exact experience they desire. As a result, more brands want to join our platform to integrate their devices onto the single user interface through which devices from other brands are connected. These self-reinforcing network effects further increase our brand awareness and generates word-of-mouth referrals, helping us form an extensive, vibrant and increasingly interconnected IoT ecosystem. Additionally, we allow our customers to try out new ideas based on our consumption-based revenue model to accelerate their adoption of our platform and cultivate a vibrant culture for innovation.</w:t>
      </w:r>
    </w:p>
    <w:p>
      <w:pPr>
        <w:spacing w:after="0" w:line="98" w:lineRule="exact"/>
        <w:rPr>
          <w:sz w:val="20"/>
          <w:szCs w:val="20"/>
          <w:color w:val="auto"/>
        </w:rPr>
      </w:pPr>
    </w:p>
    <w:p>
      <w:pPr>
        <w:ind w:left="1080" w:right="220" w:hanging="532"/>
        <w:spacing w:after="0" w:line="254" w:lineRule="auto"/>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i w:val="1"/>
          <w:iCs w:val="1"/>
          <w:color w:val="32406B"/>
        </w:rPr>
        <w:t xml:space="preserve">Large and loyal global customer base. </w:t>
      </w:r>
      <w:r>
        <w:rPr>
          <w:rFonts w:ascii="Arial" w:cs="Arial" w:eastAsia="Arial" w:hAnsi="Arial"/>
          <w:sz w:val="18"/>
          <w:szCs w:val="18"/>
          <w:color w:val="32406B"/>
        </w:rPr>
        <w:t>We had over 5,000 customers in 2020, primarily including brands, OEMs, industry operators and</w:t>
      </w:r>
      <w:r>
        <w:rPr>
          <w:rFonts w:ascii="Arial" w:cs="Arial" w:eastAsia="Arial" w:hAnsi="Arial"/>
          <w:sz w:val="18"/>
          <w:szCs w:val="18"/>
          <w:i w:val="1"/>
          <w:iCs w:val="1"/>
          <w:color w:val="32406B"/>
        </w:rPr>
        <w:t xml:space="preserve"> </w:t>
      </w:r>
      <w:r>
        <w:rPr>
          <w:rFonts w:ascii="Arial" w:cs="Arial" w:eastAsia="Arial" w:hAnsi="Arial"/>
          <w:sz w:val="18"/>
          <w:szCs w:val="18"/>
          <w:color w:val="32406B"/>
        </w:rPr>
        <w:t>system integrators. For the same period, our IoT PaaS empowered over 2,700 brands to develop their smart devices, including leading brands such as Calex, Philips and Schneider Electric, and are attracting an increasing number of Industry SaaS customers. Our IoT PaaS currently enables businesses and developers to develop smart devices in more than 1,100 categories sold across over 220 countries and regions globally. Our customers have high switching cost due to the tight connection with end users made possible on our IoT cloud platform. We recorded a dollar-based net expansion rate of our IoT PaaS customers of 181% for the trailing 12-month period ended December 31, 2020.</w:t>
      </w:r>
    </w:p>
    <w:p>
      <w:pPr>
        <w:spacing w:after="0" w:line="100" w:lineRule="exact"/>
        <w:rPr>
          <w:rFonts w:ascii="Arial" w:cs="Arial" w:eastAsia="Arial" w:hAnsi="Arial"/>
          <w:sz w:val="18"/>
          <w:szCs w:val="18"/>
          <w:color w:val="32406B"/>
        </w:rPr>
      </w:pPr>
    </w:p>
    <w:p>
      <w:pPr>
        <w:ind w:left="1080" w:right="120" w:hanging="532"/>
        <w:spacing w:after="0" w:line="273" w:lineRule="auto"/>
        <w:tabs>
          <w:tab w:leader="none" w:pos="1080" w:val="left"/>
        </w:tabs>
        <w:numPr>
          <w:ilvl w:val="0"/>
          <w:numId w:val="72"/>
        </w:numPr>
        <w:rPr>
          <w:rFonts w:ascii="Arial" w:cs="Arial" w:eastAsia="Arial" w:hAnsi="Arial"/>
          <w:sz w:val="17"/>
          <w:szCs w:val="17"/>
          <w:color w:val="32406B"/>
        </w:rPr>
      </w:pPr>
      <w:r>
        <w:rPr>
          <w:rFonts w:ascii="Arial" w:cs="Arial" w:eastAsia="Arial" w:hAnsi="Arial"/>
          <w:sz w:val="17"/>
          <w:szCs w:val="17"/>
          <w:i w:val="1"/>
          <w:iCs w:val="1"/>
          <w:color w:val="32406B"/>
        </w:rPr>
        <w:t xml:space="preserve">Vibrant developer and partner network. </w:t>
      </w:r>
      <w:r>
        <w:rPr>
          <w:rFonts w:ascii="Arial" w:cs="Arial" w:eastAsia="Arial" w:hAnsi="Arial"/>
          <w:sz w:val="17"/>
          <w:szCs w:val="17"/>
          <w:color w:val="32406B"/>
        </w:rPr>
        <w:t>We make IoT development easy for our device and software developers and encourage them to</w:t>
      </w:r>
      <w:r>
        <w:rPr>
          <w:rFonts w:ascii="Arial" w:cs="Arial" w:eastAsia="Arial" w:hAnsi="Arial"/>
          <w:sz w:val="17"/>
          <w:szCs w:val="17"/>
          <w:i w:val="1"/>
          <w:iCs w:val="1"/>
          <w:color w:val="32406B"/>
        </w:rPr>
        <w:t xml:space="preserve"> </w:t>
      </w:r>
      <w:r>
        <w:rPr>
          <w:rFonts w:ascii="Arial" w:cs="Arial" w:eastAsia="Arial" w:hAnsi="Arial"/>
          <w:sz w:val="17"/>
          <w:szCs w:val="17"/>
          <w:color w:val="32406B"/>
        </w:rPr>
        <w:t>innovate. Many of those are focused on creating brand new IoT experience and developing fundamental software, which in turn attracts more developers focused on the application-level. As of December 31, 2020, we have attracted a large and active community of over 262,000 IoT device and software developers who develop smart devices in over 252,000 SKUs, 13,500 application software development kits, or SDKs, and 22,500 cloud-based SaaS applications. We also partner with virtual assistant service providers, cloud infrastructure providers and online and offline retail channels to strengthen our ecosystem.</w:t>
      </w:r>
    </w:p>
    <w:p>
      <w:pPr>
        <w:spacing w:after="0" w:line="83" w:lineRule="exact"/>
        <w:rPr>
          <w:rFonts w:ascii="Arial" w:cs="Arial" w:eastAsia="Arial" w:hAnsi="Arial"/>
          <w:sz w:val="17"/>
          <w:szCs w:val="17"/>
          <w:color w:val="32406B"/>
        </w:rPr>
      </w:pPr>
    </w:p>
    <w:p>
      <w:pPr>
        <w:ind w:left="1080" w:right="40" w:hanging="532"/>
        <w:spacing w:after="0" w:line="342" w:lineRule="auto"/>
        <w:tabs>
          <w:tab w:leader="none" w:pos="1080" w:val="left"/>
        </w:tabs>
        <w:numPr>
          <w:ilvl w:val="0"/>
          <w:numId w:val="72"/>
        </w:numPr>
        <w:rPr>
          <w:rFonts w:ascii="Arial" w:cs="Arial" w:eastAsia="Arial" w:hAnsi="Arial"/>
          <w:sz w:val="16"/>
          <w:szCs w:val="16"/>
          <w:color w:val="32406B"/>
        </w:rPr>
      </w:pPr>
      <w:r>
        <w:rPr>
          <w:rFonts w:ascii="Arial" w:cs="Arial" w:eastAsia="Arial" w:hAnsi="Arial"/>
          <w:sz w:val="16"/>
          <w:szCs w:val="16"/>
          <w:i w:val="1"/>
          <w:iCs w:val="1"/>
          <w:color w:val="32406B"/>
        </w:rPr>
        <w:t xml:space="preserve">Expansive end user base. </w:t>
      </w:r>
      <w:r>
        <w:rPr>
          <w:rFonts w:ascii="Arial" w:cs="Arial" w:eastAsia="Arial" w:hAnsi="Arial"/>
          <w:sz w:val="16"/>
          <w:szCs w:val="16"/>
          <w:color w:val="32406B"/>
        </w:rPr>
        <w:t>In 2020, we powered over 116.5 million smart devices, making us the largest IoT PaaS business in the global</w:t>
      </w:r>
      <w:r>
        <w:rPr>
          <w:rFonts w:ascii="Arial" w:cs="Arial" w:eastAsia="Arial" w:hAnsi="Arial"/>
          <w:sz w:val="16"/>
          <w:szCs w:val="16"/>
          <w:i w:val="1"/>
          <w:iCs w:val="1"/>
          <w:color w:val="32406B"/>
        </w:rPr>
        <w:t xml:space="preserve"> </w:t>
      </w:r>
      <w:r>
        <w:rPr>
          <w:rFonts w:ascii="Arial" w:cs="Arial" w:eastAsia="Arial" w:hAnsi="Arial"/>
          <w:sz w:val="16"/>
          <w:szCs w:val="16"/>
          <w:color w:val="32406B"/>
        </w:rPr>
        <w:t>market of IoT PaaS, according to CIC. As of December 31, 2020, there were approximately 204.3 million smart devices powered by Tuya.</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Growth Strategies</w:t>
      </w:r>
    </w:p>
    <w:p>
      <w:pPr>
        <w:spacing w:after="0" w:line="121"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32406B"/>
        </w:rPr>
        <w:t>We believe we are the leading IoT cloud platform based on our leading position in the global market of IoT PaaS. According to CIC, we are the largest IoT PaaS business in the global market of IoT PaaS in terms of volume of smart devices powered in 2020. We intend to strengthen our position as the leading IoT cloud platform and continue to grow our business by pursuing the following strategies.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Extend Our Technology Leadership</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32406B"/>
        </w:rPr>
        <w:t>We will continue to invest in research and innovation, particularly in our core capabilities such as IoT core, edge computing, AI algorithms and data analytics, to extend our technology leadership in the industry. We plan to bring additional features and functionalities to our PaaS and SaaS offerings and scale our value-added services to end users of Tuya-powered products.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Deepen Our Relationship with Existing Customers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32406B"/>
        </w:rPr>
        <w:t>We grow with our customers as they develop and sell more Tuya-powered smart devices. To achieve this, we help our customers increase sales volume of products already powered by Tuya, thereby encouraging them to bring more product families to our platform. We leverage our ecosystem partners to help customers further penetrate online e-commerce platforms and offline retail channels. Customers with initial success tend to expand our services to more product families to maximize the benefits of our platform.</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A robust long-term customer relationship helps us lock in deployment and increase customers’ stickiness. We strive to develop and maintain long-term relationship with our customers through our dedicated membership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134</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32406B"/>
        </w:rPr>
        <w:t>program. We plan to attract more customers to our membership program. In 2020, approximately 63% of our IoT PaaS deployments were from our membership customers.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Acquire New Customers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32406B"/>
        </w:rPr>
        <w:t>We believe the low penetration rate of smart devices presents significant opportunities for us to tap into new customers. We strive to acquire new customers to grow our customer base. We will strengthen the network effects of our platform to attract more brands to join our platform and promote our brand awareness and word-of-mouth referrals, which in turn enables us to acquire new customers rapidly at low customer acquisition costs. We will also enhance our sales and marketing efforts to attract new customers to try out our products and services and accelerate their adoption of our platform.</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Broaden Our Reach by Expanding into New Verticals Such as Industrial and Agriculture</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32406B"/>
        </w:rPr>
        <w:t>We have successfully attracted brands from a number of verticals including smart home and smart business. We intend to broaden our reach into more verticals such as industrials and agriculture. We will continue to develop more products and acquire new customers in all these verticals globally through our effective product development capabilities and R&amp;D efforts.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Grow and Broaden Our SaaS Offerings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32406B"/>
        </w:rPr>
        <w:t>We develop pilot SaaS solutions to set a benchmark for SaaS application on top of our IoT cloud platform. We have seen significant growth in revenues generated by our SaaS solutions for selected verticals spanning over smart commercial lighting, smart hotel, smart consumer security, smart apartment, smart community and real estate, to name a few. We intend to penetrate into more verticals including industrials and agriculture, and develop sector-defining SaaS applications that cater to the needs of end users in such verticals.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Expand Brand Awareness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32406B"/>
        </w:rPr>
        <w:t>We aim to increase brand awareness among the end users by promoting the “Powered by Tuya” concept. We intend to educate our end users the critical role Tuya plays in delivering a connected and software product experience for them. Additionally, we have also rolled out selected value-added services to end users such as internet protocol camera, or IP camera, cloud storage service for a fee. As we introduce more services directly to end users, our brand will be increasingly recognized. Growing mind share among the end users will attract more business customers and developers to our platform.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Products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offer our products and services to all key IoT stakeholders.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 xml:space="preserve">We set out to offer </w:t>
      </w:r>
      <w:r>
        <w:rPr>
          <w:rFonts w:ascii="Arial" w:cs="Arial" w:eastAsia="Arial" w:hAnsi="Arial"/>
          <w:sz w:val="18"/>
          <w:szCs w:val="18"/>
          <w:b w:val="1"/>
          <w:bCs w:val="1"/>
          <w:i w:val="1"/>
          <w:iCs w:val="1"/>
          <w:color w:val="32406B"/>
        </w:rPr>
        <w:t>IoT PaaS</w:t>
      </w:r>
      <w:r>
        <w:rPr>
          <w:rFonts w:ascii="Arial" w:cs="Arial" w:eastAsia="Arial" w:hAnsi="Arial"/>
          <w:sz w:val="18"/>
          <w:szCs w:val="18"/>
          <w:color w:val="32406B"/>
        </w:rPr>
        <w:t xml:space="preserve"> to customers </w:t>
      </w:r>
      <w:r>
        <w:rPr>
          <w:rFonts w:ascii="Arial" w:cs="Arial" w:eastAsia="Arial" w:hAnsi="Arial"/>
          <w:sz w:val="18"/>
          <w:szCs w:val="18"/>
          <w:u w:val="single" w:color="auto"/>
          <w:color w:val="32406B"/>
        </w:rPr>
        <w:t>developing</w:t>
      </w:r>
      <w:r>
        <w:rPr>
          <w:rFonts w:ascii="Arial" w:cs="Arial" w:eastAsia="Arial" w:hAnsi="Arial"/>
          <w:sz w:val="18"/>
          <w:szCs w:val="18"/>
          <w:color w:val="32406B"/>
        </w:rPr>
        <w:t xml:space="preserve"> smart devices, including brands and their OEMs. Over time, we have extended our offerings to those who </w:t>
      </w:r>
      <w:r>
        <w:rPr>
          <w:rFonts w:ascii="Arial" w:cs="Arial" w:eastAsia="Arial" w:hAnsi="Arial"/>
          <w:sz w:val="18"/>
          <w:szCs w:val="18"/>
          <w:u w:val="single" w:color="auto"/>
          <w:color w:val="32406B"/>
        </w:rPr>
        <w:t>use</w:t>
      </w:r>
      <w:r>
        <w:rPr>
          <w:rFonts w:ascii="Arial" w:cs="Arial" w:eastAsia="Arial" w:hAnsi="Arial"/>
          <w:sz w:val="18"/>
          <w:szCs w:val="18"/>
          <w:color w:val="32406B"/>
        </w:rPr>
        <w:t xml:space="preserve"> smart devices. We offer flagship </w:t>
      </w:r>
      <w:r>
        <w:rPr>
          <w:rFonts w:ascii="Arial" w:cs="Arial" w:eastAsia="Arial" w:hAnsi="Arial"/>
          <w:sz w:val="18"/>
          <w:szCs w:val="18"/>
          <w:b w:val="1"/>
          <w:bCs w:val="1"/>
          <w:i w:val="1"/>
          <w:iCs w:val="1"/>
          <w:color w:val="32406B"/>
        </w:rPr>
        <w:t>Industry SaaS</w:t>
      </w:r>
      <w:r>
        <w:rPr>
          <w:rFonts w:ascii="Arial" w:cs="Arial" w:eastAsia="Arial" w:hAnsi="Arial"/>
          <w:sz w:val="18"/>
          <w:szCs w:val="18"/>
          <w:color w:val="32406B"/>
        </w:rPr>
        <w:t xml:space="preserve"> to businesses in select verticals and a growing suite of cloud-based </w:t>
      </w:r>
      <w:r>
        <w:rPr>
          <w:rFonts w:ascii="Arial" w:cs="Arial" w:eastAsia="Arial" w:hAnsi="Arial"/>
          <w:sz w:val="18"/>
          <w:szCs w:val="18"/>
          <w:b w:val="1"/>
          <w:bCs w:val="1"/>
          <w:i w:val="1"/>
          <w:iCs w:val="1"/>
          <w:color w:val="32406B"/>
        </w:rPr>
        <w:t>value-added</w:t>
      </w:r>
      <w:r>
        <w:rPr>
          <w:rFonts w:ascii="Arial" w:cs="Arial" w:eastAsia="Arial" w:hAnsi="Arial"/>
          <w:sz w:val="18"/>
          <w:szCs w:val="18"/>
          <w:color w:val="32406B"/>
        </w:rPr>
        <w:t xml:space="preserve"> </w:t>
      </w:r>
      <w:r>
        <w:rPr>
          <w:rFonts w:ascii="Arial" w:cs="Arial" w:eastAsia="Arial" w:hAnsi="Arial"/>
          <w:sz w:val="18"/>
          <w:szCs w:val="18"/>
          <w:b w:val="1"/>
          <w:bCs w:val="1"/>
          <w:i w:val="1"/>
          <w:iCs w:val="1"/>
          <w:color w:val="32406B"/>
        </w:rPr>
        <w:t xml:space="preserve">services </w:t>
      </w:r>
      <w:r>
        <w:rPr>
          <w:rFonts w:ascii="Arial" w:cs="Arial" w:eastAsia="Arial" w:hAnsi="Arial"/>
          <w:sz w:val="18"/>
          <w:szCs w:val="18"/>
          <w:color w:val="32406B"/>
        </w:rPr>
        <w:t>to end users.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 Business Customers Developing Smart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IoT PaaS</w:t>
      </w:r>
    </w:p>
    <w:p>
      <w:pPr>
        <w:spacing w:after="0" w:line="11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32406B"/>
        </w:rPr>
        <w:t>Our IoT PaaS is an integrated, all-in-one product for customers to quickly, easily and cost-effectively build and manage smart devices. In 2020, we powered over 116.5 million devices via IoT PaaS, making us the world’s largest IoT cloud platform in the global market of IoT PaaS, according to CIC.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32406B"/>
        </w:rPr>
        <w:t xml:space="preserve">Our IoT PaaS combines </w:t>
      </w:r>
      <w:r>
        <w:rPr>
          <w:rFonts w:ascii="Arial" w:cs="Arial" w:eastAsia="Arial" w:hAnsi="Arial"/>
          <w:sz w:val="18"/>
          <w:szCs w:val="18"/>
          <w:b w:val="1"/>
          <w:bCs w:val="1"/>
          <w:i w:val="1"/>
          <w:iCs w:val="1"/>
          <w:color w:val="32406B"/>
        </w:rPr>
        <w:t>cloud-based connectivity and basic IoT services, edge capabilities</w:t>
      </w:r>
      <w:r>
        <w:rPr>
          <w:rFonts w:ascii="Arial" w:cs="Arial" w:eastAsia="Arial" w:hAnsi="Arial"/>
          <w:sz w:val="18"/>
          <w:szCs w:val="18"/>
          <w:color w:val="32406B"/>
        </w:rPr>
        <w:t xml:space="preserve">, </w:t>
      </w:r>
      <w:r>
        <w:rPr>
          <w:rFonts w:ascii="Arial" w:cs="Arial" w:eastAsia="Arial" w:hAnsi="Arial"/>
          <w:sz w:val="18"/>
          <w:szCs w:val="18"/>
          <w:b w:val="1"/>
          <w:bCs w:val="1"/>
          <w:i w:val="1"/>
          <w:iCs w:val="1"/>
          <w:color w:val="32406B"/>
        </w:rPr>
        <w:t>app development</w:t>
      </w:r>
      <w:r>
        <w:rPr>
          <w:rFonts w:ascii="Arial" w:cs="Arial" w:eastAsia="Arial" w:hAnsi="Arial"/>
          <w:sz w:val="18"/>
          <w:szCs w:val="18"/>
          <w:color w:val="32406B"/>
        </w:rPr>
        <w:t xml:space="preserve">, and </w:t>
      </w:r>
      <w:r>
        <w:rPr>
          <w:rFonts w:ascii="Arial" w:cs="Arial" w:eastAsia="Arial" w:hAnsi="Arial"/>
          <w:sz w:val="18"/>
          <w:szCs w:val="18"/>
          <w:b w:val="1"/>
          <w:bCs w:val="1"/>
          <w:i w:val="1"/>
          <w:iCs w:val="1"/>
          <w:color w:val="32406B"/>
        </w:rPr>
        <w:t>device optimization solutions</w:t>
      </w:r>
      <w:r>
        <w:rPr>
          <w:rFonts w:ascii="Arial" w:cs="Arial" w:eastAsia="Arial" w:hAnsi="Arial"/>
          <w:sz w:val="18"/>
          <w:szCs w:val="18"/>
          <w:color w:val="32406B"/>
        </w:rPr>
        <w:t xml:space="preserve"> which we believe are the most fundamental elements of IoT capabilities. Customers can also leverage our extensive developer toolkits, including SDKs and open APIs, to customize for desired use cases and functionalities.</w:t>
      </w:r>
    </w:p>
    <w:p>
      <w:pPr>
        <w:spacing w:after="0" w:line="89" w:lineRule="exact"/>
        <w:rPr>
          <w:sz w:val="20"/>
          <w:szCs w:val="20"/>
          <w:color w:val="auto"/>
        </w:rPr>
      </w:pPr>
    </w:p>
    <w:p>
      <w:pPr>
        <w:ind w:left="1080" w:right="280" w:hanging="532"/>
        <w:spacing w:after="0" w:line="255" w:lineRule="auto"/>
        <w:tabs>
          <w:tab w:leader="none" w:pos="1080" w:val="left"/>
        </w:tabs>
        <w:numPr>
          <w:ilvl w:val="0"/>
          <w:numId w:val="73"/>
        </w:numPr>
        <w:rPr>
          <w:rFonts w:ascii="Arial" w:cs="Arial" w:eastAsia="Arial" w:hAnsi="Arial"/>
          <w:sz w:val="18"/>
          <w:szCs w:val="18"/>
          <w:color w:val="32406B"/>
        </w:rPr>
      </w:pPr>
      <w:r>
        <w:rPr>
          <w:rFonts w:ascii="Arial" w:cs="Arial" w:eastAsia="Arial" w:hAnsi="Arial"/>
          <w:sz w:val="18"/>
          <w:szCs w:val="18"/>
          <w:b w:val="1"/>
          <w:bCs w:val="1"/>
          <w:i w:val="1"/>
          <w:iCs w:val="1"/>
          <w:color w:val="32406B"/>
        </w:rPr>
        <w:t>Cloud-based connectivity and basic IoT services</w:t>
      </w:r>
      <w:r>
        <w:rPr>
          <w:rFonts w:ascii="Arial" w:cs="Arial" w:eastAsia="Arial" w:hAnsi="Arial"/>
          <w:sz w:val="18"/>
          <w:szCs w:val="18"/>
          <w:color w:val="32406B"/>
        </w:rPr>
        <w:t>. End users can easily connect a Tuya-powered device to our IoT cloud platform by</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scanning the QR code. Our IoT cloud platform then assigns a unique virtual ID to the device and pairs it with a “digital twin,” A digital twin enables real-time, closed-loop exchanges of data between the cloud and the physical smart device throughout its lifecycle. As the status of the device changes, the digital twin synchronizes with it and “closes the loop” by sending data back to the device to enable innovative functions. Through data analytics, digital twin can improve IoT deployment efficiency and help developers find ways to optimize existing smart devices.</w:t>
      </w:r>
    </w:p>
    <w:p>
      <w:pPr>
        <w:spacing w:after="0" w:line="84" w:lineRule="exact"/>
        <w:rPr>
          <w:rFonts w:ascii="Arial" w:cs="Arial" w:eastAsia="Arial" w:hAnsi="Arial"/>
          <w:sz w:val="18"/>
          <w:szCs w:val="18"/>
          <w:color w:val="32406B"/>
        </w:rPr>
      </w:pPr>
    </w:p>
    <w:p>
      <w:pPr>
        <w:ind w:left="1100"/>
        <w:spacing w:after="0" w:line="272" w:lineRule="auto"/>
        <w:rPr>
          <w:rFonts w:ascii="Arial" w:cs="Arial" w:eastAsia="Arial" w:hAnsi="Arial"/>
          <w:sz w:val="18"/>
          <w:szCs w:val="18"/>
          <w:color w:val="32406B"/>
        </w:rPr>
      </w:pPr>
      <w:r>
        <w:rPr>
          <w:rFonts w:ascii="Arial" w:cs="Arial" w:eastAsia="Arial" w:hAnsi="Arial"/>
          <w:sz w:val="17"/>
          <w:szCs w:val="17"/>
          <w:color w:val="32406B"/>
        </w:rPr>
        <w:t>Digital twin and the cloud-based connectivity it enables offer many features hard to imagine in the pre-IoT era, such as using a smartphone to control multiple devices remotely and predicting failure based on patterns learned from vast amounts of IoT data. It also brings convenience and safety to end users. For example, when a sensor connected to the cloud detects kids coming home, it sends a text message to the parents asking them to unlock the door remotely; when smoke is detected while nobody is at home, it automatically turns off the gas and sends alerts. End users also benefit from basic IoT services such as automatic device scene switches based on real-time weather data stored on the cloud. Digital twins also make troubleshooting easier and less costly by providing developers with a virtual test environment to troubleshoot problems without making any changes to the physical device.</w:t>
      </w:r>
    </w:p>
    <w:p>
      <w:pPr>
        <w:spacing w:after="0" w:line="69" w:lineRule="exact"/>
        <w:rPr>
          <w:rFonts w:ascii="Arial" w:cs="Arial" w:eastAsia="Arial" w:hAnsi="Arial"/>
          <w:sz w:val="18"/>
          <w:szCs w:val="18"/>
          <w:color w:val="32406B"/>
        </w:rPr>
      </w:pPr>
    </w:p>
    <w:p>
      <w:pPr>
        <w:ind w:left="1100"/>
        <w:spacing w:after="0"/>
        <w:rPr>
          <w:rFonts w:ascii="Arial" w:cs="Arial" w:eastAsia="Arial" w:hAnsi="Arial"/>
          <w:sz w:val="18"/>
          <w:szCs w:val="18"/>
          <w:color w:val="32406B"/>
        </w:rPr>
      </w:pPr>
      <w:r>
        <w:rPr>
          <w:rFonts w:ascii="Arial" w:cs="Arial" w:eastAsia="Arial" w:hAnsi="Arial"/>
          <w:sz w:val="18"/>
          <w:szCs w:val="18"/>
          <w:color w:val="32406B"/>
        </w:rPr>
        <w:t>The below screenshots illustrate how a developer can configure our IoT cloud platform for a broad categories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168910</wp:posOffset>
            </wp:positionV>
            <wp:extent cx="4740275" cy="22802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4027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136</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205740</wp:posOffset>
            </wp:positionV>
            <wp:extent cx="4457700" cy="2708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45770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80" w:hanging="532"/>
        <w:spacing w:after="0" w:line="301" w:lineRule="auto"/>
        <w:tabs>
          <w:tab w:leader="none" w:pos="1080" w:val="left"/>
        </w:tabs>
        <w:numPr>
          <w:ilvl w:val="0"/>
          <w:numId w:val="74"/>
        </w:numPr>
        <w:rPr>
          <w:rFonts w:ascii="Arial" w:cs="Arial" w:eastAsia="Arial" w:hAnsi="Arial"/>
          <w:sz w:val="16"/>
          <w:szCs w:val="16"/>
          <w:color w:val="32406B"/>
        </w:rPr>
      </w:pPr>
      <w:r>
        <w:rPr>
          <w:rFonts w:ascii="Arial" w:cs="Arial" w:eastAsia="Arial" w:hAnsi="Arial"/>
          <w:sz w:val="16"/>
          <w:szCs w:val="16"/>
          <w:b w:val="1"/>
          <w:bCs w:val="1"/>
          <w:i w:val="1"/>
          <w:iCs w:val="1"/>
          <w:color w:val="32406B"/>
        </w:rPr>
        <w:t xml:space="preserve">IoT edge capabilities. </w:t>
      </w:r>
      <w:r>
        <w:rPr>
          <w:rFonts w:ascii="Arial" w:cs="Arial" w:eastAsia="Arial" w:hAnsi="Arial"/>
          <w:sz w:val="16"/>
          <w:szCs w:val="16"/>
          <w:color w:val="32406B"/>
        </w:rPr>
        <w:t>To become “smart,” a device must be embedded with underlying capabilities such as connectivity, storage and data</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processing, which we call “edge” capabilities. Our IoT PaaS offers an extensive library of edge capabilities for customers to choose from, as well as visualized, simple tools and dashboards for them to quickly find what they need. Our IoT PaaS currently supports all mainstream wireless technologies, including Wi-Fi, Bluetooth, ZigBee, dual radio, and 5G, and other IoT edge capabilities.</w:t>
      </w:r>
    </w:p>
    <w:p>
      <w:pPr>
        <w:spacing w:after="0" w:line="49" w:lineRule="exact"/>
        <w:rPr>
          <w:rFonts w:ascii="Arial" w:cs="Arial" w:eastAsia="Arial" w:hAnsi="Arial"/>
          <w:sz w:val="16"/>
          <w:szCs w:val="16"/>
          <w:color w:val="32406B"/>
        </w:rPr>
      </w:pPr>
    </w:p>
    <w:p>
      <w:pPr>
        <w:ind w:left="1100"/>
        <w:spacing w:after="0"/>
        <w:rPr>
          <w:rFonts w:ascii="Arial" w:cs="Arial" w:eastAsia="Arial" w:hAnsi="Arial"/>
          <w:sz w:val="16"/>
          <w:szCs w:val="16"/>
          <w:color w:val="32406B"/>
        </w:rPr>
      </w:pPr>
      <w:r>
        <w:rPr>
          <w:rFonts w:ascii="Arial" w:cs="Arial" w:eastAsia="Arial" w:hAnsi="Arial"/>
          <w:sz w:val="18"/>
          <w:szCs w:val="18"/>
          <w:color w:val="32406B"/>
        </w:rPr>
        <w:t>The below screenshot illustrates how a developer leverages IoT PaaS to embed edge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168910</wp:posOffset>
            </wp:positionV>
            <wp:extent cx="4740275" cy="25971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4027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32406B"/>
        </w:rPr>
        <w:t>The edge capabilities we offer are all pre-coded and ready-to-use, giving our customers significantly faster time-to-market than writing the codes from scratch.</w:t>
      </w:r>
    </w:p>
    <w:p>
      <w:pPr>
        <w:spacing w:after="0" w:line="76" w:lineRule="exact"/>
        <w:rPr>
          <w:sz w:val="20"/>
          <w:szCs w:val="20"/>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32406B"/>
        </w:rPr>
      </w:pPr>
      <w:r>
        <w:rPr>
          <w:rFonts w:ascii="Arial" w:cs="Arial" w:eastAsia="Arial" w:hAnsi="Arial"/>
          <w:sz w:val="18"/>
          <w:szCs w:val="18"/>
          <w:b w:val="1"/>
          <w:bCs w:val="1"/>
          <w:i w:val="1"/>
          <w:iCs w:val="1"/>
          <w:color w:val="32406B"/>
        </w:rPr>
        <w:t>App development</w:t>
      </w:r>
      <w:r>
        <w:rPr>
          <w:rFonts w:ascii="Arial" w:cs="Arial" w:eastAsia="Arial" w:hAnsi="Arial"/>
          <w:sz w:val="18"/>
          <w:szCs w:val="18"/>
          <w:color w:val="32406B"/>
        </w:rPr>
        <w:t>. A powerful, easy-to-use app is key to a superior IoT experience. We offer “white label” apps with minimal modification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required to give customers the fastest time-to-market.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63" w:lineRule="auto"/>
        <w:rPr>
          <w:sz w:val="20"/>
          <w:szCs w:val="20"/>
          <w:color w:val="auto"/>
        </w:rPr>
      </w:pPr>
      <w:r>
        <w:rPr>
          <w:rFonts w:ascii="Arial" w:cs="Arial" w:eastAsia="Arial" w:hAnsi="Arial"/>
          <w:sz w:val="18"/>
          <w:szCs w:val="18"/>
          <w:color w:val="32406B"/>
        </w:rPr>
        <w:t>“one-app-for-all” approach enables end users to manage multiple devices, even those of different brands and categories, using one app only. Our customers may choose to engage us to design tailor-made apps or, in many more cases, customize the apps themselves or through third-party developers with simple-to-use developer tools that we offer.</w:t>
      </w:r>
    </w:p>
    <w:p>
      <w:pPr>
        <w:spacing w:after="0" w:line="76" w:lineRule="exact"/>
        <w:rPr>
          <w:sz w:val="20"/>
          <w:szCs w:val="20"/>
          <w:color w:val="auto"/>
        </w:rPr>
      </w:pPr>
    </w:p>
    <w:p>
      <w:pPr>
        <w:ind w:left="1100" w:right="520"/>
        <w:spacing w:after="0" w:line="277" w:lineRule="auto"/>
        <w:rPr>
          <w:sz w:val="20"/>
          <w:szCs w:val="20"/>
          <w:color w:val="auto"/>
        </w:rPr>
      </w:pPr>
      <w:r>
        <w:rPr>
          <w:rFonts w:ascii="Arial" w:cs="Arial" w:eastAsia="Arial" w:hAnsi="Arial"/>
          <w:sz w:val="18"/>
          <w:szCs w:val="18"/>
          <w:color w:val="32406B"/>
        </w:rPr>
        <w:t>The below screenshot showcases our “one-app-for-all” approach that enables end users to manage various functions and different categories of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134620</wp:posOffset>
            </wp:positionV>
            <wp:extent cx="4680585" cy="45434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680585"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0" w:hanging="532"/>
        <w:spacing w:after="0" w:line="257" w:lineRule="auto"/>
        <w:tabs>
          <w:tab w:leader="none" w:pos="1080" w:val="left"/>
        </w:tabs>
        <w:numPr>
          <w:ilvl w:val="0"/>
          <w:numId w:val="76"/>
        </w:numPr>
        <w:rPr>
          <w:rFonts w:ascii="Arial" w:cs="Arial" w:eastAsia="Arial" w:hAnsi="Arial"/>
          <w:sz w:val="18"/>
          <w:szCs w:val="18"/>
          <w:color w:val="32406B"/>
        </w:rPr>
      </w:pPr>
      <w:r>
        <w:rPr>
          <w:rFonts w:ascii="Arial" w:cs="Arial" w:eastAsia="Arial" w:hAnsi="Arial"/>
          <w:sz w:val="18"/>
          <w:szCs w:val="18"/>
          <w:b w:val="1"/>
          <w:bCs w:val="1"/>
          <w:i w:val="1"/>
          <w:iCs w:val="1"/>
          <w:color w:val="32406B"/>
        </w:rPr>
        <w:t>Device optimization solutions</w:t>
      </w:r>
      <w:r>
        <w:rPr>
          <w:rFonts w:ascii="Arial" w:cs="Arial" w:eastAsia="Arial" w:hAnsi="Arial"/>
          <w:sz w:val="18"/>
          <w:szCs w:val="18"/>
          <w:color w:val="32406B"/>
        </w:rPr>
        <w:t>. Even equipped with the edge capabilities, a device may not function well if the hardware is incompatible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with the software. We bridge this gap for customers by helping them optimize the design, manufacturing and configuration of Tuya-powered devices to ensure that the hardware and software integrate seamlessly to deliver the desired use cases and functionality. We also provide developers with a suite of analytics and debugging tools to help them independently identify root causes and troubleshoot problems.</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138</w:t>
      </w:r>
    </w:p>
    <w:p>
      <w:pPr>
        <w:sectPr>
          <w:pgSz w:w="11900" w:h="16838" w:orient="portrait"/>
          <w:cols w:equalWidth="0" w:num="1">
            <w:col w:w="10940"/>
          </w:cols>
          <w:pgMar w:left="320" w:top="459" w:right="6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Cloud-based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Complementary to our IoT PaaS, we also offer the following cloud-based services:</w:t>
      </w:r>
    </w:p>
    <w:p>
      <w:pPr>
        <w:spacing w:after="0" w:line="131" w:lineRule="exact"/>
        <w:rPr>
          <w:sz w:val="20"/>
          <w:szCs w:val="20"/>
          <w:color w:val="auto"/>
        </w:rPr>
      </w:pPr>
    </w:p>
    <w:p>
      <w:pPr>
        <w:ind w:left="1080" w:right="100" w:hanging="532"/>
        <w:spacing w:after="0" w:line="277" w:lineRule="auto"/>
        <w:tabs>
          <w:tab w:leader="none" w:pos="1080" w:val="left"/>
        </w:tabs>
        <w:numPr>
          <w:ilvl w:val="0"/>
          <w:numId w:val="77"/>
        </w:numPr>
        <w:rPr>
          <w:rFonts w:ascii="Arial" w:cs="Arial" w:eastAsia="Arial" w:hAnsi="Arial"/>
          <w:sz w:val="18"/>
          <w:szCs w:val="18"/>
          <w:color w:val="32406B"/>
        </w:rPr>
      </w:pPr>
      <w:r>
        <w:rPr>
          <w:rFonts w:ascii="Arial" w:cs="Arial" w:eastAsia="Arial" w:hAnsi="Arial"/>
          <w:sz w:val="18"/>
          <w:szCs w:val="18"/>
          <w:b w:val="1"/>
          <w:bCs w:val="1"/>
          <w:i w:val="1"/>
          <w:iCs w:val="1"/>
          <w:color w:val="32406B"/>
        </w:rPr>
        <w:t>AI-powered virtual assistants</w:t>
      </w:r>
      <w:r>
        <w:rPr>
          <w:rFonts w:ascii="Arial" w:cs="Arial" w:eastAsia="Arial" w:hAnsi="Arial"/>
          <w:sz w:val="18"/>
          <w:szCs w:val="18"/>
          <w:color w:val="32406B"/>
        </w:rPr>
        <w:t>. We enable our customers to quickly add voice control powered by Amazon’s Alexa, Google Assistant and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Samsung SmartThings to their devices.</w:t>
      </w:r>
    </w:p>
    <w:p>
      <w:pPr>
        <w:spacing w:after="0" w:line="75" w:lineRule="exact"/>
        <w:rPr>
          <w:rFonts w:ascii="Arial" w:cs="Arial" w:eastAsia="Arial" w:hAnsi="Arial"/>
          <w:sz w:val="18"/>
          <w:szCs w:val="18"/>
          <w:color w:val="32406B"/>
        </w:rPr>
      </w:pPr>
    </w:p>
    <w:p>
      <w:pPr>
        <w:ind w:left="1080" w:right="60" w:hanging="532"/>
        <w:spacing w:after="0" w:line="263" w:lineRule="auto"/>
        <w:tabs>
          <w:tab w:leader="none" w:pos="1080" w:val="left"/>
        </w:tabs>
        <w:numPr>
          <w:ilvl w:val="0"/>
          <w:numId w:val="77"/>
        </w:numPr>
        <w:rPr>
          <w:rFonts w:ascii="Arial" w:cs="Arial" w:eastAsia="Arial" w:hAnsi="Arial"/>
          <w:sz w:val="18"/>
          <w:szCs w:val="18"/>
          <w:color w:val="32406B"/>
        </w:rPr>
      </w:pPr>
      <w:r>
        <w:rPr>
          <w:rFonts w:ascii="Arial" w:cs="Arial" w:eastAsia="Arial" w:hAnsi="Arial"/>
          <w:sz w:val="18"/>
          <w:szCs w:val="18"/>
          <w:b w:val="1"/>
          <w:bCs w:val="1"/>
          <w:i w:val="1"/>
          <w:iCs w:val="1"/>
          <w:color w:val="32406B"/>
        </w:rPr>
        <w:t>Data analytics</w:t>
      </w:r>
      <w:r>
        <w:rPr>
          <w:rFonts w:ascii="Arial" w:cs="Arial" w:eastAsia="Arial" w:hAnsi="Arial"/>
          <w:sz w:val="18"/>
          <w:szCs w:val="18"/>
          <w:color w:val="32406B"/>
        </w:rPr>
        <w:t>. Our IoT PaaS leverages powerful AI and big data analytics to help customers collect, process, store and analyze extensive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device-level and app-level data, generating actionable insights that would have been impossible without our centralized cloud infrastructure.</w:t>
      </w:r>
    </w:p>
    <w:p>
      <w:pPr>
        <w:spacing w:after="0" w:line="89" w:lineRule="exact"/>
        <w:rPr>
          <w:rFonts w:ascii="Arial" w:cs="Arial" w:eastAsia="Arial" w:hAnsi="Arial"/>
          <w:sz w:val="18"/>
          <w:szCs w:val="18"/>
          <w:color w:val="32406B"/>
        </w:rPr>
      </w:pPr>
    </w:p>
    <w:p>
      <w:pPr>
        <w:ind w:left="1080" w:right="480" w:hanging="532"/>
        <w:spacing w:after="0" w:line="263" w:lineRule="auto"/>
        <w:tabs>
          <w:tab w:leader="none" w:pos="1080" w:val="left"/>
        </w:tabs>
        <w:numPr>
          <w:ilvl w:val="0"/>
          <w:numId w:val="77"/>
        </w:numPr>
        <w:rPr>
          <w:rFonts w:ascii="Arial" w:cs="Arial" w:eastAsia="Arial" w:hAnsi="Arial"/>
          <w:sz w:val="18"/>
          <w:szCs w:val="18"/>
          <w:color w:val="32406B"/>
        </w:rPr>
      </w:pPr>
      <w:r>
        <w:rPr>
          <w:rFonts w:ascii="Arial" w:cs="Arial" w:eastAsia="Arial" w:hAnsi="Arial"/>
          <w:sz w:val="18"/>
          <w:szCs w:val="18"/>
          <w:b w:val="1"/>
          <w:bCs w:val="1"/>
          <w:i w:val="1"/>
          <w:iCs w:val="1"/>
          <w:color w:val="32406B"/>
        </w:rPr>
        <w:t>Others</w:t>
      </w:r>
      <w:r>
        <w:rPr>
          <w:rFonts w:ascii="Arial" w:cs="Arial" w:eastAsia="Arial" w:hAnsi="Arial"/>
          <w:sz w:val="18"/>
          <w:szCs w:val="18"/>
          <w:color w:val="32406B"/>
        </w:rPr>
        <w:t>. In addition, we provide approximately 50 other ancillary value-added services, such as IP camera cloud storage service, app</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function expansion service, device testing, “Work with Alexa” certification, “ZigBee Alliance” certification, and joint research and development of innovative IoT applications, among other things.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32406B"/>
        </w:rPr>
        <w:t>The following flow chart illustrates how we connect and empower key stakeholders surrounding our IoT PaaS, i.e. brands (including retailers offering private-label smart devices), OEMs, and end users. For more information about the value-added services we provide to end users, see “—For End Users Using Smart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23660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9493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Smart Device Distribution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32406B"/>
        </w:rPr>
        <w:t>We believe the efficient distribution of Tuya-powered smart devices to target audiences is key to our long term competitive edge and sustainability. Over the years, we have built a robust in-house distribution network consisting of (i) Tuya Expo, a dedicated business-to-business, or B2B, platform connecting brands globally with an extensive network of OEMs, and (ii) Tuya Mall, an online platform that helps our customers to build their own online marketplace to sell and distribute smart devices. Tuya Expo is currently offered for free; for Tuya Mall, we offer a one-month free trial, after which we charge a small subscription fee based on the period of time such service is requested.</w:t>
      </w:r>
    </w:p>
    <w:p>
      <w:pPr>
        <w:spacing w:after="0" w:line="176"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32406B"/>
        </w:rPr>
        <w:t>Some of our customers, primarily brands and system integrators, prefer not to deal with multiple OEMs. These customers have the option to purchase directly from us finished smart devices deployed with IoT PaaS sourced from qualified OEMs. They typically place purchase orders directly with us by specifying the type of smart devices. We then source these products for these customers by engaging qualified partner OEMs based on the type of products, hardware specifications and other metrics. We earn the difference between the prices at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139</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32406B"/>
        </w:rPr>
        <w:t>which the products are sourced and sold. We believe there are continued demands in the market for this type of services, and we intend to continue to help our brand customers save time, cut costs, gain visibility into the supply chain and ensure an efficient distribution process by providing quality smart device distribution services.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 Business Customers Using Smart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Industry SaaS</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32406B"/>
        </w:rPr>
        <w:t>We offer Industry SaaS, vertical-focused software solutions that enable businesses to easily and securely deploy, connect, and manage large numbers and different types of smart devices. Just like how billions of people use apps to enjoy mobile technology, we design Industry SaaS as plug-and-play everyday tools for people to interact with and harness the power of IoT. Industry SaaS makes lives easier, healthier and more enjoyable, and drives efficiency, cost saving and productivity for businesses of all sizes across industries.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32406B"/>
        </w:rPr>
        <w:t>Our Industry SaaS is built to be brand-agnostic and is compatible with Tuya-powered devices across brands and categories. We believe this is the key reason our customers choose us over other IoT SaaS providers, especially those that only support certain brands exclusively. Industry SaaS customers are responsible for sourcing the smart devices themselves, from OEMs recommended by us or via other channels based on their own preferences.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32406B"/>
        </w:rPr>
        <w:t>We offer Industry SaaS to selected verticals with significant potential of monetizing our IoT capabilities. We also inspire and enable developers to push the boundary of Industry SaaS by creating more innovative applications and use cases.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Set out below are our Industry SaaS’s current and future offerings and some of the use cases they enable:</w:t>
      </w:r>
    </w:p>
    <w:p>
      <w:pPr>
        <w:spacing w:after="0" w:line="131" w:lineRule="exact"/>
        <w:rPr>
          <w:sz w:val="20"/>
          <w:szCs w:val="20"/>
          <w:color w:val="auto"/>
        </w:rPr>
      </w:pPr>
    </w:p>
    <w:p>
      <w:pPr>
        <w:ind w:left="1080" w:right="100" w:hanging="532"/>
        <w:spacing w:after="0" w:line="286" w:lineRule="auto"/>
        <w:tabs>
          <w:tab w:leader="none" w:pos="1080" w:val="left"/>
        </w:tabs>
        <w:numPr>
          <w:ilvl w:val="0"/>
          <w:numId w:val="78"/>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Smart Commercial Lighting SaaS solution </w:t>
      </w:r>
      <w:r>
        <w:rPr>
          <w:rFonts w:ascii="Arial" w:cs="Arial" w:eastAsia="Arial" w:hAnsi="Arial"/>
          <w:sz w:val="17"/>
          <w:szCs w:val="17"/>
          <w:color w:val="32406B"/>
        </w:rPr>
        <w:t>is a cloud-based one-stop solution specifically designed for the commercial lighting use cases</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to deliver convenience, better experience and energy saving. It includes a comprehensive set of functions ranging from device control to ergonomic lighting and green building management, as well as maintenance services and onsite trouble-shooting.</w:t>
      </w:r>
    </w:p>
    <w:p>
      <w:pPr>
        <w:spacing w:after="0" w:line="70" w:lineRule="exact"/>
        <w:rPr>
          <w:rFonts w:ascii="Arial" w:cs="Arial" w:eastAsia="Arial" w:hAnsi="Arial"/>
          <w:sz w:val="17"/>
          <w:szCs w:val="17"/>
          <w:color w:val="32406B"/>
        </w:rPr>
      </w:pPr>
    </w:p>
    <w:p>
      <w:pPr>
        <w:ind w:left="1540" w:right="180" w:hanging="439"/>
        <w:spacing w:after="0" w:line="259" w:lineRule="auto"/>
        <w:tabs>
          <w:tab w:leader="none" w:pos="1540" w:val="left"/>
        </w:tabs>
        <w:numPr>
          <w:ilvl w:val="1"/>
          <w:numId w:val="78"/>
        </w:numPr>
        <w:rPr>
          <w:rFonts w:ascii="Arial" w:cs="Arial" w:eastAsia="Arial" w:hAnsi="Arial"/>
          <w:sz w:val="18"/>
          <w:szCs w:val="18"/>
          <w:color w:val="32406B"/>
        </w:rPr>
      </w:pPr>
      <w:r>
        <w:rPr>
          <w:rFonts w:ascii="Arial" w:cs="Arial" w:eastAsia="Arial" w:hAnsi="Arial"/>
          <w:sz w:val="18"/>
          <w:szCs w:val="18"/>
          <w:i w:val="1"/>
          <w:iCs w:val="1"/>
          <w:color w:val="32406B"/>
        </w:rPr>
        <w:t>Smart commercial lighting</w:t>
      </w:r>
      <w:r>
        <w:rPr>
          <w:rFonts w:ascii="Arial" w:cs="Arial" w:eastAsia="Arial" w:hAnsi="Arial"/>
          <w:sz w:val="18"/>
          <w:szCs w:val="18"/>
          <w:color w:val="32406B"/>
        </w:rPr>
        <w:t>—puts property owners or managers in total control of all their devices and all the data generated via an</w:t>
      </w:r>
      <w:r>
        <w:rPr>
          <w:rFonts w:ascii="Arial" w:cs="Arial" w:eastAsia="Arial" w:hAnsi="Arial"/>
          <w:sz w:val="18"/>
          <w:szCs w:val="18"/>
          <w:i w:val="1"/>
          <w:iCs w:val="1"/>
          <w:color w:val="32406B"/>
        </w:rPr>
        <w:t xml:space="preserve"> </w:t>
      </w:r>
      <w:r>
        <w:rPr>
          <w:rFonts w:ascii="Arial" w:cs="Arial" w:eastAsia="Arial" w:hAnsi="Arial"/>
          <w:sz w:val="18"/>
          <w:szCs w:val="18"/>
          <w:color w:val="32406B"/>
        </w:rPr>
        <w:t>easy-to-use dashboard and data interface. Through a map of the lighting layout, property owners or managers can easily view and monitor all devices and maintenance needs through built-in reporting and analytics. This will, in turn, allow them to implement strategies to reduce energy and maintenance costs.</w:t>
      </w:r>
    </w:p>
    <w:p>
      <w:pPr>
        <w:spacing w:after="0" w:line="92" w:lineRule="exact"/>
        <w:rPr>
          <w:rFonts w:ascii="Arial" w:cs="Arial" w:eastAsia="Arial" w:hAnsi="Arial"/>
          <w:sz w:val="18"/>
          <w:szCs w:val="18"/>
          <w:color w:val="32406B"/>
        </w:rPr>
      </w:pPr>
    </w:p>
    <w:p>
      <w:pPr>
        <w:ind w:left="1540" w:hanging="439"/>
        <w:spacing w:after="0" w:line="277" w:lineRule="auto"/>
        <w:tabs>
          <w:tab w:leader="none" w:pos="1540" w:val="left"/>
        </w:tabs>
        <w:numPr>
          <w:ilvl w:val="1"/>
          <w:numId w:val="78"/>
        </w:numPr>
        <w:rPr>
          <w:rFonts w:ascii="Arial" w:cs="Arial" w:eastAsia="Arial" w:hAnsi="Arial"/>
          <w:sz w:val="18"/>
          <w:szCs w:val="18"/>
          <w:color w:val="32406B"/>
        </w:rPr>
      </w:pPr>
      <w:r>
        <w:rPr>
          <w:rFonts w:ascii="Arial" w:cs="Arial" w:eastAsia="Arial" w:hAnsi="Arial"/>
          <w:sz w:val="18"/>
          <w:szCs w:val="18"/>
          <w:i w:val="1"/>
          <w:iCs w:val="1"/>
          <w:color w:val="32406B"/>
        </w:rPr>
        <w:t>Human centric lighting—</w:t>
      </w:r>
      <w:r>
        <w:rPr>
          <w:rFonts w:ascii="Arial" w:cs="Arial" w:eastAsia="Arial" w:hAnsi="Arial"/>
          <w:sz w:val="18"/>
          <w:szCs w:val="18"/>
          <w:color w:val="32406B"/>
        </w:rPr>
        <w:t>brings the natural changes of light intensity and color temperature indoors by using artificial light to imitate</w:t>
      </w:r>
      <w:r>
        <w:rPr>
          <w:rFonts w:ascii="Arial" w:cs="Arial" w:eastAsia="Arial" w:hAnsi="Arial"/>
          <w:sz w:val="18"/>
          <w:szCs w:val="18"/>
          <w:i w:val="1"/>
          <w:iCs w:val="1"/>
          <w:color w:val="32406B"/>
        </w:rPr>
        <w:t xml:space="preserve"> </w:t>
      </w:r>
      <w:r>
        <w:rPr>
          <w:rFonts w:ascii="Arial" w:cs="Arial" w:eastAsia="Arial" w:hAnsi="Arial"/>
          <w:sz w:val="18"/>
          <w:szCs w:val="18"/>
          <w:color w:val="32406B"/>
        </w:rPr>
        <w:t>natural light, which provides optimized work and living environments.</w:t>
      </w:r>
    </w:p>
    <w:p>
      <w:pPr>
        <w:spacing w:after="0" w:line="75" w:lineRule="exact"/>
        <w:rPr>
          <w:rFonts w:ascii="Arial" w:cs="Arial" w:eastAsia="Arial" w:hAnsi="Arial"/>
          <w:sz w:val="18"/>
          <w:szCs w:val="18"/>
          <w:color w:val="32406B"/>
        </w:rPr>
      </w:pPr>
    </w:p>
    <w:p>
      <w:pPr>
        <w:ind w:left="1080" w:right="320" w:hanging="532"/>
        <w:spacing w:after="0" w:line="277" w:lineRule="auto"/>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Smart Hotel SaaS solution </w:t>
      </w:r>
      <w:r>
        <w:rPr>
          <w:rFonts w:ascii="Arial" w:cs="Arial" w:eastAsia="Arial" w:hAnsi="Arial"/>
          <w:sz w:val="18"/>
          <w:szCs w:val="18"/>
          <w:color w:val="32406B"/>
        </w:rPr>
        <w:t>is a full-featured management solution for hotels and resorts, designed to not only provide convenience for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hotel guests, but also drive automation, efficiency and responsiveness for the hospitality industry.</w:t>
      </w:r>
    </w:p>
    <w:p>
      <w:pPr>
        <w:spacing w:after="0" w:line="75" w:lineRule="exact"/>
        <w:rPr>
          <w:rFonts w:ascii="Arial" w:cs="Arial" w:eastAsia="Arial" w:hAnsi="Arial"/>
          <w:sz w:val="18"/>
          <w:szCs w:val="18"/>
          <w:color w:val="32406B"/>
        </w:rPr>
      </w:pPr>
    </w:p>
    <w:p>
      <w:pPr>
        <w:ind w:left="1540" w:right="240" w:hanging="439"/>
        <w:spacing w:after="0" w:line="277" w:lineRule="auto"/>
        <w:tabs>
          <w:tab w:leader="none" w:pos="1540" w:val="left"/>
        </w:tabs>
        <w:numPr>
          <w:ilvl w:val="1"/>
          <w:numId w:val="78"/>
        </w:numPr>
        <w:rPr>
          <w:rFonts w:ascii="Arial" w:cs="Arial" w:eastAsia="Arial" w:hAnsi="Arial"/>
          <w:sz w:val="18"/>
          <w:szCs w:val="18"/>
          <w:color w:val="32406B"/>
        </w:rPr>
      </w:pPr>
      <w:r>
        <w:rPr>
          <w:rFonts w:ascii="Arial" w:cs="Arial" w:eastAsia="Arial" w:hAnsi="Arial"/>
          <w:sz w:val="18"/>
          <w:szCs w:val="18"/>
          <w:color w:val="32406B"/>
        </w:rPr>
        <w:t>Our Smart Hotel SaaS solution allows the management to monitor different aspects of hotel services, such as housekeeping, guest traffic control, property surveillance and maintenance, from a single control point.</w:t>
      </w:r>
    </w:p>
    <w:p>
      <w:pPr>
        <w:spacing w:after="0" w:line="75" w:lineRule="exact"/>
        <w:rPr>
          <w:rFonts w:ascii="Arial" w:cs="Arial" w:eastAsia="Arial" w:hAnsi="Arial"/>
          <w:sz w:val="18"/>
          <w:szCs w:val="18"/>
          <w:color w:val="32406B"/>
        </w:rPr>
      </w:pPr>
    </w:p>
    <w:p>
      <w:pPr>
        <w:ind w:left="1540" w:right="440" w:hanging="439"/>
        <w:spacing w:after="0" w:line="277" w:lineRule="auto"/>
        <w:tabs>
          <w:tab w:leader="none" w:pos="1540" w:val="left"/>
        </w:tabs>
        <w:numPr>
          <w:ilvl w:val="1"/>
          <w:numId w:val="78"/>
        </w:numPr>
        <w:rPr>
          <w:rFonts w:ascii="Arial" w:cs="Arial" w:eastAsia="Arial" w:hAnsi="Arial"/>
          <w:sz w:val="18"/>
          <w:szCs w:val="18"/>
          <w:color w:val="32406B"/>
        </w:rPr>
      </w:pPr>
      <w:r>
        <w:rPr>
          <w:rFonts w:ascii="Arial" w:cs="Arial" w:eastAsia="Arial" w:hAnsi="Arial"/>
          <w:sz w:val="18"/>
          <w:szCs w:val="18"/>
          <w:color w:val="32406B"/>
        </w:rPr>
        <w:t>Guests staying at a hotel utilizing our smart hotel app can adjust the heating, cooling and lighting in a room to personalize their surroundings, without having to adjust every individual device.</w:t>
      </w:r>
    </w:p>
    <w:p>
      <w:pPr>
        <w:spacing w:after="0" w:line="75" w:lineRule="exact"/>
        <w:rPr>
          <w:rFonts w:ascii="Arial" w:cs="Arial" w:eastAsia="Arial" w:hAnsi="Arial"/>
          <w:sz w:val="18"/>
          <w:szCs w:val="18"/>
          <w:color w:val="32406B"/>
        </w:rPr>
      </w:pPr>
    </w:p>
    <w:p>
      <w:pPr>
        <w:ind w:left="1540" w:right="520" w:hanging="439"/>
        <w:spacing w:after="0" w:line="277" w:lineRule="auto"/>
        <w:tabs>
          <w:tab w:leader="none" w:pos="1540" w:val="left"/>
        </w:tabs>
        <w:numPr>
          <w:ilvl w:val="1"/>
          <w:numId w:val="78"/>
        </w:numPr>
        <w:rPr>
          <w:rFonts w:ascii="Arial" w:cs="Arial" w:eastAsia="Arial" w:hAnsi="Arial"/>
          <w:sz w:val="18"/>
          <w:szCs w:val="18"/>
          <w:color w:val="32406B"/>
        </w:rPr>
      </w:pPr>
      <w:r>
        <w:rPr>
          <w:rFonts w:ascii="Arial" w:cs="Arial" w:eastAsia="Arial" w:hAnsi="Arial"/>
          <w:sz w:val="18"/>
          <w:szCs w:val="18"/>
          <w:color w:val="32406B"/>
        </w:rPr>
        <w:t>Hotels are able to save on utilities bills by taking advantage of human activity detection-based lighting and air conditioning in common areas and guest rooms.</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Smart Consumer Security SaaS solution </w:t>
      </w:r>
      <w:r>
        <w:rPr>
          <w:rFonts w:ascii="Arial" w:cs="Arial" w:eastAsia="Arial" w:hAnsi="Arial"/>
          <w:sz w:val="18"/>
          <w:szCs w:val="18"/>
          <w:color w:val="32406B"/>
        </w:rPr>
        <w:t>allows home and business owners to monitor multiple smart customer security devices, including</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door and window sensors and motion detectors, to enhance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342" w:lineRule="auto"/>
        <w:rPr>
          <w:sz w:val="20"/>
          <w:szCs w:val="20"/>
          <w:color w:val="auto"/>
        </w:rPr>
      </w:pPr>
      <w:r>
        <w:rPr>
          <w:rFonts w:ascii="Arial" w:cs="Arial" w:eastAsia="Arial" w:hAnsi="Arial"/>
          <w:sz w:val="16"/>
          <w:szCs w:val="16"/>
          <w:color w:val="32406B"/>
        </w:rPr>
        <w:t>security and provide better control over their properties. It can be customized easily to address the security and safety needs of campuses, residential buildings, healthcare facilities and a range of other commercial and industrial sectors and use cases, such as:</w:t>
      </w:r>
    </w:p>
    <w:p>
      <w:pPr>
        <w:spacing w:after="0" w:line="29" w:lineRule="exact"/>
        <w:rPr>
          <w:sz w:val="20"/>
          <w:szCs w:val="20"/>
          <w:color w:val="auto"/>
        </w:rPr>
      </w:pPr>
    </w:p>
    <w:p>
      <w:pPr>
        <w:jc w:val="both"/>
        <w:ind w:left="1540" w:right="180" w:hanging="439"/>
        <w:spacing w:after="0" w:line="342" w:lineRule="auto"/>
        <w:tabs>
          <w:tab w:leader="none" w:pos="1540" w:val="left"/>
        </w:tabs>
        <w:numPr>
          <w:ilvl w:val="1"/>
          <w:numId w:val="79"/>
        </w:numPr>
        <w:rPr>
          <w:rFonts w:ascii="Arial" w:cs="Arial" w:eastAsia="Arial" w:hAnsi="Arial"/>
          <w:sz w:val="16"/>
          <w:szCs w:val="16"/>
          <w:color w:val="32406B"/>
        </w:rPr>
      </w:pPr>
      <w:r>
        <w:rPr>
          <w:rFonts w:ascii="Arial" w:cs="Arial" w:eastAsia="Arial" w:hAnsi="Arial"/>
          <w:sz w:val="16"/>
          <w:szCs w:val="16"/>
          <w:i w:val="1"/>
          <w:iCs w:val="1"/>
          <w:color w:val="32406B"/>
        </w:rPr>
        <w:t>Geo-fencing</w:t>
      </w:r>
      <w:r>
        <w:rPr>
          <w:rFonts w:ascii="Arial" w:cs="Arial" w:eastAsia="Arial" w:hAnsi="Arial"/>
          <w:sz w:val="16"/>
          <w:szCs w:val="16"/>
          <w:color w:val="32406B"/>
        </w:rPr>
        <w:t>—a feature that utilizes location information of user’s smartphones to trigger certain actions. As a user comes near his</w:t>
      </w:r>
      <w:r>
        <w:rPr>
          <w:rFonts w:ascii="Arial" w:cs="Arial" w:eastAsia="Arial" w:hAnsi="Arial"/>
          <w:sz w:val="16"/>
          <w:szCs w:val="16"/>
          <w:i w:val="1"/>
          <w:iCs w:val="1"/>
          <w:color w:val="32406B"/>
        </w:rPr>
        <w:t xml:space="preserve"> </w:t>
      </w:r>
      <w:r>
        <w:rPr>
          <w:rFonts w:ascii="Arial" w:cs="Arial" w:eastAsia="Arial" w:hAnsi="Arial"/>
          <w:sz w:val="16"/>
          <w:szCs w:val="16"/>
          <w:color w:val="32406B"/>
        </w:rPr>
        <w:t>parking lot, the smart consumer security system can sense that he is close to home, and switches on the lighting for the front door.</w:t>
      </w:r>
    </w:p>
    <w:p>
      <w:pPr>
        <w:spacing w:after="0" w:line="29" w:lineRule="exact"/>
        <w:rPr>
          <w:rFonts w:ascii="Arial" w:cs="Arial" w:eastAsia="Arial" w:hAnsi="Arial"/>
          <w:sz w:val="16"/>
          <w:szCs w:val="16"/>
          <w:color w:val="32406B"/>
        </w:rPr>
      </w:pPr>
    </w:p>
    <w:p>
      <w:pPr>
        <w:ind w:left="1540" w:right="80" w:hanging="439"/>
        <w:spacing w:after="0" w:line="277" w:lineRule="auto"/>
        <w:tabs>
          <w:tab w:leader="none" w:pos="1540" w:val="left"/>
        </w:tabs>
        <w:numPr>
          <w:ilvl w:val="1"/>
          <w:numId w:val="79"/>
        </w:numPr>
        <w:rPr>
          <w:rFonts w:ascii="Arial" w:cs="Arial" w:eastAsia="Arial" w:hAnsi="Arial"/>
          <w:sz w:val="18"/>
          <w:szCs w:val="18"/>
          <w:color w:val="32406B"/>
        </w:rPr>
      </w:pPr>
      <w:r>
        <w:rPr>
          <w:rFonts w:ascii="Arial" w:cs="Arial" w:eastAsia="Arial" w:hAnsi="Arial"/>
          <w:sz w:val="18"/>
          <w:szCs w:val="18"/>
          <w:i w:val="1"/>
          <w:iCs w:val="1"/>
          <w:color w:val="32406B"/>
        </w:rPr>
        <w:t>Web portal for alerts</w:t>
      </w:r>
      <w:r>
        <w:rPr>
          <w:rFonts w:ascii="Arial" w:cs="Arial" w:eastAsia="Arial" w:hAnsi="Arial"/>
          <w:sz w:val="18"/>
          <w:szCs w:val="18"/>
          <w:color w:val="32406B"/>
        </w:rPr>
        <w:t>—our smart consumer security software transforms standard monitoring into intelligent and effective detection</w:t>
      </w:r>
      <w:r>
        <w:rPr>
          <w:rFonts w:ascii="Arial" w:cs="Arial" w:eastAsia="Arial" w:hAnsi="Arial"/>
          <w:sz w:val="18"/>
          <w:szCs w:val="18"/>
          <w:i w:val="1"/>
          <w:iCs w:val="1"/>
          <w:color w:val="32406B"/>
        </w:rPr>
        <w:t xml:space="preserve"> </w:t>
      </w:r>
      <w:r>
        <w:rPr>
          <w:rFonts w:ascii="Arial" w:cs="Arial" w:eastAsia="Arial" w:hAnsi="Arial"/>
          <w:sz w:val="18"/>
          <w:szCs w:val="18"/>
          <w:color w:val="32406B"/>
        </w:rPr>
        <w:t>and alert system, allowing users to receive status updates or alerts via their mobile phones.</w:t>
      </w:r>
    </w:p>
    <w:p>
      <w:pPr>
        <w:spacing w:after="0" w:line="75" w:lineRule="exact"/>
        <w:rPr>
          <w:rFonts w:ascii="Arial" w:cs="Arial" w:eastAsia="Arial" w:hAnsi="Arial"/>
          <w:sz w:val="18"/>
          <w:szCs w:val="18"/>
          <w:color w:val="32406B"/>
        </w:rPr>
      </w:pPr>
    </w:p>
    <w:p>
      <w:pPr>
        <w:ind w:left="1080" w:right="60" w:hanging="532"/>
        <w:spacing w:after="0" w:line="259" w:lineRule="auto"/>
        <w:tabs>
          <w:tab w:leader="none" w:pos="1080" w:val="left"/>
        </w:tabs>
        <w:numPr>
          <w:ilvl w:val="0"/>
          <w:numId w:val="79"/>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Smart Apartment SaaS solution </w:t>
      </w:r>
      <w:r>
        <w:rPr>
          <w:rFonts w:ascii="Arial" w:cs="Arial" w:eastAsia="Arial" w:hAnsi="Arial"/>
          <w:sz w:val="18"/>
          <w:szCs w:val="18"/>
          <w:color w:val="32406B"/>
        </w:rPr>
        <w:t>offers a comprehensive toolkit for landlords and rental apartment operators to seamlessly connect smart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door locks, sockets and other smart devices to increase the value of their properties and make them easier to manage. It is compatible with all mainstream property management systems, or PMS, as well as customers’ own systems purpose-built for a wide range of use cases, including campuses, offices and other commercial facilities.</w:t>
      </w:r>
    </w:p>
    <w:p>
      <w:pPr>
        <w:spacing w:after="0" w:line="92" w:lineRule="exact"/>
        <w:rPr>
          <w:rFonts w:ascii="Arial" w:cs="Arial" w:eastAsia="Arial" w:hAnsi="Arial"/>
          <w:sz w:val="18"/>
          <w:szCs w:val="18"/>
          <w:color w:val="32406B"/>
        </w:rPr>
      </w:pPr>
    </w:p>
    <w:p>
      <w:pPr>
        <w:ind w:left="1540" w:hanging="439"/>
        <w:spacing w:after="0" w:line="277" w:lineRule="auto"/>
        <w:tabs>
          <w:tab w:leader="none" w:pos="1540" w:val="left"/>
        </w:tabs>
        <w:numPr>
          <w:ilvl w:val="1"/>
          <w:numId w:val="79"/>
        </w:numPr>
        <w:rPr>
          <w:rFonts w:ascii="Arial" w:cs="Arial" w:eastAsia="Arial" w:hAnsi="Arial"/>
          <w:sz w:val="18"/>
          <w:szCs w:val="18"/>
          <w:color w:val="32406B"/>
        </w:rPr>
      </w:pPr>
      <w:r>
        <w:rPr>
          <w:rFonts w:ascii="Arial" w:cs="Arial" w:eastAsia="Arial" w:hAnsi="Arial"/>
          <w:sz w:val="18"/>
          <w:szCs w:val="18"/>
          <w:color w:val="32406B"/>
        </w:rPr>
        <w:t>The resident experience—a resident can monitor energy and utilities usage, create simple one-click actions to streamline her routines or create access credentials for all her guests.</w:t>
      </w:r>
    </w:p>
    <w:p>
      <w:pPr>
        <w:spacing w:after="0" w:line="75" w:lineRule="exact"/>
        <w:rPr>
          <w:rFonts w:ascii="Arial" w:cs="Arial" w:eastAsia="Arial" w:hAnsi="Arial"/>
          <w:sz w:val="18"/>
          <w:szCs w:val="18"/>
          <w:color w:val="32406B"/>
        </w:rPr>
      </w:pPr>
    </w:p>
    <w:p>
      <w:pPr>
        <w:ind w:left="1540" w:right="40" w:hanging="439"/>
        <w:spacing w:after="0" w:line="308" w:lineRule="auto"/>
        <w:tabs>
          <w:tab w:leader="none" w:pos="1540" w:val="left"/>
        </w:tabs>
        <w:numPr>
          <w:ilvl w:val="1"/>
          <w:numId w:val="79"/>
        </w:numPr>
        <w:rPr>
          <w:rFonts w:ascii="Arial" w:cs="Arial" w:eastAsia="Arial" w:hAnsi="Arial"/>
          <w:sz w:val="17"/>
          <w:szCs w:val="17"/>
          <w:color w:val="32406B"/>
        </w:rPr>
      </w:pPr>
      <w:r>
        <w:rPr>
          <w:rFonts w:ascii="Arial" w:cs="Arial" w:eastAsia="Arial" w:hAnsi="Arial"/>
          <w:sz w:val="17"/>
          <w:szCs w:val="17"/>
          <w:color w:val="32406B"/>
        </w:rPr>
        <w:t>The rental property management experience—an apartment manager can detect water leakage through our smart apartment software as soon as it happens and immediately alerted the construction team to prevent the leaks from spreading.</w:t>
      </w:r>
    </w:p>
    <w:p>
      <w:pPr>
        <w:spacing w:after="0" w:line="51" w:lineRule="exact"/>
        <w:rPr>
          <w:rFonts w:ascii="Arial" w:cs="Arial" w:eastAsia="Arial" w:hAnsi="Arial"/>
          <w:sz w:val="17"/>
          <w:szCs w:val="17"/>
          <w:color w:val="32406B"/>
        </w:rPr>
      </w:pPr>
    </w:p>
    <w:p>
      <w:pPr>
        <w:ind w:left="1080" w:right="100" w:hanging="532"/>
        <w:spacing w:after="0" w:line="259" w:lineRule="auto"/>
        <w:tabs>
          <w:tab w:leader="none" w:pos="1080" w:val="left"/>
        </w:tabs>
        <w:numPr>
          <w:ilvl w:val="0"/>
          <w:numId w:val="79"/>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Smart Community and Real Estate SaaS solution </w:t>
      </w:r>
      <w:r>
        <w:rPr>
          <w:rFonts w:ascii="Arial" w:cs="Arial" w:eastAsia="Arial" w:hAnsi="Arial"/>
          <w:sz w:val="18"/>
          <w:szCs w:val="18"/>
          <w:color w:val="32406B"/>
        </w:rPr>
        <w:t>digitalizes, streamlines and automates every aspect of residential housing and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residential community management via IoT. From home automation to elderly care and neighborhood safety, it provides real estate developers and property management companies a unified, interoperable portal to connect and manage large numbers of smart devices on the premises.</w:t>
      </w:r>
    </w:p>
    <w:p>
      <w:pPr>
        <w:spacing w:after="0" w:line="92" w:lineRule="exact"/>
        <w:rPr>
          <w:rFonts w:ascii="Arial" w:cs="Arial" w:eastAsia="Arial" w:hAnsi="Arial"/>
          <w:sz w:val="18"/>
          <w:szCs w:val="18"/>
          <w:color w:val="32406B"/>
        </w:rPr>
      </w:pPr>
    </w:p>
    <w:p>
      <w:pPr>
        <w:ind w:left="1540" w:right="160" w:hanging="439"/>
        <w:spacing w:after="0" w:line="277" w:lineRule="auto"/>
        <w:tabs>
          <w:tab w:leader="none" w:pos="1540" w:val="left"/>
        </w:tabs>
        <w:numPr>
          <w:ilvl w:val="1"/>
          <w:numId w:val="79"/>
        </w:numPr>
        <w:rPr>
          <w:rFonts w:ascii="Arial" w:cs="Arial" w:eastAsia="Arial" w:hAnsi="Arial"/>
          <w:sz w:val="18"/>
          <w:szCs w:val="18"/>
          <w:color w:val="32406B"/>
        </w:rPr>
      </w:pPr>
      <w:r>
        <w:rPr>
          <w:rFonts w:ascii="Arial" w:cs="Arial" w:eastAsia="Arial" w:hAnsi="Arial"/>
          <w:sz w:val="18"/>
          <w:szCs w:val="18"/>
          <w:color w:val="32406B"/>
        </w:rPr>
        <w:t>Not only are daily maintenance tasks made more convenient, our Smart Community and Real Estate SaaS solution also transforms neighborhoods into vibrant socio-economic communities that offer a better quality of life for all.</w:t>
      </w:r>
    </w:p>
    <w:p>
      <w:pPr>
        <w:spacing w:after="0" w:line="75" w:lineRule="exact"/>
        <w:rPr>
          <w:rFonts w:ascii="Arial" w:cs="Arial" w:eastAsia="Arial" w:hAnsi="Arial"/>
          <w:sz w:val="18"/>
          <w:szCs w:val="18"/>
          <w:color w:val="32406B"/>
        </w:rPr>
      </w:pPr>
    </w:p>
    <w:p>
      <w:pPr>
        <w:ind w:left="1540" w:hanging="439"/>
        <w:spacing w:after="0" w:line="263" w:lineRule="auto"/>
        <w:tabs>
          <w:tab w:leader="none" w:pos="1540" w:val="left"/>
        </w:tabs>
        <w:numPr>
          <w:ilvl w:val="1"/>
          <w:numId w:val="79"/>
        </w:numPr>
        <w:rPr>
          <w:rFonts w:ascii="Arial" w:cs="Arial" w:eastAsia="Arial" w:hAnsi="Arial"/>
          <w:sz w:val="18"/>
          <w:szCs w:val="18"/>
          <w:color w:val="32406B"/>
        </w:rPr>
      </w:pPr>
      <w:r>
        <w:rPr>
          <w:rFonts w:ascii="Arial" w:cs="Arial" w:eastAsia="Arial" w:hAnsi="Arial"/>
          <w:sz w:val="18"/>
          <w:szCs w:val="18"/>
          <w:color w:val="32406B"/>
        </w:rPr>
        <w:t>Resident stickiness is improved through cloud-based connectivity. By studying residents’ habits, such as the frequency they change their water filters, property management companies are better suited to staying on top of resident trends, adapting to those trends and therefore making living spaces more desirable and improving their services.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32406B"/>
        </w:rPr>
        <w:t>We primarily market our Industry SaaS to system integrators and also sell directly to individual industry operators, such as hotel or property managers. We mainly target large, established organizations with leading positions in their respective verticals and geographies, so that we can leverage their industry expertise and existing customer bases to quickly gain market shares and build brand awareness.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 End Users Using Smart Devices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32406B"/>
        </w:rPr>
        <w:t>We want to make Tuya part of people’s everyday life and make their IoT experience seamless. Since our inception, we have allowed end users to connect to our IoT cloud platform to access a wide variety of basic cloud-based services, such as receiving app updates, for free. We also give end users the option to pay a fee to access a curated suite of cloud-based value-added services:</w:t>
      </w:r>
    </w:p>
    <w:p>
      <w:pPr>
        <w:spacing w:after="0" w:line="89" w:lineRule="exact"/>
        <w:rPr>
          <w:sz w:val="20"/>
          <w:szCs w:val="20"/>
          <w:color w:val="auto"/>
        </w:rPr>
      </w:pPr>
    </w:p>
    <w:p>
      <w:pPr>
        <w:ind w:left="1080" w:right="580" w:hanging="532"/>
        <w:spacing w:after="0" w:line="277" w:lineRule="auto"/>
        <w:tabs>
          <w:tab w:leader="none" w:pos="1080" w:val="left"/>
        </w:tabs>
        <w:numPr>
          <w:ilvl w:val="0"/>
          <w:numId w:val="80"/>
        </w:numPr>
        <w:rPr>
          <w:rFonts w:ascii="Arial" w:cs="Arial" w:eastAsia="Arial" w:hAnsi="Arial"/>
          <w:sz w:val="18"/>
          <w:szCs w:val="18"/>
          <w:color w:val="32406B"/>
        </w:rPr>
      </w:pPr>
      <w:r>
        <w:rPr>
          <w:rFonts w:ascii="Arial" w:cs="Arial" w:eastAsia="Arial" w:hAnsi="Arial"/>
          <w:sz w:val="18"/>
          <w:szCs w:val="18"/>
          <w:i w:val="1"/>
          <w:iCs w:val="1"/>
          <w:color w:val="32406B"/>
        </w:rPr>
        <w:t>IoT data storage</w:t>
      </w:r>
      <w:r>
        <w:rPr>
          <w:rFonts w:ascii="Arial" w:cs="Arial" w:eastAsia="Arial" w:hAnsi="Arial"/>
          <w:sz w:val="18"/>
          <w:szCs w:val="18"/>
          <w:color w:val="32406B"/>
        </w:rPr>
        <w:t>—users can save their device usage, such as IP camera data, and other data to the cloud that’s accessible and sync-able across multiple devices;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0"/>
        </w:numPr>
        <w:rPr>
          <w:rFonts w:ascii="Arial" w:cs="Arial" w:eastAsia="Arial" w:hAnsi="Arial"/>
          <w:sz w:val="18"/>
          <w:szCs w:val="18"/>
          <w:color w:val="32406B"/>
        </w:rPr>
      </w:pPr>
      <w:r>
        <w:rPr>
          <w:rFonts w:ascii="Arial" w:cs="Arial" w:eastAsia="Arial" w:hAnsi="Arial"/>
          <w:sz w:val="18"/>
          <w:szCs w:val="18"/>
          <w:i w:val="1"/>
          <w:iCs w:val="1"/>
          <w:color w:val="32406B"/>
        </w:rPr>
        <w:t>Push messaging</w:t>
      </w:r>
      <w:r>
        <w:rPr>
          <w:rFonts w:ascii="Arial" w:cs="Arial" w:eastAsia="Arial" w:hAnsi="Arial"/>
          <w:sz w:val="18"/>
          <w:szCs w:val="18"/>
          <w:color w:val="32406B"/>
        </w:rPr>
        <w:t>—sends users SMS text messages when a specific event (e.g., fire alarm going off) happens;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141</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20" w:hanging="532"/>
        <w:spacing w:after="0" w:line="277" w:lineRule="auto"/>
        <w:tabs>
          <w:tab w:leader="none" w:pos="1080" w:val="left"/>
        </w:tabs>
        <w:numPr>
          <w:ilvl w:val="0"/>
          <w:numId w:val="81"/>
        </w:numPr>
        <w:rPr>
          <w:rFonts w:ascii="Arial" w:cs="Arial" w:eastAsia="Arial" w:hAnsi="Arial"/>
          <w:sz w:val="18"/>
          <w:szCs w:val="18"/>
          <w:color w:val="32406B"/>
        </w:rPr>
      </w:pPr>
      <w:r>
        <w:rPr>
          <w:rFonts w:ascii="Arial" w:cs="Arial" w:eastAsia="Arial" w:hAnsi="Arial"/>
          <w:sz w:val="18"/>
          <w:szCs w:val="18"/>
          <w:i w:val="1"/>
          <w:iCs w:val="1"/>
          <w:color w:val="32406B"/>
        </w:rPr>
        <w:t>Content</w:t>
      </w:r>
      <w:r>
        <w:rPr>
          <w:rFonts w:ascii="Arial" w:cs="Arial" w:eastAsia="Arial" w:hAnsi="Arial"/>
          <w:sz w:val="18"/>
          <w:szCs w:val="18"/>
          <w:color w:val="32406B"/>
        </w:rPr>
        <w:t>—a wide and well-curated library of digital content that enhances users’ IoT experience, such as music, podcasts and even a</w:t>
      </w:r>
      <w:r>
        <w:rPr>
          <w:rFonts w:ascii="Arial" w:cs="Arial" w:eastAsia="Arial" w:hAnsi="Arial"/>
          <w:sz w:val="18"/>
          <w:szCs w:val="18"/>
          <w:i w:val="1"/>
          <w:iCs w:val="1"/>
          <w:color w:val="32406B"/>
        </w:rPr>
        <w:t xml:space="preserve"> </w:t>
      </w:r>
      <w:r>
        <w:rPr>
          <w:rFonts w:ascii="Arial" w:cs="Arial" w:eastAsia="Arial" w:hAnsi="Arial"/>
          <w:sz w:val="18"/>
          <w:szCs w:val="18"/>
          <w:color w:val="32406B"/>
        </w:rPr>
        <w:t>bedtime story that users can ask their Tuya-powered virtual assistant to tell for their kids.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32406B"/>
        </w:rPr>
        <w:t>As we gain more insights about customer demands through their feedback, we will continue to roll out additional value-added services for end users, aiming to provide an engaging and continuously improved customer experience.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Tuya IoT Cloud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IoT platform and product offerings are supported by Tuya IoT Cloud infrastructure, our unified underlying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168910</wp:posOffset>
            </wp:positionV>
            <wp:extent cx="5048885" cy="28117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4888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80" w:right="40" w:hanging="532"/>
        <w:spacing w:after="0" w:line="311" w:lineRule="auto"/>
        <w:tabs>
          <w:tab w:leader="none" w:pos="1080" w:val="left"/>
        </w:tabs>
        <w:numPr>
          <w:ilvl w:val="0"/>
          <w:numId w:val="82"/>
        </w:numPr>
        <w:rPr>
          <w:rFonts w:ascii="Arial" w:cs="Arial" w:eastAsia="Arial" w:hAnsi="Arial"/>
          <w:sz w:val="16"/>
          <w:szCs w:val="16"/>
          <w:color w:val="32406B"/>
        </w:rPr>
      </w:pPr>
      <w:r>
        <w:rPr>
          <w:rFonts w:ascii="Arial" w:cs="Arial" w:eastAsia="Arial" w:hAnsi="Arial"/>
          <w:sz w:val="16"/>
          <w:szCs w:val="16"/>
          <w:i w:val="1"/>
          <w:iCs w:val="1"/>
          <w:color w:val="32406B"/>
        </w:rPr>
        <w:t xml:space="preserve">Things Technology Platform (TTP) </w:t>
      </w:r>
      <w:r>
        <w:rPr>
          <w:rFonts w:ascii="Arial" w:cs="Arial" w:eastAsia="Arial" w:hAnsi="Arial"/>
          <w:sz w:val="16"/>
          <w:szCs w:val="16"/>
          <w:color w:val="32406B"/>
        </w:rPr>
        <w:t>is the general IoT connection and management platform that includes the following components. These</w:t>
      </w:r>
      <w:r>
        <w:rPr>
          <w:rFonts w:ascii="Arial" w:cs="Arial" w:eastAsia="Arial" w:hAnsi="Arial"/>
          <w:sz w:val="16"/>
          <w:szCs w:val="16"/>
          <w:i w:val="1"/>
          <w:iCs w:val="1"/>
          <w:color w:val="32406B"/>
        </w:rPr>
        <w:t xml:space="preserve"> </w:t>
      </w:r>
      <w:r>
        <w:rPr>
          <w:rFonts w:ascii="Arial" w:cs="Arial" w:eastAsia="Arial" w:hAnsi="Arial"/>
          <w:sz w:val="16"/>
          <w:szCs w:val="16"/>
          <w:color w:val="32406B"/>
        </w:rPr>
        <w:t>components enable the digital twins function that allows for real-time, closed-loop exchanges of data between the cloud and the physical smart devices throughout their life cycle, improves IoT deployment efficiency and helps developers optimize existing smart devices.</w:t>
      </w:r>
    </w:p>
    <w:p>
      <w:pPr>
        <w:spacing w:after="0" w:line="54" w:lineRule="exact"/>
        <w:rPr>
          <w:rFonts w:ascii="Arial" w:cs="Arial" w:eastAsia="Arial" w:hAnsi="Arial"/>
          <w:sz w:val="16"/>
          <w:szCs w:val="16"/>
          <w:color w:val="32406B"/>
        </w:rPr>
      </w:pPr>
    </w:p>
    <w:p>
      <w:pPr>
        <w:ind w:left="1540" w:right="180" w:hanging="439"/>
        <w:spacing w:after="0" w:line="277" w:lineRule="auto"/>
        <w:tabs>
          <w:tab w:leader="none" w:pos="1540" w:val="left"/>
        </w:tabs>
        <w:numPr>
          <w:ilvl w:val="1"/>
          <w:numId w:val="82"/>
        </w:numPr>
        <w:rPr>
          <w:rFonts w:ascii="Arial" w:cs="Arial" w:eastAsia="Arial" w:hAnsi="Arial"/>
          <w:sz w:val="18"/>
          <w:szCs w:val="18"/>
          <w:color w:val="32406B"/>
        </w:rPr>
      </w:pPr>
      <w:r>
        <w:rPr>
          <w:rFonts w:ascii="Arial" w:cs="Arial" w:eastAsia="Arial" w:hAnsi="Arial"/>
          <w:sz w:val="18"/>
          <w:szCs w:val="18"/>
          <w:color w:val="32406B"/>
        </w:rPr>
        <w:t>IoT Edge features edge computing capabilities that bring computation to the edge. IoT devices can spend less time communicating with the cloud, react more quickly to local changes and operate more securely and reliably;</w:t>
      </w:r>
    </w:p>
    <w:p>
      <w:pPr>
        <w:spacing w:after="0" w:line="75" w:lineRule="exact"/>
        <w:rPr>
          <w:rFonts w:ascii="Arial" w:cs="Arial" w:eastAsia="Arial" w:hAnsi="Arial"/>
          <w:sz w:val="18"/>
          <w:szCs w:val="18"/>
          <w:color w:val="32406B"/>
        </w:rPr>
      </w:pPr>
    </w:p>
    <w:p>
      <w:pPr>
        <w:ind w:left="1540" w:hanging="439"/>
        <w:spacing w:after="0"/>
        <w:tabs>
          <w:tab w:leader="none" w:pos="1540" w:val="left"/>
        </w:tabs>
        <w:numPr>
          <w:ilvl w:val="1"/>
          <w:numId w:val="82"/>
        </w:numPr>
        <w:rPr>
          <w:rFonts w:ascii="Arial" w:cs="Arial" w:eastAsia="Arial" w:hAnsi="Arial"/>
          <w:sz w:val="18"/>
          <w:szCs w:val="18"/>
          <w:color w:val="32406B"/>
        </w:rPr>
      </w:pPr>
      <w:r>
        <w:rPr>
          <w:rFonts w:ascii="Arial" w:cs="Arial" w:eastAsia="Arial" w:hAnsi="Arial"/>
          <w:sz w:val="18"/>
          <w:szCs w:val="18"/>
          <w:color w:val="32406B"/>
        </w:rPr>
        <w:t>IoT Core is the core ability to connect, authorize, authenticate and manage digital twins devices;</w:t>
      </w:r>
    </w:p>
    <w:p>
      <w:pPr>
        <w:spacing w:after="0" w:line="130" w:lineRule="exact"/>
        <w:rPr>
          <w:rFonts w:ascii="Arial" w:cs="Arial" w:eastAsia="Arial" w:hAnsi="Arial"/>
          <w:sz w:val="18"/>
          <w:szCs w:val="18"/>
          <w:color w:val="32406B"/>
        </w:rPr>
      </w:pPr>
    </w:p>
    <w:p>
      <w:pPr>
        <w:ind w:left="1540" w:right="380" w:hanging="439"/>
        <w:spacing w:after="0" w:line="308" w:lineRule="auto"/>
        <w:tabs>
          <w:tab w:leader="none" w:pos="1540" w:val="left"/>
        </w:tabs>
        <w:numPr>
          <w:ilvl w:val="1"/>
          <w:numId w:val="82"/>
        </w:numPr>
        <w:rPr>
          <w:rFonts w:ascii="Arial" w:cs="Arial" w:eastAsia="Arial" w:hAnsi="Arial"/>
          <w:sz w:val="17"/>
          <w:szCs w:val="17"/>
          <w:color w:val="32406B"/>
        </w:rPr>
      </w:pPr>
      <w:r>
        <w:rPr>
          <w:rFonts w:ascii="Arial" w:cs="Arial" w:eastAsia="Arial" w:hAnsi="Arial"/>
          <w:sz w:val="17"/>
          <w:szCs w:val="17"/>
          <w:color w:val="32406B"/>
        </w:rPr>
        <w:t>Things Model creates virtual representations of physical smart devices that enable analysis of data and monitoring of systems to prevent downtime, test new devices by using simulations, and troubleshoot problems even before they occur;</w:t>
      </w:r>
    </w:p>
    <w:p>
      <w:pPr>
        <w:spacing w:after="0" w:line="51" w:lineRule="exact"/>
        <w:rPr>
          <w:rFonts w:ascii="Arial" w:cs="Arial" w:eastAsia="Arial" w:hAnsi="Arial"/>
          <w:sz w:val="17"/>
          <w:szCs w:val="17"/>
          <w:color w:val="32406B"/>
        </w:rPr>
      </w:pPr>
    </w:p>
    <w:p>
      <w:pPr>
        <w:ind w:left="1540" w:hanging="439"/>
        <w:spacing w:after="0"/>
        <w:tabs>
          <w:tab w:leader="none" w:pos="1540" w:val="left"/>
        </w:tabs>
        <w:numPr>
          <w:ilvl w:val="1"/>
          <w:numId w:val="82"/>
        </w:numPr>
        <w:rPr>
          <w:rFonts w:ascii="Arial" w:cs="Arial" w:eastAsia="Arial" w:hAnsi="Arial"/>
          <w:sz w:val="16"/>
          <w:szCs w:val="16"/>
          <w:color w:val="32406B"/>
        </w:rPr>
      </w:pPr>
      <w:r>
        <w:rPr>
          <w:rFonts w:ascii="Arial" w:cs="Arial" w:eastAsia="Arial" w:hAnsi="Arial"/>
          <w:sz w:val="16"/>
          <w:szCs w:val="16"/>
          <w:color w:val="32406B"/>
        </w:rPr>
        <w:t>Event Hubs provides a unified streaming platform with time retention buffer, decoupling event producers from event consumers;</w:t>
      </w:r>
    </w:p>
    <w:p>
      <w:pPr>
        <w:spacing w:after="0" w:line="153" w:lineRule="exact"/>
        <w:rPr>
          <w:rFonts w:ascii="Arial" w:cs="Arial" w:eastAsia="Arial" w:hAnsi="Arial"/>
          <w:sz w:val="16"/>
          <w:szCs w:val="16"/>
          <w:color w:val="32406B"/>
        </w:rPr>
      </w:pPr>
    </w:p>
    <w:p>
      <w:pPr>
        <w:ind w:left="1540" w:hanging="439"/>
        <w:spacing w:after="0" w:line="277" w:lineRule="auto"/>
        <w:tabs>
          <w:tab w:leader="none" w:pos="1540" w:val="left"/>
        </w:tabs>
        <w:numPr>
          <w:ilvl w:val="1"/>
          <w:numId w:val="82"/>
        </w:numPr>
        <w:rPr>
          <w:rFonts w:ascii="Arial" w:cs="Arial" w:eastAsia="Arial" w:hAnsi="Arial"/>
          <w:sz w:val="18"/>
          <w:szCs w:val="18"/>
          <w:color w:val="32406B"/>
        </w:rPr>
      </w:pPr>
      <w:r>
        <w:rPr>
          <w:rFonts w:ascii="Arial" w:cs="Arial" w:eastAsia="Arial" w:hAnsi="Arial"/>
          <w:sz w:val="18"/>
          <w:szCs w:val="18"/>
          <w:color w:val="32406B"/>
        </w:rPr>
        <w:t>Over-the-air Engine, or OTA Engine, provides unified OTA strategy and data analysis, predicts when devices need upgrades, reduces device OTA risks, and optimizes device usage activities;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439"/>
        <w:spacing w:after="0" w:line="277" w:lineRule="auto"/>
        <w:tabs>
          <w:tab w:leader="none" w:pos="1540" w:val="left"/>
        </w:tabs>
        <w:numPr>
          <w:ilvl w:val="1"/>
          <w:numId w:val="83"/>
        </w:numPr>
        <w:rPr>
          <w:rFonts w:ascii="Arial" w:cs="Arial" w:eastAsia="Arial" w:hAnsi="Arial"/>
          <w:sz w:val="18"/>
          <w:szCs w:val="18"/>
          <w:color w:val="32406B"/>
        </w:rPr>
      </w:pPr>
      <w:r>
        <w:rPr>
          <w:rFonts w:ascii="Arial" w:cs="Arial" w:eastAsia="Arial" w:hAnsi="Arial"/>
          <w:sz w:val="18"/>
          <w:szCs w:val="18"/>
          <w:color w:val="32406B"/>
        </w:rPr>
        <w:t>Virtualized Device Computing enhances a smart device’s hardware capabilities from the cloud platform by managing device access and scenes control through the edge of the network.</w:t>
      </w:r>
    </w:p>
    <w:p>
      <w:pPr>
        <w:spacing w:after="0" w:line="75" w:lineRule="exact"/>
        <w:rPr>
          <w:rFonts w:ascii="Arial" w:cs="Arial" w:eastAsia="Arial" w:hAnsi="Arial"/>
          <w:sz w:val="18"/>
          <w:szCs w:val="18"/>
          <w:color w:val="32406B"/>
        </w:rPr>
      </w:pPr>
    </w:p>
    <w:p>
      <w:pPr>
        <w:ind w:left="1080" w:right="120" w:hanging="532"/>
        <w:spacing w:after="0" w:line="263" w:lineRule="auto"/>
        <w:tabs>
          <w:tab w:leader="none" w:pos="1080" w:val="left"/>
        </w:tabs>
        <w:numPr>
          <w:ilvl w:val="0"/>
          <w:numId w:val="83"/>
        </w:numPr>
        <w:rPr>
          <w:rFonts w:ascii="Arial" w:cs="Arial" w:eastAsia="Arial" w:hAnsi="Arial"/>
          <w:sz w:val="18"/>
          <w:szCs w:val="18"/>
          <w:color w:val="32406B"/>
        </w:rPr>
      </w:pPr>
      <w:r>
        <w:rPr>
          <w:rFonts w:ascii="Arial" w:cs="Arial" w:eastAsia="Arial" w:hAnsi="Arial"/>
          <w:sz w:val="18"/>
          <w:szCs w:val="18"/>
          <w:i w:val="1"/>
          <w:iCs w:val="1"/>
          <w:color w:val="32406B"/>
        </w:rPr>
        <w:t xml:space="preserve">Business Technology Platform (BTP) </w:t>
      </w:r>
      <w:r>
        <w:rPr>
          <w:rFonts w:ascii="Arial" w:cs="Arial" w:eastAsia="Arial" w:hAnsi="Arial"/>
          <w:sz w:val="18"/>
          <w:szCs w:val="18"/>
          <w:color w:val="32406B"/>
        </w:rPr>
        <w:t>is the competency center that provides the technology foundation to the upper layer of our Tuya IoT</w:t>
      </w:r>
      <w:r>
        <w:rPr>
          <w:rFonts w:ascii="Arial" w:cs="Arial" w:eastAsia="Arial" w:hAnsi="Arial"/>
          <w:sz w:val="18"/>
          <w:szCs w:val="18"/>
          <w:i w:val="1"/>
          <w:iCs w:val="1"/>
          <w:color w:val="32406B"/>
        </w:rPr>
        <w:t xml:space="preserve"> </w:t>
      </w:r>
      <w:r>
        <w:rPr>
          <w:rFonts w:ascii="Arial" w:cs="Arial" w:eastAsia="Arial" w:hAnsi="Arial"/>
          <w:sz w:val="18"/>
          <w:szCs w:val="18"/>
          <w:color w:val="32406B"/>
        </w:rPr>
        <w:t>Cloud in the form of modular micro-services. It brings together a suite of service modules, such as big data computing, AI algorithm service and IoT device management, that work together to provide the best customer experience.</w:t>
      </w:r>
    </w:p>
    <w:p>
      <w:pPr>
        <w:spacing w:after="0" w:line="89"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83"/>
        </w:numPr>
        <w:rPr>
          <w:rFonts w:ascii="Arial" w:cs="Arial" w:eastAsia="Arial" w:hAnsi="Arial"/>
          <w:sz w:val="18"/>
          <w:szCs w:val="18"/>
          <w:color w:val="32406B"/>
        </w:rPr>
      </w:pPr>
      <w:r>
        <w:rPr>
          <w:rFonts w:ascii="Arial" w:cs="Arial" w:eastAsia="Arial" w:hAnsi="Arial"/>
          <w:sz w:val="18"/>
          <w:szCs w:val="18"/>
          <w:i w:val="1"/>
          <w:iCs w:val="1"/>
          <w:color w:val="32406B"/>
        </w:rPr>
        <w:t xml:space="preserve">Application Enabling Platform (AEP) </w:t>
      </w:r>
      <w:r>
        <w:rPr>
          <w:rFonts w:ascii="Arial" w:cs="Arial" w:eastAsia="Arial" w:hAnsi="Arial"/>
          <w:sz w:val="18"/>
          <w:szCs w:val="18"/>
          <w:color w:val="32406B"/>
        </w:rPr>
        <w:t>includes Tuya Platform Applications and Developer Kits that allows us to deliver IoT PaaS, Industry</w:t>
      </w:r>
      <w:r>
        <w:rPr>
          <w:rFonts w:ascii="Arial" w:cs="Arial" w:eastAsia="Arial" w:hAnsi="Arial"/>
          <w:sz w:val="18"/>
          <w:szCs w:val="18"/>
          <w:i w:val="1"/>
          <w:iCs w:val="1"/>
          <w:color w:val="32406B"/>
        </w:rPr>
        <w:t xml:space="preserve"> </w:t>
      </w:r>
      <w:r>
        <w:rPr>
          <w:rFonts w:ascii="Arial" w:cs="Arial" w:eastAsia="Arial" w:hAnsi="Arial"/>
          <w:sz w:val="18"/>
          <w:szCs w:val="18"/>
          <w:color w:val="32406B"/>
        </w:rPr>
        <w:t>SaaS and other value-added services.</w:t>
      </w:r>
    </w:p>
    <w:p>
      <w:pPr>
        <w:spacing w:after="0" w:line="75" w:lineRule="exact"/>
        <w:rPr>
          <w:rFonts w:ascii="Arial" w:cs="Arial" w:eastAsia="Arial" w:hAnsi="Arial"/>
          <w:sz w:val="18"/>
          <w:szCs w:val="18"/>
          <w:color w:val="32406B"/>
        </w:rPr>
      </w:pPr>
    </w:p>
    <w:p>
      <w:pPr>
        <w:ind w:left="1540" w:right="80" w:hanging="439"/>
        <w:spacing w:after="0" w:line="263" w:lineRule="auto"/>
        <w:tabs>
          <w:tab w:leader="none" w:pos="1540" w:val="left"/>
        </w:tabs>
        <w:numPr>
          <w:ilvl w:val="1"/>
          <w:numId w:val="83"/>
        </w:numPr>
        <w:rPr>
          <w:rFonts w:ascii="Arial" w:cs="Arial" w:eastAsia="Arial" w:hAnsi="Arial"/>
          <w:sz w:val="18"/>
          <w:szCs w:val="18"/>
          <w:color w:val="32406B"/>
        </w:rPr>
      </w:pPr>
      <w:r>
        <w:rPr>
          <w:rFonts w:ascii="Arial" w:cs="Arial" w:eastAsia="Arial" w:hAnsi="Arial"/>
          <w:sz w:val="18"/>
          <w:szCs w:val="18"/>
          <w:i w:val="1"/>
          <w:iCs w:val="1"/>
          <w:color w:val="32406B"/>
        </w:rPr>
        <w:t xml:space="preserve">Developer Kits </w:t>
      </w:r>
      <w:r>
        <w:rPr>
          <w:rFonts w:ascii="Arial" w:cs="Arial" w:eastAsia="Arial" w:hAnsi="Arial"/>
          <w:sz w:val="18"/>
          <w:szCs w:val="18"/>
          <w:color w:val="32406B"/>
        </w:rPr>
        <w:t>allow developers to integrate tailored-made Tuya IoT cloud capabilities through a comprehensive set of APIs, SDKs</w:t>
      </w:r>
      <w:r>
        <w:rPr>
          <w:rFonts w:ascii="Arial" w:cs="Arial" w:eastAsia="Arial" w:hAnsi="Arial"/>
          <w:sz w:val="18"/>
          <w:szCs w:val="18"/>
          <w:i w:val="1"/>
          <w:iCs w:val="1"/>
          <w:color w:val="32406B"/>
        </w:rPr>
        <w:t xml:space="preserve"> </w:t>
      </w:r>
      <w:r>
        <w:rPr>
          <w:rFonts w:ascii="Arial" w:cs="Arial" w:eastAsia="Arial" w:hAnsi="Arial"/>
          <w:sz w:val="18"/>
          <w:szCs w:val="18"/>
          <w:color w:val="32406B"/>
        </w:rPr>
        <w:t>and low-code development accelerators that allow developers to add, customize, or integrate systems and functionality based on specific requirements and needs.</w:t>
      </w:r>
    </w:p>
    <w:p>
      <w:pPr>
        <w:spacing w:after="0" w:line="89" w:lineRule="exact"/>
        <w:rPr>
          <w:rFonts w:ascii="Arial" w:cs="Arial" w:eastAsia="Arial" w:hAnsi="Arial"/>
          <w:sz w:val="18"/>
          <w:szCs w:val="18"/>
          <w:color w:val="32406B"/>
        </w:rPr>
      </w:pPr>
    </w:p>
    <w:p>
      <w:pPr>
        <w:ind w:left="1540" w:right="140" w:hanging="439"/>
        <w:spacing w:after="0" w:line="277" w:lineRule="auto"/>
        <w:tabs>
          <w:tab w:leader="none" w:pos="1540" w:val="left"/>
        </w:tabs>
        <w:numPr>
          <w:ilvl w:val="1"/>
          <w:numId w:val="83"/>
        </w:numPr>
        <w:rPr>
          <w:rFonts w:ascii="Arial" w:cs="Arial" w:eastAsia="Arial" w:hAnsi="Arial"/>
          <w:sz w:val="18"/>
          <w:szCs w:val="18"/>
          <w:color w:val="32406B"/>
        </w:rPr>
      </w:pPr>
      <w:r>
        <w:rPr>
          <w:rFonts w:ascii="Arial" w:cs="Arial" w:eastAsia="Arial" w:hAnsi="Arial"/>
          <w:sz w:val="18"/>
          <w:szCs w:val="18"/>
          <w:i w:val="1"/>
          <w:iCs w:val="1"/>
          <w:color w:val="32406B"/>
        </w:rPr>
        <w:t xml:space="preserve">Tuya Platform Applications </w:t>
      </w:r>
      <w:r>
        <w:rPr>
          <w:rFonts w:ascii="Arial" w:cs="Arial" w:eastAsia="Arial" w:hAnsi="Arial"/>
          <w:sz w:val="18"/>
          <w:szCs w:val="18"/>
          <w:color w:val="32406B"/>
        </w:rPr>
        <w:t>combine no-code development platform, IoT data analysis platform and IoT industry solution studio to</w:t>
      </w:r>
      <w:r>
        <w:rPr>
          <w:rFonts w:ascii="Arial" w:cs="Arial" w:eastAsia="Arial" w:hAnsi="Arial"/>
          <w:sz w:val="18"/>
          <w:szCs w:val="18"/>
          <w:i w:val="1"/>
          <w:iCs w:val="1"/>
          <w:color w:val="32406B"/>
        </w:rPr>
        <w:t xml:space="preserve"> </w:t>
      </w:r>
      <w:r>
        <w:rPr>
          <w:rFonts w:ascii="Arial" w:cs="Arial" w:eastAsia="Arial" w:hAnsi="Arial"/>
          <w:sz w:val="18"/>
          <w:szCs w:val="18"/>
          <w:color w:val="32406B"/>
        </w:rPr>
        <w:t>provide full platform-based business service capabilities.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32406B"/>
        </w:rPr>
        <w:t>We have deployed data centers hosted worldwide, including in China, the United States, Europe and India. Tuya IoT Cloud infrastructure is currently capable of processing over 122 million AI voice interactions daily from our five global data centers, with an average per-command processing time of less than 0.01 second, which is up to 30 times faster than the industry peers, according to CIC.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Research &amp; Development</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Our leadership is built by our creative and dedicated teams who are passionate about IoT. As of December 31, 2020, we had a research and development team of 1,637 engineers, researchers and scientists whose expertise spans across a significant number of different subject areas such as IoT, industry design, cloud computing, AI and machine learning and data analytics. Our research and development team is responsible for the design, development, testing, and operation of our platform, including the underlying Tuya Cloud infrastructure, addressing new use cases, and scouting technological and business model innovations in IoT.</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32406B"/>
        </w:rPr>
        <w:t>We have invested substantially in research and development. These investments have continued to result in the launch of innovative products that have helped us attract new customers and sell more to our existing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Customers</w:t>
      </w:r>
    </w:p>
    <w:p>
      <w:pPr>
        <w:spacing w:after="0" w:line="121"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32406B"/>
        </w:rPr>
        <w:t>Our growth strategies are tailored around our customers and their specific demands. For example, we have proactively engaged in co-marketing with well established, leading brands to promote the “Powered by Tuya” brand awareness. For leading OEMs in target categories and those with large demands in our products, we are focused on providing bespoke support and services by, for example, offering free trials of product enhancements and new features and functionality.</w:t>
      </w:r>
    </w:p>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32406B"/>
        </w:rPr>
        <w:t>We had over 5,000 customers in 2020, primarily including brands, OEMs, industry operators and system integrators. For the same period, our IoT PaaS empowered over 2,700 brands to develop their smart devices, including leading brands such as Calex, Philips and Schneider Electric, and had an increasing number of Industry SaaS customers. As we have cultivated a large and diversified customer base across different industry verticals, none of our customers is material to our total revenue. Our IoT PaaS enabled businesses to develop smart devices for more than 1,100 device categories sold across over 220 countries and regions. In January 2021, we achieved a Net Promoter Score (NPS) of 75, which indicated a high degree of satisfaction for our products and services among our customers. NPS measures the willingness of customers to recommend a company’s products or services to other potential customers, and is viewed as a proxy for measuring customers’ loyalty and satisfaction with a company’s product or service.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143</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are proud to serve customers across the globe. The following is a representative sampling of our customers by regions: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960" w:type="dxa"/>
            <w:vAlign w:val="bottom"/>
          </w:tcPr>
          <w:p>
            <w:pPr>
              <w:ind w:left="1680"/>
              <w:spacing w:after="0"/>
              <w:rPr>
                <w:sz w:val="20"/>
                <w:szCs w:val="20"/>
                <w:color w:val="auto"/>
              </w:rPr>
            </w:pPr>
            <w:r>
              <w:rPr>
                <w:rFonts w:ascii="Arial" w:cs="Arial" w:eastAsia="Arial" w:hAnsi="Arial"/>
                <w:sz w:val="14"/>
                <w:szCs w:val="14"/>
                <w:b w:val="1"/>
                <w:bCs w:val="1"/>
                <w:color w:val="32406B"/>
              </w:rPr>
              <w:t>Americas</w:t>
            </w:r>
          </w:p>
        </w:tc>
        <w:tc>
          <w:tcPr>
            <w:tcW w:w="120" w:type="dxa"/>
            <w:vAlign w:val="bottom"/>
          </w:tcPr>
          <w:p>
            <w:pPr>
              <w:spacing w:after="0"/>
              <w:rPr>
                <w:sz w:val="16"/>
                <w:szCs w:val="16"/>
                <w:color w:val="auto"/>
              </w:rPr>
            </w:pPr>
          </w:p>
        </w:tc>
        <w:tc>
          <w:tcPr>
            <w:tcW w:w="3520" w:type="dxa"/>
            <w:vAlign w:val="bottom"/>
            <w:gridSpan w:val="2"/>
          </w:tcPr>
          <w:p>
            <w:pPr>
              <w:ind w:left="1480"/>
              <w:spacing w:after="0"/>
              <w:rPr>
                <w:sz w:val="20"/>
                <w:szCs w:val="20"/>
                <w:color w:val="auto"/>
              </w:rPr>
            </w:pPr>
            <w:r>
              <w:rPr>
                <w:rFonts w:ascii="Arial" w:cs="Arial" w:eastAsia="Arial" w:hAnsi="Arial"/>
                <w:sz w:val="14"/>
                <w:szCs w:val="14"/>
                <w:b w:val="1"/>
                <w:bCs w:val="1"/>
                <w:color w:val="32406B"/>
              </w:rPr>
              <w:t>Europe</w:t>
            </w:r>
          </w:p>
        </w:tc>
        <w:tc>
          <w:tcPr>
            <w:tcW w:w="3420" w:type="dxa"/>
            <w:vAlign w:val="bottom"/>
          </w:tcPr>
          <w:p>
            <w:pPr>
              <w:ind w:left="1340"/>
              <w:spacing w:after="0"/>
              <w:rPr>
                <w:sz w:val="20"/>
                <w:szCs w:val="20"/>
                <w:color w:val="auto"/>
              </w:rPr>
            </w:pPr>
            <w:r>
              <w:rPr>
                <w:rFonts w:ascii="Arial" w:cs="Arial" w:eastAsia="Arial" w:hAnsi="Arial"/>
                <w:sz w:val="14"/>
                <w:szCs w:val="14"/>
                <w:b w:val="1"/>
                <w:bCs w:val="1"/>
                <w:color w:val="32406B"/>
              </w:rPr>
              <w:t>Asia-Pacific</w:t>
            </w:r>
          </w:p>
        </w:tc>
      </w:tr>
      <w:tr>
        <w:trPr>
          <w:trHeight w:val="209"/>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rPr>
              <w:t>Monster</w:t>
            </w:r>
          </w:p>
        </w:tc>
        <w:tc>
          <w:tcPr>
            <w:tcW w:w="1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rPr>
              <w:t>Schneider Electric</w:t>
            </w: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32406B"/>
              </w:rPr>
              <w:t>Softbank</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32406B"/>
              </w:rPr>
              <w:t>Westinghouse</w:t>
            </w:r>
          </w:p>
        </w:tc>
        <w:tc>
          <w:tcPr>
            <w:tcW w:w="3640" w:type="dxa"/>
            <w:vAlign w:val="bottom"/>
            <w:gridSpan w:val="3"/>
          </w:tcPr>
          <w:p>
            <w:pPr>
              <w:ind w:left="120"/>
              <w:spacing w:after="0"/>
              <w:rPr>
                <w:sz w:val="20"/>
                <w:szCs w:val="20"/>
                <w:color w:val="auto"/>
              </w:rPr>
            </w:pPr>
            <w:r>
              <w:rPr>
                <w:rFonts w:ascii="Arial" w:cs="Arial" w:eastAsia="Arial" w:hAnsi="Arial"/>
                <w:sz w:val="18"/>
                <w:szCs w:val="18"/>
                <w:color w:val="32406B"/>
              </w:rPr>
              <w:t>Philips</w:t>
            </w:r>
          </w:p>
        </w:tc>
        <w:tc>
          <w:tcPr>
            <w:tcW w:w="3420" w:type="dxa"/>
            <w:vAlign w:val="bottom"/>
          </w:tcPr>
          <w:p>
            <w:pPr>
              <w:ind w:left="20"/>
              <w:spacing w:after="0"/>
              <w:rPr>
                <w:sz w:val="20"/>
                <w:szCs w:val="20"/>
                <w:color w:val="auto"/>
              </w:rPr>
            </w:pPr>
            <w:r>
              <w:rPr>
                <w:rFonts w:ascii="Arial" w:cs="Arial" w:eastAsia="Arial" w:hAnsi="Arial"/>
                <w:sz w:val="18"/>
                <w:szCs w:val="18"/>
                <w:color w:val="32406B"/>
              </w:rPr>
              <w:t>Panasonic</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32406B"/>
              </w:rPr>
              <w:t>Hampton</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32406B"/>
              </w:rPr>
              <w:t>Orange</w:t>
            </w: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Lenovo</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32406B"/>
              </w:rPr>
              <w:t>Heathco</w:t>
            </w:r>
          </w:p>
        </w:tc>
        <w:tc>
          <w:tcPr>
            <w:tcW w:w="3640" w:type="dxa"/>
            <w:vAlign w:val="bottom"/>
            <w:gridSpan w:val="3"/>
          </w:tcPr>
          <w:p>
            <w:pPr>
              <w:ind w:left="120"/>
              <w:spacing w:after="0"/>
              <w:rPr>
                <w:sz w:val="20"/>
                <w:szCs w:val="20"/>
                <w:color w:val="auto"/>
              </w:rPr>
            </w:pPr>
            <w:r>
              <w:rPr>
                <w:rFonts w:ascii="Arial" w:cs="Arial" w:eastAsia="Arial" w:hAnsi="Arial"/>
                <w:sz w:val="18"/>
                <w:szCs w:val="18"/>
                <w:color w:val="32406B"/>
              </w:rPr>
              <w:t>Calex</w:t>
            </w:r>
          </w:p>
        </w:tc>
        <w:tc>
          <w:tcPr>
            <w:tcW w:w="3420" w:type="dxa"/>
            <w:vAlign w:val="bottom"/>
          </w:tcPr>
          <w:p>
            <w:pPr>
              <w:ind w:left="20"/>
              <w:spacing w:after="0"/>
              <w:rPr>
                <w:sz w:val="20"/>
                <w:szCs w:val="20"/>
                <w:color w:val="auto"/>
              </w:rPr>
            </w:pPr>
            <w:r>
              <w:rPr>
                <w:rFonts w:ascii="Arial" w:cs="Arial" w:eastAsia="Arial" w:hAnsi="Arial"/>
                <w:sz w:val="18"/>
                <w:szCs w:val="18"/>
                <w:color w:val="32406B"/>
              </w:rPr>
              <w:t>Haier</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32406B"/>
              </w:rPr>
              <w:t>Sodimac</w:t>
            </w: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32406B"/>
              </w:rPr>
              <w:t>Dorel Juvenile</w:t>
            </w: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Sino-Ocean Group</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32406B"/>
              </w:rPr>
              <w:t>Lloyd’s</w:t>
            </w:r>
          </w:p>
        </w:tc>
        <w:tc>
          <w:tcPr>
            <w:tcW w:w="3640" w:type="dxa"/>
            <w:vAlign w:val="bottom"/>
            <w:gridSpan w:val="3"/>
          </w:tcPr>
          <w:p>
            <w:pPr>
              <w:ind w:left="120"/>
              <w:spacing w:after="0"/>
              <w:rPr>
                <w:sz w:val="20"/>
                <w:szCs w:val="20"/>
                <w:color w:val="auto"/>
              </w:rPr>
            </w:pPr>
            <w:r>
              <w:rPr>
                <w:rFonts w:ascii="Arial" w:cs="Arial" w:eastAsia="Arial" w:hAnsi="Arial"/>
                <w:sz w:val="18"/>
                <w:szCs w:val="18"/>
                <w:color w:val="32406B"/>
              </w:rPr>
              <w:t>Yandex</w:t>
            </w:r>
          </w:p>
        </w:tc>
        <w:tc>
          <w:tcPr>
            <w:tcW w:w="3420" w:type="dxa"/>
            <w:vAlign w:val="bottom"/>
          </w:tcPr>
          <w:p>
            <w:pPr>
              <w:ind w:left="20"/>
              <w:spacing w:after="0"/>
              <w:rPr>
                <w:sz w:val="20"/>
                <w:szCs w:val="20"/>
                <w:color w:val="auto"/>
              </w:rPr>
            </w:pPr>
            <w:r>
              <w:rPr>
                <w:rFonts w:ascii="Arial" w:cs="Arial" w:eastAsia="Arial" w:hAnsi="Arial"/>
                <w:sz w:val="18"/>
                <w:szCs w:val="18"/>
                <w:color w:val="32406B"/>
              </w:rPr>
              <w:t>Flipkart</w:t>
            </w:r>
          </w:p>
        </w:tc>
      </w:tr>
    </w:tbl>
    <w:p>
      <w:pPr>
        <w:spacing w:after="0" w:line="20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32406B"/>
        </w:rPr>
        <w:t>We use dollar-based net expansion rate for IoT PaaS as a useful indicator of our customers’ loyalty and tendency to expand their usage of our platform over time. For the trailing 12-month period ended December 31, 2019, March 31, 2020, June 30, 2020, September 30, 2020 and December 31, 2020, the dollar-based net expansion rates for IoT PaaS were 188%, 173%, 160%, 179% and 181%, respectively. For a detailed discussion of dollar-based net expansion rate for IoT PaaS and certain other key operating metrics, see “Summary—Key Operating Metrics.”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Customer Case Studies</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32406B"/>
        </w:rPr>
        <w:t>The following are examples of how some of our customers have adopted our products and services. We believe these customers’ usage is representative of usage by our customers generally and shows the breadth of our platform and adoption across geographies, verticals, and customer size.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Electro Cirkel Retail (Calex)</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32406B"/>
        </w:rPr>
        <w:t>Calex is a leading decorative and functional lighting brand in Europe. It was looking to venture into the smart home market and approached many potential IoT partners, but none of them met its expectation for an IoT cloud platform that was cost-efficient, protocol-agnostic and future-proof.</w:t>
      </w:r>
    </w:p>
    <w:p>
      <w:pPr>
        <w:spacing w:after="0" w:line="12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In July 2018, Calex began to utilize Tuya’s IoT PaaS to develop smart devices. The partnership was initially focused on Wi-Fi smart bulbs, but quickly expanded to support over 100 SKUs across a broad mix of categories ranging from electrical, lighting and sensing products, to home appliances and consumer security devices. By the end of 2020, Calex had distributed more than 6,000,000 Tuya-powered smart devices since partnership with Tuya. Smart device distribution of Calex in 2020 more than doubled from 2019, enabling over one million homes to be smart. Today, consumers can buy Calex smart products powered by Tuya through over 7,000 online and offline retail channels across Europe, including Carrefour, Tesco and Leroy Merlin.</w:t>
      </w:r>
    </w:p>
    <w:p>
      <w:pPr>
        <w:spacing w:after="0" w:line="192"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32406B"/>
        </w:rPr>
        <w:t>The partnership with Tuya has not only enabled Calex to accelerate time-to-market of its smart devices, but also significantly reduced their price points, allowing Calex to gain early market share and expand its smart home footprint for a longer term benefit. “We’ve shown that with a much lower price we can still have the same functionality and quality,” said Will Smits, Managing Director at Calex. Tuya’s protocol-agnostic architecture also allows Calex to cost-efficiently expand into new categories and use cases, and to access a wide range of device and usage data that Calex can use to inform its customer services and product strategies.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Monster</w:t>
      </w:r>
    </w:p>
    <w:p>
      <w:pPr>
        <w:spacing w:after="0" w:line="11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32406B"/>
        </w:rPr>
        <w:t>Monster is the world’s leading manufacturer and brand of high-performance headphones and an innovative leader in the entertainment space for nearly four decades. It offers advanced connectivity solutions for professional musicians, home entertainment, computing, mobile and gaming, as well as high performance AC power and conditioning products.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144</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In January 2019, Monster teamed up with us to co-create a new line of “Monster Smart Powered by Tuya.” These smart product lines complement their established cable, headphones, and speaker offerings, and include innovative solutions for controlling everything from home entertainment to power, security and more. Monster Smart Powered by Tuya products will benefit from Monster’s world-renowned expertise in product design and development, while being supported by Tuya’s unsurpassed IoT cloud platform, including big data capabilities that enable geolocation and environment-sensing features.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32406B"/>
        </w:rPr>
        <w:t>Through more than 4,000 online and offline sales locations, outlets and retail channels such as Walmart, Monster’s smart product shipment tripled in 2020. The new electrical products line will also be launched soon in early 2021. As Head of Monster Noel Lee noted, “we think IoT and smart products will help consumers have a better life in so many ways and we’re looking forward to directing our innovation with Tuya in all things smart— starting with lighting, power and security.”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 leading global supermarket chain</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32406B"/>
        </w:rPr>
        <w:t>Our customer is an International discount supermarket chain that operates over 12,000 stores across Europe and the United States. As the concept of smart living is being embraced by more and more retail chains, our customer wanted to put down its own collection of smart products.</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32406B"/>
        </w:rPr>
        <w:t>After evaluating multiple other cloud platforms, our customer decided to partner with us in October 2019. Utilizing our brand-agnostic platform and easy-to-use developer toolkits, this customer quickly launched its own smart product line and immediately turned out well with a large collection of more than 40 SKUs, such as LED lamps, motion sensors, and home appliances. These products are compatible with multiple protocols such as ZigBee, Wifi and Bluetooth.</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32406B"/>
        </w:rPr>
        <w:t>Since November 2020, these products are sold in more than 8,000 stores across 19 countries in Europe under our customer’s own brand, and we have deployed more than 3,500,000 IoT PaaS for this customer. We believe that with our strong customer support, rapid development cycle and comprehensive ecosystem, we can help our customer develop more series of smart products and enable more end users to experience the concept of smart living made possible by our IoT cloud platform.</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Reallink Smart Habitat, Sino-Ocean Group</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32406B"/>
        </w:rPr>
        <w:t>Reallink Smart Habitat is an intelligent real estate brand under Sino-Ocean Group, one of China’s leading real estate developers. Sino-Ocean group ranks within top 10 in terms of brand value among Chinese real estate companies and ranks 202 in the 2020 Fortune China 500 list, which it has been on for 11 consecutive years.</w:t>
      </w:r>
    </w:p>
    <w:p>
      <w:pPr>
        <w:spacing w:after="0" w:line="184"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32406B"/>
        </w:rPr>
        <w:t>Reallink focuses on developing intelligent real estate applications. As a pioneer in the real estate industry through technological innovation, Reallink has been looking for IoT SaaS solutions to improve the quality of life of their residents while enhancing operational efficiency.</w:t>
      </w:r>
    </w:p>
    <w:p>
      <w:pPr>
        <w:spacing w:after="0" w:line="12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32406B"/>
        </w:rPr>
        <w:t>In the past two years, Reallink has been working on adopting the Tuya IoT cloud platform and real estate industry SaaS to create its own cloud-based IoT management system, which saves cost, resources and time as compared to developing the system on their own. Due to the brand-agnostic nature of our platform, Reallink can easily deploy and manage smart devices from various brands in the properties they develop and operate. With easy-to-use development tools and APIs, Reallink can also customize SaaS functions for specific scenarios such as real estate development and property management. Our IoT cloud platform allows Reallink to easily integrate internal and external systems and transform from a traditional real estate company to a smart one with IoT functions. Reallink is currently discussing more collaboration opportunities with Tuya.</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Sales, Marketing and Branding</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32406B"/>
        </w:rPr>
        <w:t>We generate sales primarily through our direct marketing efforts targeting brands and OEMs, with a focus on attracting new customers as well as expanding usage within our existing customer base. We offer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145</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32406B"/>
        </w:rPr>
        <w:t>membership program to our customers that gives them the option to pay a membership fee primarily in exchange for IoT PaaS discounts based on a tiered membership status in accordance with their expected deployment volume. The membership program allows us to foster long-term relationship with our customers. In 2020, approximately 63% of our IoT PaaS deployments were from our membership customers. We also generate customer leads indirectly through offline retail channels and e-commerce platforms. We currently operate dedicated regional sales forces covering a number of our key overseas markets, such as the U.S., India, Japan and Germany.</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32406B"/>
        </w:rPr>
        <w:t>As we expand our footprint globally, we have invested substantially in developing localized marketing strategies and employing sales and support staff. In particular, we focus on educating customers about the “Powered by Tuya” smart ecosystem. We raise customers’ awareness that any smart device labeled with the “Powered by Tuya” tag can interact with each other regardless of brands and product categories.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utilize a multitude of sales and marketing channels, including:</w:t>
      </w:r>
    </w:p>
    <w:p>
      <w:pPr>
        <w:spacing w:after="0" w:line="131" w:lineRule="exact"/>
        <w:rPr>
          <w:sz w:val="20"/>
          <w:szCs w:val="20"/>
          <w:color w:val="auto"/>
        </w:rPr>
      </w:pPr>
    </w:p>
    <w:p>
      <w:pPr>
        <w:ind w:left="1080" w:right="600" w:hanging="532"/>
        <w:spacing w:after="0" w:line="277" w:lineRule="auto"/>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online marketing channels such as search engine optimization, private domain operations and the online developer platform on our website;</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offline channels such as word-of-mouth referrals from brands owners, OEMs, retailers and other industry participants;</w:t>
      </w:r>
    </w:p>
    <w:p>
      <w:pPr>
        <w:spacing w:after="0" w:line="130" w:lineRule="exact"/>
        <w:rPr>
          <w:rFonts w:ascii="Arial" w:cs="Arial" w:eastAsia="Arial" w:hAnsi="Arial"/>
          <w:sz w:val="18"/>
          <w:szCs w:val="18"/>
          <w:color w:val="32406B"/>
        </w:rPr>
      </w:pPr>
    </w:p>
    <w:p>
      <w:pPr>
        <w:ind w:left="1080" w:right="200" w:hanging="532"/>
        <w:spacing w:after="0" w:line="308" w:lineRule="auto"/>
        <w:tabs>
          <w:tab w:leader="none" w:pos="1080" w:val="left"/>
        </w:tabs>
        <w:numPr>
          <w:ilvl w:val="0"/>
          <w:numId w:val="84"/>
        </w:numPr>
        <w:rPr>
          <w:rFonts w:ascii="Arial" w:cs="Arial" w:eastAsia="Arial" w:hAnsi="Arial"/>
          <w:sz w:val="17"/>
          <w:szCs w:val="17"/>
          <w:color w:val="32406B"/>
        </w:rPr>
      </w:pPr>
      <w:r>
        <w:rPr>
          <w:rFonts w:ascii="Arial" w:cs="Arial" w:eastAsia="Arial" w:hAnsi="Arial"/>
          <w:sz w:val="17"/>
          <w:szCs w:val="17"/>
          <w:color w:val="32406B"/>
        </w:rPr>
        <w:t>brand marketing through industry conferences and events, including Mobile World Congress, International Consumer Electronics Show, and Hong Kong Electronics Fair where we demonstrate how we empower developers to push the boundary of IoT; and</w:t>
      </w:r>
    </w:p>
    <w:p>
      <w:pPr>
        <w:spacing w:after="0" w:line="51" w:lineRule="exact"/>
        <w:rPr>
          <w:rFonts w:ascii="Arial" w:cs="Arial" w:eastAsia="Arial" w:hAnsi="Arial"/>
          <w:sz w:val="17"/>
          <w:szCs w:val="17"/>
          <w:color w:val="32406B"/>
        </w:rPr>
      </w:pPr>
    </w:p>
    <w:p>
      <w:pPr>
        <w:ind w:left="1080" w:hanging="532"/>
        <w:spacing w:after="0"/>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developer outreach via code sharing platforms and Q&amp;A websites such as GitHub and Zhihu.</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Intellectual Property</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We rely on a combination of patent, copyright, trade secret and trademark laws as well as contractual restrictions such as confidentiality agreements, licenses and intellectual property assignment agreements. We also maintain a policy requiring our employees, contractors, consultants and other third parties to enter into confidentiality and proprietary rights agreements to control access to our proprietary information. As of the date of this prospectus, we have registered 190 patents, 316 trademarks, 91 copyrights, and 95 domain names in China and overseas. We have registered “Tuya” and “Powered by Tuya” as trademarks.</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 In addition, third parties may initiate lawsuits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Even if we are able to license the infringed or similar technology, license fees could be substantial and may adversely affect our results of operations. See “Risk Factors—Risks Related to Our Business and Industry—We may in the future be subject to legal proceedings and litigation, including intellectual property disputes, which are costly and may subject us to significant liability and increased costs of doing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Data Security and Privacy</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32406B"/>
        </w:rPr>
        <w:t>When providing our products and services, we may have access to certain data of our customers and of end users of our customers, primarily certain machine generated data produced by the smart devices powered by 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146</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32406B"/>
        </w:rPr>
        <w:t>While we have access to such data, we process but do not have control over most data. We have designed strict data protection policies to ensure that the collection, use, storage, transmission and dissemination of such data are in compliance with applicable laws and with prevalent industry practice.</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We have established an all-round information system in reference to data security requirements and best practices and intend to continually invest heavily in data security and customer privacy protection. Our information system applies multiple layers of safeguards, including internal and external firewalls, enterprise-standard web application firewalls, risk management platform, and runtime application self-protection, or RASP, a security technology that detects and blocks computer attacks using information from inside the running software. We encrypt data throughout its lifecycle to safeguard privacy and enhance data security. We implement a robust internal authentication and authorization system to ensure confidential and important data can only be accessed through computers for authorized use and only authorized staff can access those computers. We have clear and strict authorization and authentication procedures and policies in place. Our employees only have access to data which is directly relevant and necessary for their responsibilities and for limited purposes and are required to verify authorization upon every access attempt. We have also implemented robust internal rules and procedures, including security assessment in the design and implementation of R&amp;D projects and code auditing, to ensure that the designed security requirements are met in our R&amp;D activities and code quality and security.</w:t>
      </w:r>
    </w:p>
    <w:p>
      <w:pPr>
        <w:spacing w:after="0" w:line="18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32406B"/>
        </w:rPr>
        <w:t>We have completed information security, privacy and compliance certifications/validations with the consultation of various global agencies, and now serves as one of the IoT platforms with the most comprehensive certificates in Asia. We have obtained ISO 27001 Information Security Management System Certification, ISO 27017 Certification for Information Security of Cloud Services, ISO 27018 Certification for Protection of Personally Identifiable Information and are fully committed to complying with GDPR and CCPA. We have also partnered with top privacy compliance and cyber security firms, such as TrustArc and NCC Group, for privacy management and penetration testing.</w:t>
      </w:r>
    </w:p>
    <w:p>
      <w:pPr>
        <w:spacing w:after="0" w:line="17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32406B"/>
        </w:rPr>
        <w:t>In addition, we have adopted the Tuya Incident and Data Breach Response Plan, which provides a well-defined, organized approach for handling any potential threat to servers and data, as well as taking appropriate action when the data breach concerns personal information. We have also established an incident response team that comprises of an Information Security Officer (ISO), a Data Protection Officer (DPO), an Information Privacy Officer (IPO) and a Customer Service Officer (CSO) to provide a quick, effective and orderly response to servers and personal information related potential or actual incidents such as virus infections, hacker attempts and break-ins, improper disclosure of confidential information, system service interruptions, breach of personal information, and other events with serious information security implications</w:t>
      </w:r>
    </w:p>
    <w:p>
      <w:pPr>
        <w:spacing w:after="0" w:line="16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32406B"/>
        </w:rPr>
        <w:t>As of the date of this prospectus, we have not received any claim from any third party against us on the ground of infringement of such party’s right to data protection as provided by the PRC General Principles of Civil Law or any applicable laws and regulations in other jurisdictions, and we have not experienced any material data loss or breach incidents. See “Risk Factors—Risks Related to Our Business and Industry—Unauthorized or improper disclosures of personal data, cyber-attacks or other security incidents or data breaches that affect our networks or systems, or those of our customers, whether inadvertent or purposeful, could degrade our ability to conduct our business, compromise the integrity of our products and services, platform and data, result in significant data losses and the theft of our intellectual property, damage our reputation, expose us to liability to third parties and require us to incur significant additional costs to maintain the security of our networks and data which could adversely affect our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People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had 1,504 and 2,258 full-time employees as of December 31, 2019 and 2020, respectively.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147</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sets forth the breakdowns of our employees by functions as of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Function</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32406B"/>
              </w:rPr>
              <w:t>Number of</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32406B"/>
                <w:w w:val="87"/>
              </w:rPr>
              <w:t>Percentage</w:t>
            </w:r>
          </w:p>
        </w:tc>
        <w:tc>
          <w:tcPr>
            <w:tcW w:w="0" w:type="dxa"/>
            <w:vAlign w:val="bottom"/>
          </w:tcPr>
          <w:p>
            <w:pPr>
              <w:spacing w:after="0"/>
              <w:rPr>
                <w:sz w:val="1"/>
                <w:szCs w:val="1"/>
                <w:color w:val="auto"/>
              </w:rPr>
            </w:pPr>
          </w:p>
        </w:tc>
      </w:tr>
      <w:tr>
        <w:trPr>
          <w:trHeight w:val="158"/>
        </w:trPr>
        <w:tc>
          <w:tcPr>
            <w:tcW w:w="8780" w:type="dxa"/>
            <w:vAlign w:val="bottom"/>
            <w:gridSpan w:val="2"/>
            <w:vMerge w:val="continue"/>
          </w:tcPr>
          <w:p>
            <w:pPr>
              <w:spacing w:after="0"/>
              <w:rPr>
                <w:sz w:val="13"/>
                <w:szCs w:val="13"/>
                <w:color w:val="auto"/>
              </w:rPr>
            </w:pPr>
          </w:p>
        </w:tc>
        <w:tc>
          <w:tcPr>
            <w:tcW w:w="13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32406B"/>
              </w:rPr>
              <w:t>Employees</w:t>
            </w: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rPr>
              <w:t>Research and development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1,637</w:t>
            </w:r>
          </w:p>
        </w:tc>
        <w:tc>
          <w:tcPr>
            <w:tcW w:w="660" w:type="dxa"/>
            <w:vAlign w:val="bottom"/>
            <w:tcBorders>
              <w:left w:val="single" w:sz="8" w:color="CCEEFF"/>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32406B"/>
              </w:rPr>
              <w:t>72%</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32406B"/>
              </w:rPr>
              <w:t>Sales and marketing</w:t>
            </w:r>
          </w:p>
        </w:tc>
        <w:tc>
          <w:tcPr>
            <w:tcW w:w="680" w:type="dxa"/>
            <w:vAlign w:val="bottom"/>
          </w:tcPr>
          <w:p>
            <w:pPr>
              <w:jc w:val="right"/>
              <w:spacing w:after="0"/>
              <w:rPr>
                <w:sz w:val="20"/>
                <w:szCs w:val="20"/>
                <w:color w:val="auto"/>
              </w:rPr>
            </w:pPr>
            <w:r>
              <w:rPr>
                <w:rFonts w:ascii="Arial" w:cs="Arial" w:eastAsia="Arial" w:hAnsi="Arial"/>
                <w:sz w:val="18"/>
                <w:szCs w:val="18"/>
                <w:color w:val="32406B"/>
              </w:rPr>
              <w:t>506</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22%</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General and administrative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115</w:t>
            </w:r>
          </w:p>
        </w:tc>
        <w:tc>
          <w:tcPr>
            <w:tcW w:w="6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Total</w:t>
            </w: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rPr>
              <w:t>2,258</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100%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32406B"/>
        </w:rPr>
        <w:t>We are subject to, and comply with, applicable labor law requirements, which may automatically make our employees subject to industry-wide collective bargaining agreements. We believe that we maintain a good working relationship with our employees, and we have not experienced any material labor disputes in the past. None of our employees are represented by labor unions with respect to his or her employment.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Facilities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32406B"/>
        </w:rPr>
        <w:t>Our principal executive office is located in Hangzhou, China under a lease that expires in 2023. In addition, we operate internationally with local headquarters in the U.S., India, Germany, and Japan. These offices are leased, and we do not own any real property. We believe that our current facilities are adequate to meet our current needs.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Competition</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32406B"/>
        </w:rPr>
        <w:t>The global IoT platform market is rapidly evolving and increasingly competitive. Currently, our competitors include both large, well established IoT service providers, such as Amazon AWS in the United States and the IoT business of Alibaba Cloud in China, and less-established IoT companies or companies that offer capabilities that compete with some of our offerings.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32406B"/>
        </w:rPr>
        <w:t>We believe that none of our competitors currently competes directly with us across all of our offerings, and we compete favorably on the basis of the factors below:</w:t>
      </w:r>
    </w:p>
    <w:p>
      <w:pPr>
        <w:spacing w:after="0" w:line="76"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ability to support multiple use cases on a single platform;</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ease of deployment, implementation and use;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platform performance, interoperability, scalability and reliability;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ability to help customers achieve global IoT deployment;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ability to build a supply chain ecosystem;</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customer support and platform maintenance;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brand awareness and reputation;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sales and marketing efforts;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ability to ensure data security and privacy.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See the section titled “Risk Factors” for a more comprehensive description of risks related to competition.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Insurance</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32406B"/>
        </w:rPr>
        <w:t>We do not maintain any liability insurance or property insurance policies covering our equipment and facilities for injuries, death or losses due to fire, earthquake, flood or any other disaster. Consistent with customary industry practice in China, we do not maintain business interruption insurance, nor do we maintain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148</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32406B"/>
        </w:rPr>
        <w:t>key-man life insurance. We maintain cybersecurity insurance policies to cover the costs associated with a breach of third-party data in the event that the data is lost or stolen, and technical errors &amp; omissions policies for liabilities in connection with failures of a service or software.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Legal Proceedings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32406B"/>
        </w:rPr>
        <w:t>From time to time, we may be subject to various claims and legal actions that arise in the ordinary course of our business.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149</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REGULATION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 Relating to Foreign Investment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The establishment, operation and management of corporate entities in China are governed by the Company Law of the PRC (the “Company Law”), which was promulgated by the Standing Committee of the National People’s Congress on December 29, 1993 and amended on December 25, 1999, August 28, 2004, October 27, 2005, December 28, 2013 and October 26, 2018 respectively, and became effective on October 26, 2018. Under the Company Law, companies are generally classified into two categories, namely limited liability companies and joint stock limited companies. The Company Law also applies to foreign-invested limited liability companies. According to the Company Law, any stipulations by other PRC laws governing foreign investment shall prevail over the Company Law.</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32406B"/>
        </w:rPr>
        <w:t>On March 15, 2019, the National People’s Congress approved the Foreign Investment Law, which came into effect on January 1, 2020 and replaced the Sino-Foreign Equity Joint Venture Enterprise Law, the Sino-Foreign Cooperative Joint Venture Regulation Relating to Foreign Investment Enterprise Law and the Wholly Foreign-Invested Enterprise Law and became the legal foundation for foreign investment in the PRC. On December 26, 2019, the State Council issued the Regulations on Implementing the Foreign Investment Law which came into effect on January 1, 2020 and replaced the Regulations on Implementing the Sino-Foreign Equity Joint Venture Enterprise Law, Provisional Regulations on the Duration of Sino-Foreign Equity Joint Venture Enterprise Law, the Regulations on Implementing the Wholly Foreign-Invested Enterprise Law and the Regulations on Implementing the Sino-foreign Cooperative Joint Venture Enterprise Law.</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32406B"/>
        </w:rPr>
        <w:t>Pursuant to the PRC Foreign Investment Law (2019), foreign investment means the investment activities within the PRC directly or indirectly conducted by foreign natural persons, enterprises, and other organizations (the “foreign investor”), including the following circumstances: (i) a foreign investor, individually or collectively with other investors, establishes a foreign-invested enterprise within PRC; (ii) a foreign investor acquires any shares, equities, portion of property, or other similar interest in an enterprise within the PRC; (iii) a foreign investor, individually or collectively with other investors, invests in a new project within the PRC; and (iv) foreign investors invest in the PRC through any other methods under laws, administrative regulations, or provisions prescribed by the State Council of the PRC. The PRC applies the administrative system of pre-establishment national treatment plus negative list to foreign investment. Where a foreign investor invests in a field prohibited from investment by the Negative List (2020) (as defined below), the competent department shall order cessation of investment activity, disposition of shares and assets or adoption of other necessary measures during a specified period, and restoration to the state before investment; and its illegal income, if any, shall be confiscated. Where the investment activity of a foreign investor violates any special administrative measure for restrictive access asset out in the Negative List (2020), the competent department shall order the investor to take corrective action during a specified period and adopt necessary measures to meet the requirements of the special administrative measure. Where the investment activity of a foreign investor violates the Negative List (2020), it shall be otherwise subject to corresponding legal liabilities under the applicable law.</w:t>
      </w:r>
    </w:p>
    <w:p>
      <w:pPr>
        <w:spacing w:after="0" w:line="17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32406B"/>
        </w:rPr>
        <w:t>On December 30, 2019, the Ministry of Commerce and the State Administration for Market Regulation issued the Measures for the Reporting of Foreign Investment Information, which came into effect on January 1, 2020 and replaced Interim Measures for the Recordation Administration of the Formation and Modification of Foreign-Funded Enterprises , and thus for foreign investors carrying out investment activities directly or indirectly in China, instead of filing formalities, foreign investors shall report their foreign investment information to the commerce authorities.</w:t>
      </w:r>
    </w:p>
    <w:p>
      <w:pPr>
        <w:spacing w:after="0" w:line="15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32406B"/>
        </w:rPr>
        <w:t>Special Administrative Measures (Negative List) for the Access of Foreign Investment (2020) (the “Negative List”) was promulgated by the National Development and Reform Commission and the Ministry of Commerce on June 23, 2020 and became effective on July 23, 2020 and set out the “prohibited” and “restricted” industries for foreign investment. Investing in an industry that falls within the restricted category of the Negative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150</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32406B"/>
        </w:rPr>
        <w:t>List requires the permit granted by competent authorities, while foreign investors may not invest in any prohibited field on the Negative List. Fields not on the Negative List shall be administered under the principle of equal treatment to both domestic and foreign investment.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Licenses for Value-Added Telecommunication Services</w:t>
      </w:r>
    </w:p>
    <w:p>
      <w:pPr>
        <w:spacing w:after="0" w:line="121"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32406B"/>
        </w:rPr>
        <w:t>The Telecommunications Regulations of the People’s Republic of China (the “Telecommunications Regulations”), promulgated by the State Council on September 25, 2000 and last amended on February 6, 2016, provide a regulatory framework for telecommunications services providers in mainland China. The Telecommunications Regulations require telecommunications services providers to obtain an operating license prior to the commencement of their operations. The Telecommunications Regulations categorize telecommunications businesses into basic telecommunications businesses and value-added telecommunications businesses. According to the Catalog of Telecommunications Business, attached to the Telecommunications Regulations and last amended by the Ministry of Industry and Information Technology (“MIIT”) on June 6, 2019, the company’s existing business doesn’t fall within value-added telecommunications services.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VIE holds a valid SP License.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Registration for Import and Export Goods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Pursuant to the Customs Law of the People’s Republic of China promulgated by the SCNPC on January 22, 1987 and amended on July 8, 2000, June 29, 2013, December 28, 2013, November 7, 2016 and November 4, 2017 unless otherwise stipulated, the declaration of import and export goods may be made by consignees and consignors themselves, and such formalities may also be completed by their entrusted customs brokers that have registered with the Customs. The consignees and consignors for import or export of goods and the customs brokers engaged in customs declaration shall register with the Customs in accordance with the laws.</w:t>
      </w:r>
    </w:p>
    <w:p>
      <w:pPr>
        <w:spacing w:after="0" w:line="18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32406B"/>
        </w:rPr>
        <w:t>Pursuant to the Administrative Provisions of the Customs of the People’s Republic of China on the Registration of Customs Declaration Entities promulgated by the General Administration of Customs on March 13, 2014 and last amended on May 29, 2018, the registration of customs declaration entities comprises the registration of the customs declaration enterprise and the registration of the consignor or consignee of imported and exported goods. The consignor or consignee of imported and exported goods shall register with local customs in accordance with the laws.</w:t>
      </w:r>
    </w:p>
    <w:p>
      <w:pPr>
        <w:spacing w:after="0" w:line="15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32406B"/>
        </w:rPr>
        <w:t>In addition, the Foreign Trade Law of the PRC which was promulgated by the SCNPC on May 12, 1994 and last amended on November 7, 2016, and the Measures for the Record Filing and Registration of Foreign Trade Business Operators, which was promulgated by the MOFCOM on June 25, 2004 and last amended on November 30, 2019, require any foreign trade business operator that is engaged in the import and export of goods or technology shall be registered for archival purposes with the administrative department of foreign trade of the State Council or the institution entrusted thereby, unless it is otherwise provided for by any law, administrative regulation or the foreign trade department of the State Council. The specific measures for archival registration shall be formulated by the foreign trade department of the State Council. Where any foreign trade business operator that fails to file for record and registration according to relevant provisions, the customs may not handle the procedures of customs declarations and release of the import or export goods.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 Relating to Information Security and Confidentiality of User Information</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32406B"/>
        </w:rPr>
        <w:t>Internet content in China is regulated and restricted from a state security standpoint. On December 28, 2000, the Standing Committee of the PRC National People’s Congress enacted the Decisions on Maintaining Internet Security, later amended and became effective on August 27, 2009, which subject violators to criminal punishment in China for any effort to: (1) use the internet to market fake and substandard products or carry out false publicity for any commodity or service; (2) use the internet for the purpose of damaging the commercial</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151</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32406B"/>
        </w:rPr>
        <w:t>good will and product reputation of any other person; (3) use the internet for the purpose of infringing on the intellectual property of any person; (4) use the internet for the purpose of fabricating and spreading false information that affects the trading of securities and futures or otherwise jeopardizes the financial order; or (5) create any pornographic website or webpage on the internet, provide links to pornographic websites, or disseminate pornographic books and magazines, movies, audio-visual products, or images. Pursuant to Administrative Measures for the Security Protection of Computer Information Networks Linked to the Internet which was approved by the State Council on December 11, 1997 and promulgated by the Ministry of Public Security on December 16, 1997 and revised by the State Council on January 8, 2011, the Internet is prohibited to be used in ways which, among other things, would result in a leakage of state secrets or a spread of socially destabilizing content. On December 13, 2005, the Ministry of Public Security promulgated Provisions on the Technical Measures for the Protection of the Security of the Internet which requires internet service providers to take proper measures including anti-virus, data back-up and other related measures, to keep records of certain information about its users (including user registration information, log-in and log-out time, IP address, content and time of posts by users) for at least 60 days, and to detect illegal information, stop transmission of such information, and keep relevant records. If an internet information service provider violates these measures, the Ministry of Public Security and the local security bureaus may revoke its operating license and shut down its websites. Pursuant to Circular of the Ministry of Public Security, the State Secrecy Bureau, the State Cipher Code Administration and the Information Office of the State Council on Printing and Distributing the Administrative Measures for the Graded Protection of Information Security which was promulgated on June 22, 2007, the state shall, by formulating nationally effective administrative norms and technical standards for the graded protection of information security, organize citizens, legal persons and other organizations to grade information systems and protect their security, and supervise and administer the graded protection work. The security protection grade of an information system may be classified into the five grades. To newly build an information system of Grade II or above, its operator or user shall, within 30 days after it is put into operation, handle the record-filing procedures at the local public security organ at the level of municipality divided into districts or above of its locality.</w:t>
      </w:r>
    </w:p>
    <w:p>
      <w:pPr>
        <w:spacing w:after="0" w:line="38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32406B"/>
        </w:rPr>
        <w:t>PRC governmental authorities have enacted laws and regulations on internet use to protect personal information from any unauthorized disclosure. On December 28, 2012, the Standing Committee of the PRC National People’s Congress promulgated the Decision on Strengthening Network Information Protection to enhance the legal protection of information security and privacy on the internet. On July 16, 2013, the MIIT promulgated the Provisions on Protection of Personal Information of Telecommunication and Internet Users to regulate the collection and use of users’ personal information in the provision of telecommunication services and internet information services in China. Telecommunication business operators and internet service providers are required to establish its own rules for collecting and use of users’ information and cannot collect or use users’ information without users’ consent. Telecommunication business operators and internet service providers are prohibited from disclosing, tampering with, damaging, selling or illegally providing others with, collected personal information. According to the Measures on Punishment for Infringement of Consumer Rights, which is promulgated by State Administration for Industry and Commerce of the PRC on January 5, 2015 and amended on October 23, 2020, business operators collecting and using personal information of consumers must comply with the principles of legitimacy, propriety and necessity, specify the purpose, method and scope of collection and use of the information, and obtain the consent of the consumers whose personal information is to be collected. Business operators may not (1) collect or use personal information of consumers without their consent, (2) unlawfully divulge, sell or provide personal information of consumers to others or (3) send commercial information to consumers without their consent or request, or when a consumer has explicitly declined to receive such information. General Rules of the Civil Law of the PRC that was issued on March 15, 2017 and took effect on October 1, 2017 provides that natural persons’ personal information shall be protected by law and any organizations and individuals shall legally collect personal information and ensure the security of personal information collected. It is not allowed to illegally collect, use, process or transfer the personal information. Civil Code of the People’s Republic of China was issued on May 28, 2020 and will take effect on January 1, 2021 stipulates the protection of Personal Information.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152</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32406B"/>
        </w:rPr>
        <w:t>On November 7, 2016, Standing Committee of the PRC National People’s Congress published the Cyber Security Law of the PRC, which took effect on June 1, 2017 and requires network operators to perform certain functions related to cyber security protection and the strengthening of network information management. For instance, under the Cyber Security Law, network operators of key information infrastructure shall store within the territory of the PRC all the personal information and important data collected and produced within the territory of PRC and their purchase of network products and services that may affect national securities shall be subject to national cyber security review.</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32406B"/>
        </w:rPr>
        <w:t>On May 8, 2017, Supreme People’s Court and Supreme People’s Procuratorate published the Interpretation of the Supreme People’s Court and the Supreme People’s Procuratorate on Several Issues concerning the Application of Law in the Handling of Criminal Cases of Infringing on Citizens’ Personal Information, which took effect on June 1, 2017 and strengthened the punishment for the criminal activities of infringing on citizens’ personal information.</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32406B"/>
        </w:rPr>
        <w:t>Administrative Provisions on Mobile Internet Applications Information Services (the “App Provisions”) promulgated by the Cyberspace Administration of China on June 28, 2016 and became effective on August 1, 2016 regulated the App information service providers and the App Store service providers. Under the App Provisions, the App information service providers shall acquire relevant qualifications required by laws and regulations and implement the information security management responsibilities strictly and fulfill their obligations as follows: (i) shall authenticate the identity information of the registered users including their mobile telephone number and other identity information under the principle that mandatory real name registration at the back-office end, and voluntary real name display at the front-office end, (ii) shall establish and perfect the mechanism for the protection of users’ information, and follow the principle of legality, rightfulness and necessity, indicate expressly the purpose, method and scope of collection and use and obtain the consent of users while collecting and using users’ personal information, (iii) shall establish and perfect the mechanism for the examination and management of information content, and in terms of any information content released that violates laws or regulations, take such measures as warning, restricting the functions, suspending the update and closing the accounts as the case may be, keep relevant records and report the same to relevant competent authorities, (iv) shall safeguard users’ right to know and to make choices when users are installing or using such applications, and shall neither start such functions as collecting the information of users’ positions, accessing users’ contacts, turning on the camera and recording the sound, or any other function irrelevant to the services, nor force fully install any other irrelevant applications without prior consent of users when noticed expressly, (v) shall respect and protect the intellectual properties and shall neither produce nor release any application that infringes others’ intellectual properties; and (vi) shall record the users’ log information and keep the same for 60 days.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Regulations Relating to Product Quality</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32406B"/>
        </w:rPr>
        <w:t>Products made in mainland China are subject to the Product Quality Law of the People’s Republic of China, which was promulgated on February 22, 1993, last amended on December 29, 2018. According to the Product Quality Law, a manufacturer of a product is responsible to compensate for the damages to any person or property caused by the defect of such a product, unless the manufacturer is able to prove that: (i) it has not circulated the product; (ii) the defect did not exist at the time when the product was circulated; or (iii) scientific or technological knowledge at the time when the product was circulated was not such that it allowed the defect to be discovered.</w:t>
      </w:r>
    </w:p>
    <w:p>
      <w:pPr>
        <w:spacing w:after="0" w:line="188"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32406B"/>
        </w:rPr>
        <w:t>The Consumer Rights and Interests Protection Law of the People’s Republic of China (the “Consumers Protection Law”) was promulgated on October 31, 1993 and became effective on January 1, 1994. The Consumers Protection Law has been further revised on August 27, 2009 and October 25, 2013. According to the Consumers Protection Law, unless otherwise provided by this law, an operator that provides products or services may bear civil liability in accordance with the Product Quality Law and other relevant laws and regulations.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153</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32406B"/>
        </w:rPr>
        <w:t>According to the Administrative Regulations for Compulsory Product Certification, which was promulgated by the General Administration of Quality Supervision, Inspection and Quarantine P.R.C. (the “AQSIQ”) (which has merged into the State Administration for Market Regulation) on July 3, 2009, products specified by the state shall not be delivered, sold, imported or used in other business activities until they are certified (the “Compulsory Product Certification”) and labeled with China Compulsory Certification mark. For products that are subject to Compulsory Product Certification, the state implements unified product catalogs (the “3C Catalog”), unified compulsory requirements, standards and compliance assessment procedures in technical specification, unified certification marks and unified charging standards.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 Relating to Intellectual Property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Regulation on Patents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32406B"/>
        </w:rPr>
        <w:t xml:space="preserve">The National People’s Congress adopted the </w:t>
      </w:r>
      <w:r>
        <w:rPr>
          <w:rFonts w:ascii="Arial" w:cs="Arial" w:eastAsia="Arial" w:hAnsi="Arial"/>
          <w:sz w:val="16"/>
          <w:szCs w:val="16"/>
          <w:i w:val="1"/>
          <w:iCs w:val="1"/>
          <w:color w:val="32406B"/>
        </w:rPr>
        <w:t>Patent Law of the People’s Republic of China</w:t>
      </w:r>
      <w:r>
        <w:rPr>
          <w:rFonts w:ascii="Arial" w:cs="Arial" w:eastAsia="Arial" w:hAnsi="Arial"/>
          <w:sz w:val="16"/>
          <w:szCs w:val="16"/>
          <w:color w:val="32406B"/>
        </w:rPr>
        <w:t xml:space="preserve"> in 1984 and amended it in 1992, 2000 and 2008, respectively.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A patent is valid for a twenty-year term for an invention and a ten-year term for a utility model or design,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Regulation on Copyright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32406B"/>
        </w:rPr>
        <w:t>In accordance with the Copyright Law of the PRC which was promulgated by Standing Committee of the National People’s Congress on September 7, 1990 and last amended on November 11, 2020, and will take effect on June 1, 2021. Chinese citizens, legal persons or other entities own the copyright in their works whether published or not, including written works; oral works; music, comedy arts of talking and singing, dance and acrobatics; work of art and architecture work; photographic works; cinematographic work and work created by the method similar to the film production method; engineering design drawing, product design drawing, map, sketch and other graphic works and model works; computer software and other works specified by laws and administrative regulations. The rights a copyright owner has include but not limited to the following rights of the person and property rights: the right of publication, right of authorship, right of modification, right of integrity, right of reproduction, distribution right, rental right, right of network communication, translation right and right of compilation.</w:t>
      </w:r>
    </w:p>
    <w:p>
      <w:pPr>
        <w:spacing w:after="0" w:line="178"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32406B"/>
        </w:rPr>
        <w:t>In accordance with the Regulations on the Protection of Computer Software promulgated by the State Council on June 4, 1991 and last amended on January 30, 2013, Chinese citizens, legal persons or other entities own the copyright, including the right of publication, right of authorship, right of modification, right of reproduction, distribution right, rental right, right of network communication, translation right and other right software copyright owners shall have in software developed by them, regard less of whether it has been published. In accordance with the Measures for the Registration of Computer Software Copyright promulgated by the National Copyright Administration on February 20, 2002, software copyrights, exclusive licensing contracts for software copyrights and software copyright transfer contracts shall be registered, and the National Copyright Administration shall be the competent authority for the administration of software copyright registration and designates the Copyright Protection Center of China as a software registration authority. The Copyright Protection Center of China shall grant a registration certificate to a computer software copyright applicant who complies with regulations.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154</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Regulation on Trademark</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32406B"/>
        </w:rPr>
        <w:t>Trademarks are protected by the Trademark Law of the PRC (Revised in 2019) which was promulgated on August 23, 1982 and last amended on April 23, 2019 and come into effect on November 1, 2019, respectively as well as the Implementation Regulation of the PRC Trademark Law adopted by the State Council on August 3, 2002 (Revised in 2014). In China, registered trademarks include commodity trademarks, service trademarks, collective marks and certification marks.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32406B"/>
        </w:rPr>
        <w:t>The Trademark Office under the SAIC handles trademark registrations and grants a term of ten years to registered trademarks. Trademarks are renewable every ten years where a registered trademark needs to be used after the expiration of its validity term. A registration renewal application shall be filed within six months prior to the expiration of the term. A trademark registrant may license its registered trademark to another party by entering into a trademark license contract. Trademark license agreements must be filed with the Trademark Office to be recorded. The licensor shall supervise the quality of the commodities on which the trademark is used, and the licensee shall guarantee the quality of such commodities. The Trademark Law of PRC has adopted a “first come, first file” principle with respect to trademark registration. Where trademark for which a registration application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Trademarks are granted for a term of ten years. 12 months prior to the expiration of the ten-year term, the trademark registrant shall apply for the renewal of registration; if the trademark registrant does not make the renewal during the foregoing period, another six months extension can be granted.</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Regulation on Domain Name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32406B"/>
        </w:rPr>
        <w:t>In accordance with the Measures for the Administration of Internet Domain Names which was promulgated by the Ministry of Industry &amp; Information Technology on August 24, 2017 and came into effect on November 1, 2017, whoever engages in Internet domain name services and its operation and maintenance, supervision and administration and other related activities within the territory of the People’s Republic of China shall abide by these Measures.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32406B"/>
        </w:rPr>
        <w:t>In accordance with the Notice of the Ministry of Industry and Information Technology on Regulating the Use of Domain Names in Internet Information Services which was promulgated by the Ministry of Industry and Information Technology of the PRC on November 27, 2017 and came into effect on January 1, 2018, Internet access service providers shall verify the identity of each Internet information service provider, and shall not provide services to any Internet information service provider who fails to provide real identity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Regulations Relating to Data Privacy and Security</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32406B"/>
        </w:rPr>
        <w:t>Our practices with regard to the collection, use, storage, retention, transfer, disclosure, and other processing of personal data make us subject to various state, federal, and international privacy laws, rules and regulations, including, among others, the General Data Protection Regulation (EU) 2016/679 (“GDPR”), the California Consumer Privacy Act of 2018 (“CCPA”) and the recently passed California Privacy Rights Act (“CPRA”), and the various cybersecurity and data privacy regulations under PRC law. These laws and regulations, or other state, federal and international laws and regulations applicable to us and our business, provide consumers with various rights and protections, impose restrictions on our processing activities, impose requirements for the safeguarding and proper destruction of personal data and, in certain circumstances, impose obligations to notify affected individuals and governmental authorities, among others, of security breaches affecting personal data.</w:t>
      </w:r>
    </w:p>
    <w:p>
      <w:pPr>
        <w:spacing w:after="0" w:line="17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32406B"/>
        </w:rPr>
        <w:t>The GDPR, which applies to the collection, use, storage, retention, transfer, disclosure, and other processing of personal data obtained from individuals located in the EU or by businesses operating within the EU, became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155</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32406B"/>
        </w:rPr>
        <w:t>effective on May 25, 2018 and has resulted, and will continue to result, in significantly greater compliance burdens and costs for companies with customers, users, or operations in the EU. The GDPR places stringent obligations and operational requirements on processors and controllers of personal data and could make it more difficult or more costly for us to use and transfer personal data. Under the GDPR, data protection supervisory authorities are also given various enforcement powers, including levying fines of up to 20 million Euros or up to 4% of an organization’s annual worldwide turnover, whichever is greater, for the preceding financial year, for non-compliance.</w:t>
      </w:r>
    </w:p>
    <w:p>
      <w:pPr>
        <w:spacing w:after="0" w:line="17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32406B"/>
        </w:rPr>
        <w:t>Outside of the EU, many jurisdictions have adopted, are adopting or are considering adopting new data privacy and security laws, which may result in additional expenses and operational burdens for us and increase the risk of noncompliance. At the U.S. federal, state and local level, there is increased focus on regulating the collection, storage, use, retention, security, disclosure, transfer and other processing of confidential, sensitive and personal information. In recent years, we have seen significant changes to data privacy regulations across the U.S. As of January 1, 2020, the CCPA increased privacy rights for California residents and imposed obligations on companies that process their personal information, including an obligation to provide certain new disclosures to such residents. Specifically, among other things, the CCPA created new consumer rights, and corresponding obligations on covered businesses, relating to the access to, deletion of, and sharing of personal information collected by covered businesses, including a consumer’s right to opt out of certain sales of their personal information. The CCPA also provides for civil penalties for violations, as well as a private right of action for certain data breaches that result in the loss of personal information. The CCPA was amended in September 2018, November 2019 and September 2020, and it is possible that further amendments will be enacted, but even in its current form it remains unclear how various provisions of the CCPA will be interpreted and enforced. Additionally, a new privacy law, the CPRA, was approved by California voters in the election of November 3, 2020. The CPRA, which will take effect in most material respects on January 1, 2023, modifies the CCPA significantly, including by expanding consumers’ rights with respect to certain personal data and creating a new state agency to oversee implementation and enforcement efforts, potentially resulting in further uncertainty and requiring us to incur additional costs and expenses in an effort to comply.</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32406B"/>
        </w:rPr>
        <w:t>We expect that data privacy and security matters will only receive greater attention and focus from legislators and regulators in the coming years, as well as further increased public scrutiny. While we have adopted certain policies and procedures pursuant to applicable data privacy and security laws and regulations, including our privacy policy and certain internal data protection policies, these policies and procedures may need to be updated when additional information concerning best practices is made available through guidance from regulators or published enforcement decisions, and further detailed policies and procedures may need to be adopted in the future in order to better support our compliance with applicable data privacy and security laws and regulations. Moreover, future changes in data privacy and security laws and regulations may impact our operations and business in ways that are difficult to predict. See “Risk Factors—Compliance with the rapidly evolving landscape of global data privacy and security laws may be challenging, and any failure or perceived failure to comply with such laws, or other concerns about our practices or policies with respect to the processing of personal data, could damage our reputation and deter current and potential customers and users from using our platform and products and services or subject us to significant compliance costs or penalties, which could materially and adversely affect our business,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 Relating to Employment and Social Welfare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Regulation on Labor</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32406B"/>
        </w:rPr>
        <w:t>Pursuant to the Labor Contract Law, issued on June 29, 2007, amended on December 28, 2012 and newly effective on July 1, 2013, labor contracts shall be concluded in writing if labor relationships are to be or have been established between enterprises or institutions and the laborers. Enterprises and institutions are forbidden to force laborers to work beyond the time limit and employers shall pay laborers for overtime work in accordance with national regulations. In addition, labor wages shall not be lower than local standards on minimum wages and shall be paid to laborers in a timely manner.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156</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287" w:lineRule="auto"/>
        <w:rPr>
          <w:sz w:val="20"/>
          <w:szCs w:val="20"/>
          <w:color w:val="auto"/>
        </w:rPr>
      </w:pPr>
      <w:r>
        <w:rPr>
          <w:rFonts w:ascii="Arial" w:cs="Arial" w:eastAsia="Arial" w:hAnsi="Arial"/>
          <w:sz w:val="16"/>
          <w:szCs w:val="16"/>
          <w:color w:val="32406B"/>
        </w:rPr>
        <w:t>According to the Labor Law of the PRC promulgated on July 5, 1994 and last amended and newly effective on December 29, 2018, enterprises and institutions shall establish and improve their system of work place safety and sanitation, strictly abide by state rules and standards on workplace safety, educate laborers in labor safety and sanitation in the PRC. Labor safety and sanitation facilities shall comply with state-fixed standards.</w:t>
      </w:r>
    </w:p>
    <w:p>
      <w:pPr>
        <w:spacing w:after="0" w:line="2" w:lineRule="exact"/>
        <w:rPr>
          <w:sz w:val="20"/>
          <w:szCs w:val="20"/>
          <w:color w:val="auto"/>
        </w:rPr>
      </w:pPr>
    </w:p>
    <w:p>
      <w:pPr>
        <w:jc w:val="both"/>
        <w:ind w:left="120" w:right="280"/>
        <w:spacing w:after="0" w:line="260" w:lineRule="auto"/>
        <w:rPr>
          <w:sz w:val="20"/>
          <w:szCs w:val="20"/>
          <w:color w:val="auto"/>
        </w:rPr>
      </w:pPr>
      <w:r>
        <w:rPr>
          <w:rFonts w:ascii="Arial" w:cs="Arial" w:eastAsia="Arial" w:hAnsi="Arial"/>
          <w:sz w:val="18"/>
          <w:szCs w:val="18"/>
          <w:color w:val="32406B"/>
        </w:rPr>
        <w:t>Enterprises and institutions shall provide laborers with a safe workplace and sanitation conditions which are in compliance with state stipulations and the relevant articles of labor protection.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Regulation on Social Insurance and Housing Fund</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As required under the Regulation of Insurance for Labor Injury implemented on January 1, 2004, amended on December 20, 2010 and effective on January 1, 2011, the Provisional Measures for Maternity Insurance of Employees of Corporation implemented on January 1, 1995, the Decisions on the Establishment of a Unified Program for Basic Old-Aged Pension Insurance of the State Council issued on July 16, 1997, the Decisions on the Establishment of the Medical Insurance Program for Urban Workers of the State Council promulgated on December 14, 1998, The Unemployment Insurance Measures promulgated on January 22, 1999,the Social Insurance Law of the PRC implemented on July 1, 2011 and amended on December 29, 2018 and the Interim Regulations on the Collection and Payment of Social Insurance Premiums promulgated on January 22, 1999 and amended on March 24, 2019 , enterprises are obliged to provide their employees in the PRC with welfare schemes covering pension insurance, unemployment insurance, maternity insurance, labor injury insurance and medical insurance. These payments are made to local administrative authorities and any employer that fails to contribute may be fined and ordered to make up within a prescribed time limit.</w:t>
      </w:r>
    </w:p>
    <w:p>
      <w:pPr>
        <w:spacing w:after="0" w:line="18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32406B"/>
        </w:rPr>
        <w:t>In accordance with the Regulations on the Management of Housing Funds which was promulgated by the State Council on April 3, 1999 and last amended on March 24, 2019, enterprises must register at the competent managing center for housing funds and upon the examination by such managing center of housing funds, these enterprises shall complete procedures for opening an account at the relevant bank for the deposit of employees’ housing funds. Enterprises are also required to pay and deposit housing funds on behalf of their employees in full and in a timely manner.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 Relating to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Enterprise Income Tax</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32406B"/>
        </w:rPr>
        <w:t>According to the EIT Law and its relevant implementation regulations, taxpayers consist of resident enterprises and non-resident enterprises. Resident enterprises are defined as enterprises that are established in China in accordance with PRC laws, or that are established in accordance with the laws of foreign countries but whose actual or de facto control is administered from within the PRC. Non-resident enterprises are defined as enterprises that are set up in accordance with the laws of foreign countries and whose actual administration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applicable. However, if non-resident enterprises have not formed permanent establishments or premises in the PRC, or if they have formed permanent establishment institutions or premises in the PRC but there is no actual relationship between the relevant income derived in the PRC and the established institutions or premises set up by them, the enterprise income tax is, in that case, set at the rate of 10% for their income sourced from inside the PRC.</w:t>
      </w:r>
    </w:p>
    <w:p>
      <w:pPr>
        <w:spacing w:after="0" w:line="16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32406B"/>
        </w:rPr>
        <w:t>According to the EIT Law and relevant implementation regulations, the EIT tax rate of a high and new technology enterprise is 15%. Pursuant to the Administrative Measures for the Recognition of High and New Technology Enterprises, effected on January 1, 2008 and amended on January 29, 2016, the certificate of a high and new technology enterprise is valid for three years. An enterprise shall, after being accredited as a high-tech enterprise, fill out and submit the statements on annual conditions concerning the intellectual property rights, scientific and technical personnel, expenses on research and development and operating income for the previous year on the “website for the administration of accreditation of high-tech enterprises”.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157</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32406B"/>
        </w:rPr>
        <w:t>The Notice on Taxation Policies for Further Encouraging the Development of the Software and Integrated Circuit Industries, which was promulgated by the Ministry of Finance and the SAT on April 20, 2012 and effected on January 1, 2011 and the Notice on Issues Relating to the Preferential Policies for Enterprise Income Tax in Software and Integrated Circuits Industry promulgated by the Ministry of Finance, the SAT, the NDRC and the MIIT on May 4, 2016, provide that, upon certification, newly established integrated circuit design enterprises and eligible software enterprises shall be exempt from the enterprise income tax for the first two years of the preferential period, and shall be levied thereon at half of the statutory rate of 25% for the next three years until the expiration of the preferential period. The preferential period starts from the first profitable year before December 31, 2017.</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Value-Added Tax</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32406B"/>
        </w:rPr>
        <w:t>Pursuant to the Provisional Regulations on Value-Added Tax of the PRC promulgated by the State Council on December 13, 1993 and subsequently amended on November 10, 2008, February 6, 2016 and November 19, 2017 respectively, taxpayers engaging in sale of goods, provision of processing services, repairs and replacement services or importation of goods within the territory of the PRC shall pay value-added tax (the “VAT”).</w:t>
      </w:r>
    </w:p>
    <w:p>
      <w:pPr>
        <w:spacing w:after="0" w:line="14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32406B"/>
        </w:rPr>
        <w:t>On November 16, 2011, the MOF and the SAT jointly promulgated the Pilot Plan for Levying Value-Added Tax in Lieu of Business Tax. Starting from January 1, 2012, the PRC government has been gradually implementing a pilot program in certain provinces and municipalities, to levy a 6% VAT on revenue generated from certain kinds of services in lieu of the business tax.</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32406B"/>
        </w:rPr>
        <w:t>On March 23, 2016, the PRC Ministry of Finance and the SAT jointly issued the Notice of the Ministry of Finance and the State Administration of Taxation on Implementing the Pilot Program of Replacing Business Tax with Value-Added Tax in an All-round Manner (the “Circular36”) which confirms that business tax will be completely replaced by VAT from May 1, 2016. The Notice of the Ministry of Finance and the SAT on the Adjustment to VAT Rates, promulgated on April 4, 2018 and effective as of May 1, 2018, adjusted the applicative rate of Value-Added Tax as follows: (1) The deduction rates of 17% and 11% applicable to the taxpayers who have VAT taxable sales activities or imported goods are adjusted to 16% and 10%, respectively. (2) The deduction rate of 11% originally applicable to the taxpayers who purchase agricultural products is adjusted to 10%. (3) When taxpayers purchase agricultural products for production, sales, or consignment processing, to which the tax rate of 16% is applicable, the input tax amount shall be calculated at the deduction rate of 12%. (4) For the export goods to which a tax rate of 17% was originally applicable and the export rebate rate was 17%, the export rebate rate is adjusted to 16%. For the export good sand cross-border taxable activities to which a tax rate of 11% was originally applicable and the export rebate rate was 11%, the export rebate rate is adjusted to 10%. (5) For the goods or cross-border taxable activities specified in Paragraph 4 hereof that are exported or sold by foreign trade enterprises before July 31, 2018, if VAT has been levied at the rate not adjusted at the time of purchase, the export rebate rate not adjusted shall be applicable; if the VAT has been levied at the adjusted tax rate at the time of purchase, the adjusted export tax rebate rate shall be applicable. To the goods or cross-border taxable activities specified in Paragraph 4 hereof that are exported or sold by production enterprises before July 31, 2018, the export rebate rate not adjusted shall be applicable.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Dividend Withholding Tax</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32406B"/>
        </w:rPr>
        <w:t>Furthermore, pursuant to the Notice of the State Administration of Taxation on the Issues concerning the Application of the Dividend Clauses of Tax Agreements, which was promulgated and effective on February 20, 2009, all of the following requirements should be satisfied where a fiscal resident of the other party to the tax agreement needs to be entitled to such tax agreement treatment as being taxed at a tax rate specified in the tax agreement for the dividends paid to it by a PRC resident company: (1) such a fiscal resident who obtains dividends should be a company as provided in the tax agreement; (2) owner’s equity interests and voting shares of the PRC resident company directly owned by such a fiscal resident reaches a specified percentage; and (3) the equity interests of the PRC resident company directly owned by such a fiscal resident, at any time during the 12 months prior to the acquisition of the dividends, reaches a percentage specified in the tax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158</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In addition, according to the Announcement of the State Taxation Administration on Issuing the Measures for Non-resident Taxpayers’ Enjoyment of Treaty Benefits, promulgated by the SAT on October 14, 2019 and became effective on January 1, 2020, where a non-resident enterprise that receives dividends from a PRC resident enterprise wishes to enjoy the favorable tax benefits under the convention treatment, it may be entitled to the convention treatment itself when filing a tax return or making a withholding declaration through a withholding agent, subject to the subsequent administration by the tax authorities.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 Relating to Foreign Exchange</w:t>
      </w:r>
    </w:p>
    <w:p>
      <w:pPr>
        <w:spacing w:after="0" w:line="12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32406B"/>
        </w:rPr>
        <w:t>Pursuant to the Foreign Exchange Administration Regulations of the PRC, as amended in August 5,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of China, unless the SAFE’s prior approval is obtained and prior registration with SAFE is made. On May 10, 2013, SAFE promulgated the Notice of the State Administration of Foreign Exchange on Issuing the Provisions on the Foreign Exchange Administration of Domestic Direct Investment of Foreign Investors and the Supporting Documents (the “SAFE Circular No. 21”). It provided for and simplified the operational steps and regulations on foreign exchange matters related to direct investment by foreign investors, including foreign exchange registration, account opening and use, receipt and payment of funds, and settlement and sales of foreign exchange.</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32406B"/>
        </w:rPr>
        <w:t>Pursuant to the Notice of the State Administration of Foreign Exchange on Further Improving and Adjusting Foreign Exchange Administration Policies for Direct Investment (the “SAFE Circular No. 59”) promulgated by SAFE on November 19, 2012, that became effective on December 17, 2012 and was further amended on May 4, 2015, approval is not required for the opening of an account entry in foreign exchange accounts under direct investment. SAFE Notice No. 59 also simplified the capital verification and confirmation formalities for foreign invested entities, the foreign capital and foreign exchange registration formalities required for the foreign investors to acquire equities from Chinese party, and further improved the administration on exchange settlement of foreign exchange capital of foreign invested entities.</w:t>
      </w:r>
    </w:p>
    <w:p>
      <w:pPr>
        <w:spacing w:after="0" w:line="17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32406B"/>
        </w:rPr>
        <w:t>Pursuant to the Notice of the State Administration of Foreign Exchange on Issues concerning Foreign Exchange Administration of the Overseas Investment and Financing and the Round-tripping Investment Made by Domestic Residents through Special-Purpose Companies (the “SAFE Circular No. 37”), promulgated by SAFE and which became effective on July 4, 2014, (1) a PRC resident (“PRC Resident”) shall register with the local SAFE branch before he or she contributes assets or equity interests in an overseas special purpose vehicle (“Overseas SPV”), that is directly established or controlled by the PRC Resident for the purpose of conducting investment or financing; and (2) following the initial registration, the PRC Resident is also required to register with the local SAFE branch for any major change, in respect of the Overseas SPV, including, among other things, a change of the Overseas SPV’s PRC Resident shareholder(s), name of the Overseas SPV, term of operation, or any increase or reduction of the Overseas SPV’s registered capital, share transfer or swap, and merger or division. Pursuant to SAFE Circular No.37, failure to comply with these registration procedures may result in penalties.</w:t>
      </w:r>
    </w:p>
    <w:p>
      <w:pPr>
        <w:spacing w:after="0" w:line="18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32406B"/>
        </w:rPr>
        <w:t>Pursuant to the Notice of the State Administration of Foreign Exchange on Further Simplifying and Improving Policies for the Foreign Exchange Administration of Direct Investment (the “Circular 13”), which was promulgated on February 13, 2015 and became effective on June 1, 2015, the foreign exchange registration under domestic direct investment and the foreign exchange registration under overseas direct investment is directly reviewed and handled by banks in accordance with the Circular 13, and the SAFE and its branches shall perform indirect regulation over the foreign exchange registration via banks.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159</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 Relating to Dividend Distribution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32406B"/>
        </w:rPr>
        <w:t>The principal laws, rule and regulations governing dividends distribution by companies in the PRC are the PRC Company Law, which applies to both PRC domestic companies and foreign-invested companies, and the Foreign Investment Law and its implementing rules, which apply to foreign-invested companies. Under these laws, regulations and rules, both domestic companies and foreign-invested companies in the PRC are required to set aside as general reserves at least 10% of their after-tax profit, until the cumulative amount of their reserves reaches 50% of their registered capital. PRC companies are not permitted to distribute any profits until any losses from prior fiscal years have been offset. Profits retained from prior fiscal years may be distributed together with distributable profits from the current fiscal year.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Regulations Relating to Employee Equity Incentive Plan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Pursuant to SAFE Circular 37, PRC residents who participate in equity incentive plan in overseas non-publicly-listed companies may submit applications to SAFE or its local branches for the foreign exchange registration with respect to offshore special purpose companies. In addition, pursuant to the Notice of Issues Related to the Foreign Exchange Administration for Domestic Individuals Participating in Stock Incentive Plan of Overseas Listed Company(the “SAFE Circular 7”) which was issued by the SAFE on February 15, 2012, employees, directors, supervisors, and other senior management participating in any equity incentive plan of an overseas publicly-listed company who are PRC citizens or who are non-PRC citizens residing in China for a continuous period of not less than one year, subject to a few exceptions, are required to register with SAFE through a domestic agency as regulated in SAFE Circular 7.</w:t>
      </w:r>
    </w:p>
    <w:p>
      <w:pPr>
        <w:spacing w:after="0" w:line="19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32406B"/>
        </w:rPr>
        <w:t>In addition, the SAT has issued certain circulars concerning employee stock options and restricted shares, including the Circular on Issues Concerning the Individual Income Tax on Share-option Incentives (the “Circular 461”) which was promulgated and took effective on August 24, 2009. Under Circular 461 and other relevant laws and regulations,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subsidiary may face sanctions imposed by the tax authorities or other PRC governmental authorities.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Regulation Relating to M&amp;A and Overseas Listing</w:t>
      </w:r>
    </w:p>
    <w:p>
      <w:pPr>
        <w:spacing w:after="0" w:line="121" w:lineRule="exact"/>
        <w:rPr>
          <w:sz w:val="20"/>
          <w:szCs w:val="20"/>
          <w:color w:val="auto"/>
        </w:rPr>
      </w:pPr>
    </w:p>
    <w:p>
      <w:pPr>
        <w:ind w:left="120" w:right="200" w:firstLine="440"/>
        <w:spacing w:after="0" w:line="284" w:lineRule="auto"/>
        <w:rPr>
          <w:sz w:val="20"/>
          <w:szCs w:val="20"/>
          <w:color w:val="auto"/>
        </w:rPr>
      </w:pPr>
      <w:r>
        <w:rPr>
          <w:rFonts w:ascii="Arial" w:cs="Arial" w:eastAsia="Arial" w:hAnsi="Arial"/>
          <w:sz w:val="16"/>
          <w:szCs w:val="16"/>
          <w:color w:val="32406B"/>
        </w:rPr>
        <w:t>The Regulations on Mergers and Acquisitions of Domestic Enterprises by Foreign Investors (the “M&amp;A Rules”), was promulgated by six PRC ministries including MOFCOM, the State-owned Assets Supervision and Administration Commission of the State Council, the SAT, the State Administration for Industry &amp; Commerce (the “SAIC”), the CSRC, and State Administration of Foreign Exchange (the “SAFE”) on August 8, 2006, became effective on September 8, 2006, and was amended and became effective on June 22, 2009. The M&amp;A Rules stipulate that a foreign investor is required to obtain necessary approvals when it: (1) acquires the equity of a domestic enterprise so as to convert the domestic enterprise into a foreign-invested enterprise; (2) subscribes for the increased capital of a domestic enterprise so as to convert the domestic enterprise into a foreign-invested enterprise; (3) establishes a foreign-invested enterprise through which it purchases the assets of any domestic enterprise and operates these assets; or</w:t>
      </w:r>
    </w:p>
    <w:p>
      <w:pPr>
        <w:spacing w:after="0" w:line="2" w:lineRule="exact"/>
        <w:rPr>
          <w:sz w:val="20"/>
          <w:szCs w:val="20"/>
          <w:color w:val="auto"/>
        </w:rPr>
      </w:pPr>
    </w:p>
    <w:p>
      <w:pPr>
        <w:ind w:left="120" w:right="100" w:hanging="4"/>
        <w:spacing w:after="0" w:line="253" w:lineRule="auto"/>
        <w:tabs>
          <w:tab w:leader="none" w:pos="375"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purchases the assets of a domestic enterprise, and then invests such assets to establish a foreign-invested enterprise. The M&amp;A Rules, among other things, further prescribed that a special purpose vehicle, formed for overseas listing purposes and controlled directly or indirectly by PRC companies or individuals, shall be approved by the MOFCOM prior to its establishment and obtain the approval of the CSRC prior to the listing and trading of such special purpose vehicle’s securities on an overseas stock exchange.</w:t>
      </w:r>
    </w:p>
    <w:p>
      <w:pPr>
        <w:spacing w:after="0" w:line="193"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32406B"/>
        </w:rPr>
        <w:t>Pursuant to the Notice of the Foreign Investment Administration of the Ministry of Commerce on Distributing the Manual of Guidance on Administration for Foreign Investment Access , which was issued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160</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32406B"/>
        </w:rPr>
        <w:t>became effective on December 18, 2008 by the MOFCOM, notwithstanding the fact that (1) the domestic shareholder is connected with the foreign investor or not; or (2) the foreign investor is the existing shareholder or the new investor, the M&amp;A Rules shall not apply to the transfer of an equity interest in an incorporated foreign-invested enterprise from the domestic shareholder to the foreign investor.</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32406B"/>
        </w:rPr>
        <w:t>161</w:t>
      </w:r>
    </w:p>
    <w:p>
      <w:pPr>
        <w:sectPr>
          <w:pgSz w:w="11900" w:h="16838" w:orient="portrait"/>
          <w:cols w:equalWidth="0" w:num="1">
            <w:col w:w="10760"/>
          </w:cols>
          <w:pgMar w:left="320" w:top="459" w:right="8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sets forth information regarding our executive officers and directors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000" w:type="dxa"/>
            <w:vAlign w:val="bottom"/>
            <w:tcBorders>
              <w:bottom w:val="single" w:sz="8" w:color="32406B"/>
            </w:tcBorders>
          </w:tcPr>
          <w:p>
            <w:pPr>
              <w:spacing w:after="0"/>
              <w:rPr>
                <w:sz w:val="20"/>
                <w:szCs w:val="20"/>
                <w:color w:val="auto"/>
              </w:rPr>
            </w:pPr>
            <w:r>
              <w:rPr>
                <w:rFonts w:ascii="Arial" w:cs="Arial" w:eastAsia="Arial" w:hAnsi="Arial"/>
                <w:sz w:val="14"/>
                <w:szCs w:val="14"/>
                <w:b w:val="1"/>
                <w:bCs w:val="1"/>
                <w:color w:val="32406B"/>
                <w:w w:val="91"/>
              </w:rPr>
              <w:t>Directors and Executive Officers</w:t>
            </w:r>
          </w:p>
        </w:tc>
        <w:tc>
          <w:tcPr>
            <w:tcW w:w="24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406B"/>
                <w:w w:val="83"/>
              </w:rPr>
              <w:t>Age</w:t>
            </w:r>
          </w:p>
        </w:tc>
        <w:tc>
          <w:tcPr>
            <w:tcW w:w="6140" w:type="dxa"/>
            <w:vAlign w:val="bottom"/>
          </w:tcPr>
          <w:p>
            <w:pPr>
              <w:ind w:left="2660"/>
              <w:spacing w:after="0"/>
              <w:rPr>
                <w:sz w:val="20"/>
                <w:szCs w:val="20"/>
                <w:color w:val="auto"/>
              </w:rPr>
            </w:pPr>
            <w:r>
              <w:rPr>
                <w:rFonts w:ascii="Arial" w:cs="Arial" w:eastAsia="Arial" w:hAnsi="Arial"/>
                <w:sz w:val="14"/>
                <w:szCs w:val="14"/>
                <w:b w:val="1"/>
                <w:bCs w:val="1"/>
                <w:color w:val="32406B"/>
              </w:rPr>
              <w:t>Position/Title</w:t>
            </w: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32406B"/>
              </w:rPr>
              <w:t>Xueji (Jerry) Wang</w:t>
            </w:r>
          </w:p>
        </w:tc>
        <w:tc>
          <w:tcPr>
            <w:tcW w:w="2480" w:type="dxa"/>
            <w:vAlign w:val="bottom"/>
          </w:tcPr>
          <w:p>
            <w:pPr>
              <w:spacing w:after="0"/>
              <w:rPr>
                <w:sz w:val="16"/>
                <w:szCs w:val="16"/>
                <w:color w:val="auto"/>
              </w:rPr>
            </w:pPr>
          </w:p>
        </w:tc>
        <w:tc>
          <w:tcPr>
            <w:tcW w:w="240" w:type="dxa"/>
            <w:vAlign w:val="bottom"/>
            <w:tcBorders>
              <w:top w:val="single" w:sz="8" w:color="32406B"/>
            </w:tcBorders>
          </w:tcPr>
          <w:p>
            <w:pPr>
              <w:jc w:val="right"/>
              <w:spacing w:after="0" w:line="189" w:lineRule="exact"/>
              <w:rPr>
                <w:sz w:val="20"/>
                <w:szCs w:val="20"/>
                <w:color w:val="auto"/>
              </w:rPr>
            </w:pPr>
            <w:r>
              <w:rPr>
                <w:rFonts w:ascii="Arial" w:cs="Arial" w:eastAsia="Arial" w:hAnsi="Arial"/>
                <w:sz w:val="18"/>
                <w:szCs w:val="18"/>
                <w:color w:val="32406B"/>
              </w:rPr>
              <w:t>38</w:t>
            </w:r>
          </w:p>
        </w:tc>
        <w:tc>
          <w:tcPr>
            <w:tcW w:w="160" w:type="dxa"/>
            <w:vAlign w:val="bottom"/>
          </w:tcPr>
          <w:p>
            <w:pPr>
              <w:spacing w:after="0"/>
              <w:rPr>
                <w:sz w:val="16"/>
                <w:szCs w:val="16"/>
                <w:color w:val="auto"/>
              </w:rPr>
            </w:pPr>
          </w:p>
        </w:tc>
        <w:tc>
          <w:tcPr>
            <w:tcW w:w="6140" w:type="dxa"/>
            <w:vAlign w:val="bottom"/>
            <w:tcBorders>
              <w:top w:val="single" w:sz="8" w:color="32406B"/>
            </w:tcBorders>
          </w:tcPr>
          <w:p>
            <w:pPr>
              <w:spacing w:after="0" w:line="189" w:lineRule="exact"/>
              <w:rPr>
                <w:sz w:val="20"/>
                <w:szCs w:val="20"/>
                <w:color w:val="auto"/>
              </w:rPr>
            </w:pPr>
            <w:r>
              <w:rPr>
                <w:rFonts w:ascii="Arial" w:cs="Arial" w:eastAsia="Arial" w:hAnsi="Arial"/>
                <w:sz w:val="18"/>
                <w:szCs w:val="18"/>
                <w:color w:val="32406B"/>
              </w:rPr>
              <w:t>Director, Founder, Chief Executive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32406B"/>
              </w:rPr>
              <w:t>Liaohan (Leo) Chen</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32406B"/>
              </w:rPr>
              <w:t>38</w:t>
            </w:r>
          </w:p>
        </w:tc>
        <w:tc>
          <w:tcPr>
            <w:tcW w:w="6140" w:type="dxa"/>
            <w:vAlign w:val="bottom"/>
          </w:tcPr>
          <w:p>
            <w:pPr>
              <w:spacing w:after="0"/>
              <w:rPr>
                <w:sz w:val="20"/>
                <w:szCs w:val="20"/>
                <w:color w:val="auto"/>
              </w:rPr>
            </w:pPr>
            <w:r>
              <w:rPr>
                <w:rFonts w:ascii="Arial" w:cs="Arial" w:eastAsia="Arial" w:hAnsi="Arial"/>
                <w:sz w:val="18"/>
                <w:szCs w:val="18"/>
                <w:color w:val="32406B"/>
              </w:rPr>
              <w:t>Director, Founder, President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32406B"/>
              </w:rPr>
              <w:t>Yi (Alex) Yang</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32406B"/>
              </w:rPr>
              <w:t>38</w:t>
            </w:r>
          </w:p>
        </w:tc>
        <w:tc>
          <w:tcPr>
            <w:tcW w:w="6140" w:type="dxa"/>
            <w:vAlign w:val="bottom"/>
          </w:tcPr>
          <w:p>
            <w:pPr>
              <w:spacing w:after="0"/>
              <w:rPr>
                <w:sz w:val="20"/>
                <w:szCs w:val="20"/>
                <w:color w:val="auto"/>
              </w:rPr>
            </w:pPr>
            <w:r>
              <w:rPr>
                <w:rFonts w:ascii="Arial" w:cs="Arial" w:eastAsia="Arial" w:hAnsi="Arial"/>
                <w:sz w:val="18"/>
                <w:szCs w:val="18"/>
                <w:color w:val="32406B"/>
              </w:rPr>
              <w:t>Director, Co-founder, Chief Operation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32406B"/>
              </w:rPr>
              <w:t>Yao (Jessie) Liu</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32406B"/>
              </w:rPr>
              <w:t>45</w:t>
            </w:r>
          </w:p>
        </w:tc>
        <w:tc>
          <w:tcPr>
            <w:tcW w:w="6140" w:type="dxa"/>
            <w:vAlign w:val="bottom"/>
          </w:tcPr>
          <w:p>
            <w:pPr>
              <w:spacing w:after="0"/>
              <w:rPr>
                <w:sz w:val="20"/>
                <w:szCs w:val="20"/>
                <w:color w:val="auto"/>
              </w:rPr>
            </w:pPr>
            <w:r>
              <w:rPr>
                <w:rFonts w:ascii="Arial" w:cs="Arial" w:eastAsia="Arial" w:hAnsi="Arial"/>
                <w:sz w:val="18"/>
                <w:szCs w:val="18"/>
                <w:color w:val="32406B"/>
              </w:rPr>
              <w:t>Director, Senior Vice President, Chief Financial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32406B"/>
              </w:rPr>
              <w:t>Ruixin Zhou</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32406B"/>
              </w:rPr>
              <w:t>38</w:t>
            </w:r>
          </w:p>
        </w:tc>
        <w:tc>
          <w:tcPr>
            <w:tcW w:w="6140" w:type="dxa"/>
            <w:vAlign w:val="bottom"/>
          </w:tcPr>
          <w:p>
            <w:pPr>
              <w:spacing w:after="0"/>
              <w:rPr>
                <w:sz w:val="20"/>
                <w:szCs w:val="20"/>
                <w:color w:val="auto"/>
              </w:rPr>
            </w:pPr>
            <w:r>
              <w:rPr>
                <w:rFonts w:ascii="Arial" w:cs="Arial" w:eastAsia="Arial" w:hAnsi="Arial"/>
                <w:sz w:val="18"/>
                <w:szCs w:val="18"/>
                <w:color w:val="32406B"/>
              </w:rPr>
              <w:t>Co-founder, Chief Technology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32406B"/>
              </w:rPr>
              <w:t>Scott Sandell</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32406B"/>
              </w:rPr>
              <w:t>56</w:t>
            </w:r>
          </w:p>
        </w:tc>
        <w:tc>
          <w:tcPr>
            <w:tcW w:w="6140" w:type="dxa"/>
            <w:vAlign w:val="bottom"/>
          </w:tcPr>
          <w:p>
            <w:pPr>
              <w:spacing w:after="0"/>
              <w:rPr>
                <w:sz w:val="20"/>
                <w:szCs w:val="20"/>
                <w:color w:val="auto"/>
              </w:rPr>
            </w:pPr>
            <w:r>
              <w:rPr>
                <w:rFonts w:ascii="Arial" w:cs="Arial" w:eastAsia="Arial" w:hAnsi="Arial"/>
                <w:sz w:val="18"/>
                <w:szCs w:val="18"/>
                <w:color w:val="32406B"/>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32406B"/>
              </w:rPr>
              <w:t>Carmen Chang</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32406B"/>
              </w:rPr>
              <w:t>72</w:t>
            </w:r>
          </w:p>
        </w:tc>
        <w:tc>
          <w:tcPr>
            <w:tcW w:w="6140" w:type="dxa"/>
            <w:vAlign w:val="bottom"/>
          </w:tcPr>
          <w:p>
            <w:pPr>
              <w:spacing w:after="0"/>
              <w:rPr>
                <w:sz w:val="20"/>
                <w:szCs w:val="20"/>
                <w:color w:val="auto"/>
              </w:rPr>
            </w:pPr>
            <w:r>
              <w:rPr>
                <w:rFonts w:ascii="Arial" w:cs="Arial" w:eastAsia="Arial" w:hAnsi="Arial"/>
                <w:sz w:val="18"/>
                <w:szCs w:val="18"/>
                <w:color w:val="32406B"/>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32406B"/>
              </w:rPr>
              <w:t>Jeff Immelt</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32406B"/>
              </w:rPr>
              <w:t>65</w:t>
            </w:r>
          </w:p>
        </w:tc>
        <w:tc>
          <w:tcPr>
            <w:tcW w:w="6140" w:type="dxa"/>
            <w:vAlign w:val="bottom"/>
          </w:tcPr>
          <w:p>
            <w:pPr>
              <w:spacing w:after="0"/>
              <w:rPr>
                <w:sz w:val="20"/>
                <w:szCs w:val="20"/>
                <w:color w:val="auto"/>
              </w:rPr>
            </w:pPr>
            <w:r>
              <w:rPr>
                <w:rFonts w:ascii="Arial" w:cs="Arial" w:eastAsia="Arial" w:hAnsi="Arial"/>
                <w:sz w:val="18"/>
                <w:szCs w:val="18"/>
                <w:color w:val="32406B"/>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32406B"/>
              </w:rPr>
              <w:t>Qing Gao</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32406B"/>
              </w:rPr>
              <w:t>49</w:t>
            </w:r>
          </w:p>
        </w:tc>
        <w:tc>
          <w:tcPr>
            <w:tcW w:w="6140" w:type="dxa"/>
            <w:vAlign w:val="bottom"/>
          </w:tcPr>
          <w:p>
            <w:pPr>
              <w:spacing w:after="0"/>
              <w:rPr>
                <w:sz w:val="20"/>
                <w:szCs w:val="20"/>
                <w:color w:val="auto"/>
              </w:rPr>
            </w:pPr>
            <w:r>
              <w:rPr>
                <w:rFonts w:ascii="Arial" w:cs="Arial" w:eastAsia="Arial" w:hAnsi="Arial"/>
                <w:sz w:val="18"/>
                <w:szCs w:val="18"/>
                <w:color w:val="32406B"/>
              </w:rPr>
              <w:t>Independent Director</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32406B"/>
              </w:rPr>
              <w:t>Jing Hong</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32406B"/>
              </w:rPr>
              <w:t>47</w:t>
            </w:r>
          </w:p>
        </w:tc>
        <w:tc>
          <w:tcPr>
            <w:tcW w:w="6140" w:type="dxa"/>
            <w:vAlign w:val="bottom"/>
          </w:tcPr>
          <w:p>
            <w:pPr>
              <w:spacing w:after="0"/>
              <w:rPr>
                <w:sz w:val="20"/>
                <w:szCs w:val="20"/>
                <w:color w:val="auto"/>
              </w:rPr>
            </w:pPr>
            <w:r>
              <w:rPr>
                <w:rFonts w:ascii="Arial" w:cs="Arial" w:eastAsia="Arial" w:hAnsi="Arial"/>
                <w:sz w:val="18"/>
                <w:szCs w:val="18"/>
                <w:color w:val="32406B"/>
              </w:rPr>
              <w:t>Independent Director</w:t>
            </w: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32406B"/>
        </w:rPr>
        <w:t xml:space="preserve">Xueji (Jerry) Wang </w:t>
      </w:r>
      <w:r>
        <w:rPr>
          <w:rFonts w:ascii="Arial" w:cs="Arial" w:eastAsia="Arial" w:hAnsi="Arial"/>
          <w:sz w:val="18"/>
          <w:szCs w:val="18"/>
          <w:color w:val="32406B"/>
        </w:rPr>
        <w:t>founded Tuya in 2014 and currently serves as a director and our chief executive officer. Prior to founding Tuya, Mr. Wang</w:t>
      </w:r>
      <w:r>
        <w:rPr>
          <w:rFonts w:ascii="Arial" w:cs="Arial" w:eastAsia="Arial" w:hAnsi="Arial"/>
          <w:sz w:val="18"/>
          <w:szCs w:val="18"/>
          <w:i w:val="1"/>
          <w:iCs w:val="1"/>
          <w:color w:val="32406B"/>
        </w:rPr>
        <w:t xml:space="preserve"> </w:t>
      </w:r>
      <w:r>
        <w:rPr>
          <w:rFonts w:ascii="Arial" w:cs="Arial" w:eastAsia="Arial" w:hAnsi="Arial"/>
          <w:sz w:val="18"/>
          <w:szCs w:val="18"/>
          <w:color w:val="32406B"/>
        </w:rPr>
        <w:t>worked as a senior director in Alibaba. He was responsible for launching a number of major technology and product innovations for Alibaba Cloud and Alipay, including Alibaba’s QR code payment system. Mr. Wang also served in a number of key roles at Alibaba Capital and Taobao. In 2003, Mr. Wang founded PHPWind, one of the most popular open source forums in China acquired by Alibaba in 2008. In 2012, Mr. Wang was recognized by Forbes as a member of China’s Thirty Entrepreneurs Under 30. Mr. Wang holds a bachelor’s degree in Information and Technology Science from Zhejiang Sci-Tech University.</w:t>
      </w:r>
    </w:p>
    <w:p>
      <w:pPr>
        <w:spacing w:after="0" w:line="192"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i w:val="1"/>
          <w:iCs w:val="1"/>
          <w:color w:val="32406B"/>
        </w:rPr>
        <w:t xml:space="preserve">Liaohan (Leo) Chen </w:t>
      </w:r>
      <w:r>
        <w:rPr>
          <w:rFonts w:ascii="Arial" w:cs="Arial" w:eastAsia="Arial" w:hAnsi="Arial"/>
          <w:sz w:val="16"/>
          <w:szCs w:val="16"/>
          <w:color w:val="32406B"/>
        </w:rPr>
        <w:t>co-founded Tuya in 2014 and currently serves as a director and our president. Prior to co-founding Tuya, Mr. Chen served as</w:t>
      </w:r>
      <w:r>
        <w:rPr>
          <w:rFonts w:ascii="Arial" w:cs="Arial" w:eastAsia="Arial" w:hAnsi="Arial"/>
          <w:sz w:val="16"/>
          <w:szCs w:val="16"/>
          <w:i w:val="1"/>
          <w:iCs w:val="1"/>
          <w:color w:val="32406B"/>
        </w:rPr>
        <w:t xml:space="preserve"> </w:t>
      </w:r>
      <w:r>
        <w:rPr>
          <w:rFonts w:ascii="Arial" w:cs="Arial" w:eastAsia="Arial" w:hAnsi="Arial"/>
          <w:sz w:val="16"/>
          <w:szCs w:val="16"/>
          <w:color w:val="32406B"/>
        </w:rPr>
        <w:t>an operations director at Alibaba Cloud and worked on Alibaba’s O2O business. Mr. Chen co-founded PHPWind with Xueji (Jerry) Wang, our founder, director and chief executive officer, in 2003. Mr. Chen holds a master’s degree in Computer Applied Technology from Zhejiang Sci-Tech University.</w:t>
      </w:r>
    </w:p>
    <w:p>
      <w:pPr>
        <w:spacing w:after="0" w:line="14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32406B"/>
        </w:rPr>
        <w:t xml:space="preserve">Yi (Alex) Yang </w:t>
      </w:r>
      <w:r>
        <w:rPr>
          <w:rFonts w:ascii="Arial" w:cs="Arial" w:eastAsia="Arial" w:hAnsi="Arial"/>
          <w:sz w:val="17"/>
          <w:szCs w:val="17"/>
          <w:color w:val="32406B"/>
        </w:rPr>
        <w:t>co-founded Tuya in 2014 and has served as our chief operation officer since May 2015, responsible for our sales, business</w:t>
      </w:r>
      <w:r>
        <w:rPr>
          <w:rFonts w:ascii="Arial" w:cs="Arial" w:eastAsia="Arial" w:hAnsi="Arial"/>
          <w:sz w:val="17"/>
          <w:szCs w:val="17"/>
          <w:i w:val="1"/>
          <w:iCs w:val="1"/>
          <w:color w:val="32406B"/>
        </w:rPr>
        <w:t xml:space="preserve"> </w:t>
      </w:r>
      <w:r>
        <w:rPr>
          <w:rFonts w:ascii="Arial" w:cs="Arial" w:eastAsia="Arial" w:hAnsi="Arial"/>
          <w:sz w:val="17"/>
          <w:szCs w:val="17"/>
          <w:color w:val="32406B"/>
        </w:rPr>
        <w:t>development and product operations. Mr. Yang serves as our director from the date of this prospectus. Prior to co-founding Tuya, Mr. Yang worked at Alibaba where he was responsible for launching a number of Alibaba’s strategic initiatives, such as Cloud E-commerce and Cloud OS. Mr. Yang holds a bachelor’s degree in International Economics and Trade from Guangdong University of Foreign Studies.</w:t>
      </w:r>
    </w:p>
    <w:p>
      <w:pPr>
        <w:spacing w:after="0" w:line="17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i w:val="1"/>
          <w:iCs w:val="1"/>
          <w:color w:val="32406B"/>
        </w:rPr>
        <w:t xml:space="preserve">Yao (Jessie) Liu </w:t>
      </w:r>
      <w:r>
        <w:rPr>
          <w:rFonts w:ascii="Arial" w:cs="Arial" w:eastAsia="Arial" w:hAnsi="Arial"/>
          <w:sz w:val="17"/>
          <w:szCs w:val="17"/>
          <w:color w:val="32406B"/>
        </w:rPr>
        <w:t>has served as our senior vice president and chief financial officer since May 2019. Ms. Liu serves as our director from the date of</w:t>
      </w:r>
      <w:r>
        <w:rPr>
          <w:rFonts w:ascii="Arial" w:cs="Arial" w:eastAsia="Arial" w:hAnsi="Arial"/>
          <w:sz w:val="17"/>
          <w:szCs w:val="17"/>
          <w:i w:val="1"/>
          <w:iCs w:val="1"/>
          <w:color w:val="32406B"/>
        </w:rPr>
        <w:t xml:space="preserve"> </w:t>
      </w:r>
      <w:r>
        <w:rPr>
          <w:rFonts w:ascii="Arial" w:cs="Arial" w:eastAsia="Arial" w:hAnsi="Arial"/>
          <w:sz w:val="17"/>
          <w:szCs w:val="17"/>
          <w:color w:val="32406B"/>
        </w:rPr>
        <w:t>this prospectus. Prior to joining Tuya, Ms. Liu served as an executive director at the investment banking division of UBS between 2009 and 2014, and a managing director at RED Capital, a global strategic investment group, between 2014 and 2016. Ms. Liu is also a founding partner of RJ Capital, an investment management and advisory firm, where she worked between 2016 and 2018. Ms. Liu holds an MBA from the Wharton School of the University of Pennsylvania and a bachelor’s degree in Chemistry from Xiamen University.</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32406B"/>
        </w:rPr>
        <w:t xml:space="preserve">Ruixin Zhou </w:t>
      </w:r>
      <w:r>
        <w:rPr>
          <w:rFonts w:ascii="Arial" w:cs="Arial" w:eastAsia="Arial" w:hAnsi="Arial"/>
          <w:sz w:val="18"/>
          <w:szCs w:val="18"/>
          <w:color w:val="32406B"/>
        </w:rPr>
        <w:t>co-founded Tuya in 2014 and has served as our chief technology officer since June 2014. Mr. Zhou has been leading our technology</w:t>
      </w:r>
      <w:r>
        <w:rPr>
          <w:rFonts w:ascii="Arial" w:cs="Arial" w:eastAsia="Arial" w:hAnsi="Arial"/>
          <w:sz w:val="18"/>
          <w:szCs w:val="18"/>
          <w:i w:val="1"/>
          <w:iCs w:val="1"/>
          <w:color w:val="32406B"/>
        </w:rPr>
        <w:t xml:space="preserve"> </w:t>
      </w:r>
      <w:r>
        <w:rPr>
          <w:rFonts w:ascii="Arial" w:cs="Arial" w:eastAsia="Arial" w:hAnsi="Arial"/>
          <w:sz w:val="18"/>
          <w:szCs w:val="18"/>
          <w:color w:val="32406B"/>
        </w:rPr>
        <w:t>teams and is playing a vital role in building the Tuya IoT cloud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162</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32406B"/>
        </w:rPr>
        <w:t>platform. Mr. Zhou has over 10 years’ experience in infrastructure development. Prior to co-founding Tuya in 2014, Mr. Zhou served at PHPWind and Alibaba. Mr. Zhou holds a bachelor’s degree in Applied Mathematics from Zhejiang Sci-Tech University.</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32406B"/>
        </w:rPr>
        <w:t xml:space="preserve">Scott Sandell </w:t>
      </w:r>
      <w:r>
        <w:rPr>
          <w:rFonts w:ascii="Arial" w:cs="Arial" w:eastAsia="Arial" w:hAnsi="Arial"/>
          <w:sz w:val="17"/>
          <w:szCs w:val="17"/>
          <w:color w:val="32406B"/>
        </w:rPr>
        <w:t>served as our director between December 2014 and August 2017 and has been re-appointed as a director since April 2018. Mr.</w:t>
      </w:r>
      <w:r>
        <w:rPr>
          <w:rFonts w:ascii="Arial" w:cs="Arial" w:eastAsia="Arial" w:hAnsi="Arial"/>
          <w:sz w:val="17"/>
          <w:szCs w:val="17"/>
          <w:i w:val="1"/>
          <w:iCs w:val="1"/>
          <w:color w:val="32406B"/>
        </w:rPr>
        <w:t xml:space="preserve"> </w:t>
      </w:r>
      <w:r>
        <w:rPr>
          <w:rFonts w:ascii="Arial" w:cs="Arial" w:eastAsia="Arial" w:hAnsi="Arial"/>
          <w:sz w:val="17"/>
          <w:szCs w:val="17"/>
          <w:color w:val="32406B"/>
        </w:rPr>
        <w:t>Sandell has served as Managing General Partner of New Enterprise Associates, Inc. (NEA), a venture capital firm, since April 2017, Co-Managing General Partner from March 2015 to April 2017, and as a General Partner since September 2000. Mr. Sandell joined NEA in January 1996 and served as head of the firm’s technology investing practice for 10 years. He currently serves as lead independent director of Cloudflare, Inc. (NYSE: NET), an internet security company, and as a director of Bloom Energy Corporation (NYSE: BE), a clean energy company, as well as several privately-held companies. Mr. Sandell previously served on the board of directors of Fusion-io, Inc., a computer hardware and software systems company acquired by SanDisk Corporation, Tableau Software, Inc., a software company, Workday, Inc., a provider of on demand financial management and human capital management software, and Spreadtrum Communications, Inc., a semiconductor company acquired by Tsinghua Unigroup. Mr. Sandell holds an A.B. in Engineering from Dartmouth College and an M.B.A. from Stanford University.</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32406B"/>
        </w:rPr>
        <w:t xml:space="preserve">Carmen Chang </w:t>
      </w:r>
      <w:r>
        <w:rPr>
          <w:rFonts w:ascii="Arial" w:cs="Arial" w:eastAsia="Arial" w:hAnsi="Arial"/>
          <w:sz w:val="18"/>
          <w:szCs w:val="18"/>
          <w:color w:val="32406B"/>
        </w:rPr>
        <w:t>has served as our director since December 2014. Ms. Chang joined NEA in 2012 and serves as a General Partner and Chairman</w:t>
      </w:r>
      <w:r>
        <w:rPr>
          <w:rFonts w:ascii="Arial" w:cs="Arial" w:eastAsia="Arial" w:hAnsi="Arial"/>
          <w:sz w:val="18"/>
          <w:szCs w:val="18"/>
          <w:i w:val="1"/>
          <w:iCs w:val="1"/>
          <w:color w:val="32406B"/>
        </w:rPr>
        <w:t xml:space="preserve"> </w:t>
      </w:r>
      <w:r>
        <w:rPr>
          <w:rFonts w:ascii="Arial" w:cs="Arial" w:eastAsia="Arial" w:hAnsi="Arial"/>
          <w:sz w:val="18"/>
          <w:szCs w:val="18"/>
          <w:color w:val="32406B"/>
        </w:rPr>
        <w:t>and Head in Asia. Prior to joining NEA, Ms. Chang was a partner at a major Silicon Valley law firm. Ms. Chang is currently an affiliate of the Center for International Security and Cooperation at Stanford University and a fellow for the Rock Center for Corporate Governance, a joint initiative of Stanford Law School and the Stanford Graduate School of Business. Currently, Ms. Chang also serves on the board of directors of Woebot, Moqi, Cista, and Simple Psychology. Ms. Chang received a M.A. degree in Modern Chinese History from Stanford University, and a Juris Doctor degree from Stanford Law School.</w:t>
      </w:r>
    </w:p>
    <w:p>
      <w:pPr>
        <w:spacing w:after="0" w:line="192"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i w:val="1"/>
          <w:iCs w:val="1"/>
          <w:color w:val="32406B"/>
        </w:rPr>
        <w:t xml:space="preserve">Jeff Immelt </w:t>
      </w:r>
      <w:r>
        <w:rPr>
          <w:rFonts w:ascii="Arial" w:cs="Arial" w:eastAsia="Arial" w:hAnsi="Arial"/>
          <w:sz w:val="18"/>
          <w:szCs w:val="18"/>
          <w:color w:val="32406B"/>
        </w:rPr>
        <w:t>serves as our director from the date of this prospectus. Mr. Immelt joined NEA in 2018 as a Venture Partner on both the technology</w:t>
      </w:r>
      <w:r>
        <w:rPr>
          <w:rFonts w:ascii="Arial" w:cs="Arial" w:eastAsia="Arial" w:hAnsi="Arial"/>
          <w:sz w:val="18"/>
          <w:szCs w:val="18"/>
          <w:i w:val="1"/>
          <w:iCs w:val="1"/>
          <w:color w:val="32406B"/>
        </w:rPr>
        <w:t xml:space="preserve"> </w:t>
      </w:r>
      <w:r>
        <w:rPr>
          <w:rFonts w:ascii="Arial" w:cs="Arial" w:eastAsia="Arial" w:hAnsi="Arial"/>
          <w:sz w:val="18"/>
          <w:szCs w:val="18"/>
          <w:color w:val="32406B"/>
        </w:rPr>
        <w:t>and healthcare investing teams. Mr. Immelt previously served as chairman and CEO of GE for 16 years where he revamped the company’s strategy, global footprint, workforce and culture. Mr. Immelt has been named one of the “World’s Best CEOs” three times by Barron’s. He also serves on the board for NEA portfolio companies Bloom Energy Corporation, Bright Health, Cleo, Collective Health, Desktop Metal, Formlabs, Radiology Partners, and Tri Alpha Energy. In addition, Mr. Immelt is on the board of Sila Nanotechnologies and Twilio, a public company that leads in mobile communication, and HCICV (a publicly traded SPAC). Mr. Immelt holds a B.A. in Applied Mathematics and Economics from Dartmouth College and an MBA from Harvard Business School.</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32406B"/>
        </w:rPr>
        <w:t xml:space="preserve">Qing Gao </w:t>
      </w:r>
      <w:r>
        <w:rPr>
          <w:rFonts w:ascii="Arial" w:cs="Arial" w:eastAsia="Arial" w:hAnsi="Arial"/>
          <w:sz w:val="17"/>
          <w:szCs w:val="17"/>
          <w:color w:val="32406B"/>
        </w:rPr>
        <w:t>has served as an observer on our Board of Directors since August 2017 and serves as our director from the date of this prospectus. Ms.</w:t>
      </w:r>
      <w:r>
        <w:rPr>
          <w:rFonts w:ascii="Arial" w:cs="Arial" w:eastAsia="Arial" w:hAnsi="Arial"/>
          <w:sz w:val="17"/>
          <w:szCs w:val="17"/>
          <w:i w:val="1"/>
          <w:iCs w:val="1"/>
          <w:color w:val="32406B"/>
        </w:rPr>
        <w:t xml:space="preserve"> </w:t>
      </w:r>
      <w:r>
        <w:rPr>
          <w:rFonts w:ascii="Arial" w:cs="Arial" w:eastAsia="Arial" w:hAnsi="Arial"/>
          <w:sz w:val="17"/>
          <w:szCs w:val="17"/>
          <w:color w:val="32406B"/>
        </w:rPr>
        <w:t>Gao currently serves as a partner managing director at China International Capital Corporation Limited (“CICC”). She is the founding partner and manager of several private equity funds at the CICC Capital Management Department. In 2016, she raised and founded CICC Genesis, one of the largest venture capital funds of funds in China. Prior to 2016, she worked at the Investment Banking Department of CICC. She also served as the co-head of the Super-Enterprise Group and the head of Human Resources Committee at the department. Prior to joining CICC in 1998, Ms. Gao worked at the Audit Division of Arthur Andersen. She holds a B.S. degree in International Finance from Renmin University of China. She is a Certified Public Accountant in China and holds securities professional licenses in both China and Hong Kong SAR.</w:t>
      </w:r>
    </w:p>
    <w:p>
      <w:pPr>
        <w:spacing w:after="0" w:line="17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32406B"/>
        </w:rPr>
        <w:t xml:space="preserve">Jing Hong </w:t>
      </w:r>
      <w:r>
        <w:rPr>
          <w:rFonts w:ascii="Arial" w:cs="Arial" w:eastAsia="Arial" w:hAnsi="Arial"/>
          <w:sz w:val="18"/>
          <w:szCs w:val="18"/>
          <w:color w:val="32406B"/>
        </w:rPr>
        <w:t>serves as our director from the date of this prospectus. Ms. Hong is the founding partner of Gaocheng Capital, a growth fund focusing</w:t>
      </w:r>
      <w:r>
        <w:rPr>
          <w:rFonts w:ascii="Arial" w:cs="Arial" w:eastAsia="Arial" w:hAnsi="Arial"/>
          <w:sz w:val="18"/>
          <w:szCs w:val="18"/>
          <w:i w:val="1"/>
          <w:iCs w:val="1"/>
          <w:color w:val="32406B"/>
        </w:rPr>
        <w:t xml:space="preserve"> </w:t>
      </w:r>
      <w:r>
        <w:rPr>
          <w:rFonts w:ascii="Arial" w:cs="Arial" w:eastAsia="Arial" w:hAnsi="Arial"/>
          <w:sz w:val="18"/>
          <w:szCs w:val="18"/>
          <w:color w:val="32406B"/>
        </w:rPr>
        <w:t>on innovation and software sectors. Before establishing Gaocheng Capital, Ms. Hong was a partner and head of private equity of Hillhouse Capital Group. Prior to joining Hillhouse, she served as the managing director and head of global emerging markets consumer sector of General Atlantic LLC, and she also served as the head of General Atlantic LLC’s Beijing office. In addition, Ms. Hong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163</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32406B"/>
        </w:rPr>
        <w:t>has worked for Warburg Pincus LLC and McKinsey &amp; Company. Ms. Hong has been engaged in growth stage private equity investment for over 15 years, led private investments including Alibaba, Meituan, Didi, ZTO Express, Kidswant, Youzan, Mysoft, Wind, and Yitu Technology, etc. She holds an MBA degree from Harvard Business School and a B.A. degree in International Finance and a M.A. degree in Engineering Management from Tsinghua University.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Employment Agreements and Indemnification Agreements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32406B"/>
        </w:rPr>
        <w:t>We have entered into employment agreements with each of our executive officers. Each of our executive officers is employed for indefinite duration until the employment is terminated pursuant to the employment agreement or as mutually agreed between the executive officer and us. We may terminate an executive officer’s employment for cause at any time without advance notice in certain events. We may terminate an executive officer’s employment by giving a prior written notice. An executive officer may terminate his or her employment at any time by giving a prior written notice.</w:t>
      </w:r>
    </w:p>
    <w:p>
      <w:pPr>
        <w:spacing w:after="0" w:line="15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32406B"/>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two years following the last date of employment.</w:t>
      </w:r>
    </w:p>
    <w:p>
      <w:pPr>
        <w:spacing w:after="0" w:line="18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32406B"/>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Board of Directors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32406B"/>
        </w:rPr>
        <w:t>Our board of directors consists of nine directors, including four independent directors, namely Scott Sandell, Carmen Chang, Jing Hong and Qing Gao. Each of Xueji (Jerry) Wang and Liaohan (Leo) Chen serves as the co-chairman of our board of directors. A director is not required to hold any shares in our company to qualify to serve as a director. The Corporate Governance Rules of the NYSE generally require that a majority of an issuer’s board of directors must consist of independent directors. However, the Corporate Governance Rules of the NYSE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32406B"/>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provided (i) such director, if his or her interest in such contract or arrangement is material, has declared the nature of his or her interest at the earliest meeting of the board at which it is practicable for him or her to do so, either specifically or by way of a general notice and (ii) if such contract or arrangement is a transaction with a related party, such transaction has been approved by the audit committee.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164</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32406B"/>
        </w:rPr>
        <w:t>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Committees of the Board of Directors</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32406B"/>
        </w:rPr>
        <w:t>We have established an audit committee, a compensation committee and a nominating and corporate governance committee under our board of directors and have adopted a charter for each of the three committees. Each committee’s members and functions are described below.</w:t>
      </w:r>
    </w:p>
    <w:p>
      <w:pPr>
        <w:spacing w:after="0" w:line="12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32406B"/>
        </w:rPr>
        <w:t>Audit Committee</w:t>
      </w:r>
      <w:r>
        <w:rPr>
          <w:rFonts w:ascii="Arial" w:cs="Arial" w:eastAsia="Arial" w:hAnsi="Arial"/>
          <w:sz w:val="18"/>
          <w:szCs w:val="18"/>
          <w:color w:val="32406B"/>
        </w:rPr>
        <w:t>. Our audit committee consists of Jing Hong and Qing Gao, and is chaired by Qing Gao. We have determined that each of Jing</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Hong and Qing Gao satisfies the requirements of Section 303A of the Corporate Governance Rules of the NYSE and meets the independence standards under Rule 10A-3 under the Securities Exchange Act of 1934, as amended. We have determined that Jing Hong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3" w:lineRule="exact"/>
        <w:rPr>
          <w:sz w:val="20"/>
          <w:szCs w:val="20"/>
          <w:color w:val="auto"/>
        </w:rPr>
      </w:pPr>
    </w:p>
    <w:p>
      <w:pPr>
        <w:ind w:left="1080" w:right="340" w:hanging="532"/>
        <w:spacing w:after="0" w:line="277" w:lineRule="auto"/>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reviewing and recommending to our board for approval, the appointment, re-appointment or removal of the independent auditor, after considering its annual performance evaluation of the independent auditor;</w:t>
      </w:r>
    </w:p>
    <w:p>
      <w:pPr>
        <w:spacing w:after="0" w:line="75" w:lineRule="exact"/>
        <w:rPr>
          <w:rFonts w:ascii="Arial" w:cs="Arial" w:eastAsia="Arial" w:hAnsi="Arial"/>
          <w:sz w:val="18"/>
          <w:szCs w:val="18"/>
          <w:color w:val="32406B"/>
        </w:rPr>
      </w:pPr>
    </w:p>
    <w:p>
      <w:pPr>
        <w:ind w:left="1080" w:right="60" w:hanging="532"/>
        <w:spacing w:after="0" w:line="277" w:lineRule="auto"/>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7"/>
        </w:numPr>
        <w:rPr>
          <w:rFonts w:ascii="Arial" w:cs="Arial" w:eastAsia="Arial" w:hAnsi="Arial"/>
          <w:sz w:val="16"/>
          <w:szCs w:val="16"/>
          <w:color w:val="32406B"/>
        </w:rPr>
      </w:pPr>
      <w:r>
        <w:rPr>
          <w:rFonts w:ascii="Arial" w:cs="Arial" w:eastAsia="Arial" w:hAnsi="Arial"/>
          <w:sz w:val="16"/>
          <w:szCs w:val="16"/>
          <w:color w:val="32406B"/>
        </w:rPr>
        <w:t>obtaining a written report from our independent auditor describing matters relating to its independence and quality control procedures;</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87"/>
        </w:numPr>
        <w:rPr>
          <w:rFonts w:ascii="Arial" w:cs="Arial" w:eastAsia="Arial" w:hAnsi="Arial"/>
          <w:sz w:val="17"/>
          <w:szCs w:val="17"/>
          <w:color w:val="32406B"/>
        </w:rPr>
      </w:pPr>
      <w:r>
        <w:rPr>
          <w:rFonts w:ascii="Arial" w:cs="Arial" w:eastAsia="Arial" w:hAnsi="Arial"/>
          <w:sz w:val="17"/>
          <w:szCs w:val="17"/>
          <w:color w:val="32406B"/>
        </w:rPr>
        <w:t>reviewing with the independent registered public accounting firm any audit problems or difficulties and management’s response;</w:t>
      </w:r>
    </w:p>
    <w:p>
      <w:pPr>
        <w:spacing w:after="0" w:line="142" w:lineRule="exact"/>
        <w:rPr>
          <w:rFonts w:ascii="Arial" w:cs="Arial" w:eastAsia="Arial" w:hAnsi="Arial"/>
          <w:sz w:val="17"/>
          <w:szCs w:val="17"/>
          <w:color w:val="32406B"/>
        </w:rPr>
      </w:pPr>
    </w:p>
    <w:p>
      <w:pPr>
        <w:ind w:left="1080" w:right="560" w:hanging="532"/>
        <w:spacing w:after="0" w:line="277" w:lineRule="auto"/>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discussing with our independent auditor, among other things, the audits of the financial statements, including whether any material information should be disclosed, issues regarding accounting and auditing principles and practices;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reviewing and approving all proposed related party transactions, as defined in Item 7 of Form 20-F;</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reviewing and recommending the financial statements for inclusion within our quarterly earnings releases and to our board for inclusion in our annual reports;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32406B"/>
        </w:rPr>
      </w:pPr>
    </w:p>
    <w:p>
      <w:pPr>
        <w:ind w:left="1080" w:right="280" w:hanging="532"/>
        <w:spacing w:after="0" w:line="277" w:lineRule="auto"/>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reviewing the adequacy and effectiveness of our accounting and internal control policies and procedures and any special steps taken to monitor and control major financial risk exposures;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periodically reviewing and reassessing the adequacy of the committee charter;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7"/>
        </w:numPr>
        <w:rPr>
          <w:rFonts w:ascii="Arial" w:cs="Arial" w:eastAsia="Arial" w:hAnsi="Arial"/>
          <w:sz w:val="17"/>
          <w:szCs w:val="17"/>
          <w:color w:val="32406B"/>
        </w:rPr>
      </w:pPr>
      <w:r>
        <w:rPr>
          <w:rFonts w:ascii="Arial" w:cs="Arial" w:eastAsia="Arial" w:hAnsi="Arial"/>
          <w:sz w:val="17"/>
          <w:szCs w:val="17"/>
          <w:color w:val="32406B"/>
        </w:rPr>
        <w:t>at least annually, approving annual audit plans, and undertaking an annual performance evaluation of the internal audit function;</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overseeing and evaluating the handling of complaints and whistleblowing;</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165</w:t>
      </w:r>
    </w:p>
    <w:p>
      <w:pPr>
        <w:sectPr>
          <w:pgSz w:w="11900" w:h="16838" w:orient="portrait"/>
          <w:cols w:equalWidth="0" w:num="1">
            <w:col w:w="11060"/>
          </w:cols>
          <w:pgMar w:left="320" w:top="459" w:right="5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meeting separately and periodically with management and the independent registered public accounting firm;</w:t>
      </w:r>
    </w:p>
    <w:p>
      <w:pPr>
        <w:spacing w:after="0" w:line="130" w:lineRule="exact"/>
        <w:rPr>
          <w:rFonts w:ascii="Arial" w:cs="Arial" w:eastAsia="Arial" w:hAnsi="Arial"/>
          <w:sz w:val="18"/>
          <w:szCs w:val="18"/>
          <w:color w:val="32406B"/>
        </w:rPr>
      </w:pPr>
    </w:p>
    <w:p>
      <w:pPr>
        <w:ind w:left="1080" w:right="780" w:hanging="532"/>
        <w:spacing w:after="0" w:line="277" w:lineRule="auto"/>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monitoring compliance with our code of business conduct and ethics, including reviewing the adequacy and effectiveness of our procedures to ensure proper compliance; and</w:t>
      </w:r>
    </w:p>
    <w:p>
      <w:pPr>
        <w:spacing w:after="0" w:line="75" w:lineRule="exact"/>
        <w:rPr>
          <w:rFonts w:ascii="Arial" w:cs="Arial" w:eastAsia="Arial" w:hAnsi="Arial"/>
          <w:sz w:val="18"/>
          <w:szCs w:val="18"/>
          <w:color w:val="32406B"/>
        </w:rPr>
      </w:pPr>
    </w:p>
    <w:p>
      <w:pPr>
        <w:ind w:left="1080" w:hanging="424"/>
        <w:spacing w:after="0"/>
        <w:tabs>
          <w:tab w:leader="none" w:pos="1080" w:val="left"/>
        </w:tabs>
        <w:numPr>
          <w:ilvl w:val="1"/>
          <w:numId w:val="88"/>
        </w:numPr>
        <w:rPr>
          <w:rFonts w:ascii="Arial" w:cs="Arial" w:eastAsia="Arial" w:hAnsi="Arial"/>
          <w:sz w:val="18"/>
          <w:szCs w:val="18"/>
          <w:color w:val="32406B"/>
        </w:rPr>
      </w:pPr>
      <w:r>
        <w:rPr>
          <w:rFonts w:ascii="Arial" w:cs="Arial" w:eastAsia="Arial" w:hAnsi="Arial"/>
          <w:sz w:val="18"/>
          <w:szCs w:val="18"/>
          <w:color w:val="32406B"/>
        </w:rPr>
        <w:t>reporting regularly to the board.</w:t>
      </w:r>
    </w:p>
    <w:p>
      <w:pPr>
        <w:spacing w:after="0" w:line="22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b w:val="1"/>
          <w:bCs w:val="1"/>
          <w:i w:val="1"/>
          <w:iCs w:val="1"/>
          <w:color w:val="32406B"/>
        </w:rPr>
        <w:t>Compensation Committee</w:t>
      </w:r>
      <w:r>
        <w:rPr>
          <w:rFonts w:ascii="Arial" w:cs="Arial" w:eastAsia="Arial" w:hAnsi="Arial"/>
          <w:sz w:val="17"/>
          <w:szCs w:val="17"/>
          <w:color w:val="32406B"/>
        </w:rPr>
        <w:t>. Our compensation committee consists of Xueji (Jerry) Wang, Scott Sandell and Carmen Chang and is chaired by</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Carmen Chang.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77"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32406B"/>
        </w:rPr>
      </w:pPr>
      <w:r>
        <w:rPr>
          <w:rFonts w:ascii="Arial" w:cs="Arial" w:eastAsia="Arial" w:hAnsi="Arial"/>
          <w:sz w:val="18"/>
          <w:szCs w:val="18"/>
          <w:color w:val="32406B"/>
        </w:rPr>
        <w:t>overseeing the development and implementation of compensation programs in consultation with our management;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9"/>
        </w:numPr>
        <w:rPr>
          <w:rFonts w:ascii="Arial" w:cs="Arial" w:eastAsia="Arial" w:hAnsi="Arial"/>
          <w:sz w:val="18"/>
          <w:szCs w:val="18"/>
          <w:color w:val="32406B"/>
        </w:rPr>
      </w:pPr>
      <w:r>
        <w:rPr>
          <w:rFonts w:ascii="Arial" w:cs="Arial" w:eastAsia="Arial" w:hAnsi="Arial"/>
          <w:sz w:val="18"/>
          <w:szCs w:val="18"/>
          <w:color w:val="32406B"/>
        </w:rPr>
        <w:t>reviewing and approving, or recommending to the board for its approval, the compensation for our executive officers;</w:t>
      </w:r>
    </w:p>
    <w:p>
      <w:pPr>
        <w:spacing w:after="0" w:line="130" w:lineRule="exact"/>
        <w:rPr>
          <w:rFonts w:ascii="Arial" w:cs="Arial" w:eastAsia="Arial" w:hAnsi="Arial"/>
          <w:sz w:val="18"/>
          <w:szCs w:val="18"/>
          <w:color w:val="32406B"/>
        </w:rPr>
      </w:pPr>
    </w:p>
    <w:p>
      <w:pPr>
        <w:ind w:left="1080" w:right="480" w:hanging="532"/>
        <w:spacing w:after="0" w:line="277" w:lineRule="auto"/>
        <w:tabs>
          <w:tab w:leader="none" w:pos="1080" w:val="left"/>
        </w:tabs>
        <w:numPr>
          <w:ilvl w:val="0"/>
          <w:numId w:val="89"/>
        </w:numPr>
        <w:rPr>
          <w:rFonts w:ascii="Arial" w:cs="Arial" w:eastAsia="Arial" w:hAnsi="Arial"/>
          <w:sz w:val="18"/>
          <w:szCs w:val="18"/>
          <w:color w:val="32406B"/>
        </w:rPr>
      </w:pPr>
      <w:r>
        <w:rPr>
          <w:rFonts w:ascii="Arial" w:cs="Arial" w:eastAsia="Arial" w:hAnsi="Arial"/>
          <w:sz w:val="18"/>
          <w:szCs w:val="18"/>
          <w:color w:val="32406B"/>
        </w:rPr>
        <w:t>reviewing periodically and submitting for board’s approval of any incentive compensation or equity plans, programs or other similar arrangements;</w:t>
      </w:r>
    </w:p>
    <w:p>
      <w:pPr>
        <w:spacing w:after="0" w:line="75" w:lineRule="exact"/>
        <w:rPr>
          <w:rFonts w:ascii="Arial" w:cs="Arial" w:eastAsia="Arial" w:hAnsi="Arial"/>
          <w:sz w:val="18"/>
          <w:szCs w:val="18"/>
          <w:color w:val="32406B"/>
        </w:rPr>
      </w:pPr>
    </w:p>
    <w:p>
      <w:pPr>
        <w:ind w:left="1080" w:right="140" w:hanging="532"/>
        <w:spacing w:after="0" w:line="277" w:lineRule="auto"/>
        <w:tabs>
          <w:tab w:leader="none" w:pos="1080" w:val="left"/>
        </w:tabs>
        <w:numPr>
          <w:ilvl w:val="0"/>
          <w:numId w:val="89"/>
        </w:numPr>
        <w:rPr>
          <w:rFonts w:ascii="Arial" w:cs="Arial" w:eastAsia="Arial" w:hAnsi="Arial"/>
          <w:sz w:val="18"/>
          <w:szCs w:val="18"/>
          <w:color w:val="32406B"/>
        </w:rPr>
      </w:pPr>
      <w:r>
        <w:rPr>
          <w:rFonts w:ascii="Arial" w:cs="Arial" w:eastAsia="Arial" w:hAnsi="Arial"/>
          <w:sz w:val="18"/>
          <w:szCs w:val="18"/>
          <w:color w:val="32406B"/>
        </w:rPr>
        <w:t>overseeing our regulatory compliance with respect to compensation matters, including our policies on restrictions on compensation plans and loans to directors and executive officers;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9"/>
        </w:numPr>
        <w:rPr>
          <w:rFonts w:ascii="Arial" w:cs="Arial" w:eastAsia="Arial" w:hAnsi="Arial"/>
          <w:sz w:val="18"/>
          <w:szCs w:val="18"/>
          <w:color w:val="32406B"/>
        </w:rPr>
      </w:pPr>
      <w:r>
        <w:rPr>
          <w:rFonts w:ascii="Arial" w:cs="Arial" w:eastAsia="Arial" w:hAnsi="Arial"/>
          <w:sz w:val="18"/>
          <w:szCs w:val="18"/>
          <w:color w:val="32406B"/>
        </w:rPr>
        <w:t>periodically reviewing and reassessing the adequacy of the committee charter;</w:t>
      </w:r>
    </w:p>
    <w:p>
      <w:pPr>
        <w:spacing w:after="0" w:line="130" w:lineRule="exact"/>
        <w:rPr>
          <w:rFonts w:ascii="Arial" w:cs="Arial" w:eastAsia="Arial" w:hAnsi="Arial"/>
          <w:sz w:val="18"/>
          <w:szCs w:val="18"/>
          <w:color w:val="32406B"/>
        </w:rPr>
      </w:pPr>
    </w:p>
    <w:p>
      <w:pPr>
        <w:ind w:left="1080" w:right="240" w:hanging="532"/>
        <w:spacing w:after="0" w:line="277" w:lineRule="auto"/>
        <w:tabs>
          <w:tab w:leader="none" w:pos="1080" w:val="left"/>
        </w:tabs>
        <w:numPr>
          <w:ilvl w:val="0"/>
          <w:numId w:val="89"/>
        </w:numPr>
        <w:rPr>
          <w:rFonts w:ascii="Arial" w:cs="Arial" w:eastAsia="Arial" w:hAnsi="Arial"/>
          <w:sz w:val="18"/>
          <w:szCs w:val="18"/>
          <w:color w:val="32406B"/>
        </w:rPr>
      </w:pPr>
      <w:r>
        <w:rPr>
          <w:rFonts w:ascii="Arial" w:cs="Arial" w:eastAsia="Arial" w:hAnsi="Arial"/>
          <w:sz w:val="18"/>
          <w:szCs w:val="18"/>
          <w:color w:val="32406B"/>
        </w:rPr>
        <w:t>selecting compensation consultant, legal counsel or other adviser only after taking into consideration all factors relevant to that person’s independence from management; and</w:t>
      </w:r>
    </w:p>
    <w:p>
      <w:pPr>
        <w:spacing w:after="0" w:line="75" w:lineRule="exact"/>
        <w:rPr>
          <w:rFonts w:ascii="Arial" w:cs="Arial" w:eastAsia="Arial" w:hAnsi="Arial"/>
          <w:sz w:val="18"/>
          <w:szCs w:val="18"/>
          <w:color w:val="32406B"/>
        </w:rPr>
      </w:pPr>
    </w:p>
    <w:p>
      <w:pPr>
        <w:ind w:left="1080" w:hanging="424"/>
        <w:spacing w:after="0"/>
        <w:tabs>
          <w:tab w:leader="none" w:pos="1080" w:val="left"/>
        </w:tabs>
        <w:numPr>
          <w:ilvl w:val="1"/>
          <w:numId w:val="89"/>
        </w:numPr>
        <w:rPr>
          <w:rFonts w:ascii="Arial" w:cs="Arial" w:eastAsia="Arial" w:hAnsi="Arial"/>
          <w:sz w:val="18"/>
          <w:szCs w:val="18"/>
          <w:color w:val="32406B"/>
        </w:rPr>
      </w:pPr>
      <w:r>
        <w:rPr>
          <w:rFonts w:ascii="Arial" w:cs="Arial" w:eastAsia="Arial" w:hAnsi="Arial"/>
          <w:sz w:val="18"/>
          <w:szCs w:val="18"/>
          <w:color w:val="32406B"/>
        </w:rPr>
        <w:t>reporting regularly to the board.</w:t>
      </w:r>
    </w:p>
    <w:p>
      <w:pPr>
        <w:spacing w:after="0" w:line="225"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32406B"/>
        </w:rPr>
        <w:t>Nominating and Corporate Governance Committee</w:t>
      </w:r>
      <w:r>
        <w:rPr>
          <w:rFonts w:ascii="Arial" w:cs="Arial" w:eastAsia="Arial" w:hAnsi="Arial"/>
          <w:sz w:val="17"/>
          <w:szCs w:val="17"/>
          <w:color w:val="32406B"/>
        </w:rPr>
        <w:t>. Our nominating and corporate governance committee consists of Xueji (Jerry) Wang,</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Carmen Chang and Jing Hong, and is chaired by Xueji (Jerry) Wang. We have determined that each of Carmen Chang and Jing Hong satisfies the “independence” requirements of Section 303A of the Corporate Governance Rules of the NYSE.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82"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7"/>
          <w:szCs w:val="17"/>
          <w:color w:val="32406B"/>
        </w:rPr>
      </w:pPr>
      <w:r>
        <w:rPr>
          <w:rFonts w:ascii="Arial" w:cs="Arial" w:eastAsia="Arial" w:hAnsi="Arial"/>
          <w:sz w:val="17"/>
          <w:szCs w:val="17"/>
          <w:color w:val="32406B"/>
        </w:rPr>
        <w:t>recommending nominees to the board for election or re-election to the board, or for appointment to fill any vacancy on the board;</w:t>
      </w:r>
    </w:p>
    <w:p>
      <w:pPr>
        <w:spacing w:after="0" w:line="142" w:lineRule="exact"/>
        <w:rPr>
          <w:rFonts w:ascii="Arial" w:cs="Arial" w:eastAsia="Arial" w:hAnsi="Arial"/>
          <w:sz w:val="17"/>
          <w:szCs w:val="17"/>
          <w:color w:val="32406B"/>
        </w:rPr>
      </w:pPr>
    </w:p>
    <w:p>
      <w:pPr>
        <w:ind w:left="1080" w:hanging="532"/>
        <w:spacing w:after="0" w:line="277" w:lineRule="auto"/>
        <w:tabs>
          <w:tab w:leader="none" w:pos="108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reviewing periodically the current composition of the board with regards to characteristics such as issues of judgment, diversity, age, skills, background and experience;</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90"/>
        </w:numPr>
        <w:rPr>
          <w:rFonts w:ascii="Arial" w:cs="Arial" w:eastAsia="Arial" w:hAnsi="Arial"/>
          <w:sz w:val="16"/>
          <w:szCs w:val="16"/>
          <w:color w:val="32406B"/>
        </w:rPr>
      </w:pPr>
      <w:r>
        <w:rPr>
          <w:rFonts w:ascii="Arial" w:cs="Arial" w:eastAsia="Arial" w:hAnsi="Arial"/>
          <w:sz w:val="16"/>
          <w:szCs w:val="16"/>
          <w:color w:val="32406B"/>
        </w:rPr>
        <w:t>reviewing candidates’ qualifications for membership on the board or a committee of the board based on the criteria approved by the board;</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making recommendations to the board as to determinations of director independence;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reviewing and reassessing the adequacy of the committee charter;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reviewing and approving compensation (including equity-based compensation) for our directors; and</w:t>
      </w:r>
    </w:p>
    <w:p>
      <w:pPr>
        <w:spacing w:after="0" w:line="130" w:lineRule="exact"/>
        <w:rPr>
          <w:rFonts w:ascii="Arial" w:cs="Arial" w:eastAsia="Arial" w:hAnsi="Arial"/>
          <w:sz w:val="18"/>
          <w:szCs w:val="18"/>
          <w:color w:val="32406B"/>
        </w:rPr>
      </w:pPr>
    </w:p>
    <w:p>
      <w:pPr>
        <w:ind w:left="1080" w:hanging="424"/>
        <w:spacing w:after="0"/>
        <w:tabs>
          <w:tab w:leader="none" w:pos="1080" w:val="left"/>
        </w:tabs>
        <w:numPr>
          <w:ilvl w:val="1"/>
          <w:numId w:val="90"/>
        </w:numPr>
        <w:rPr>
          <w:rFonts w:ascii="Arial" w:cs="Arial" w:eastAsia="Arial" w:hAnsi="Arial"/>
          <w:sz w:val="18"/>
          <w:szCs w:val="18"/>
          <w:color w:val="32406B"/>
        </w:rPr>
      </w:pPr>
      <w:r>
        <w:rPr>
          <w:rFonts w:ascii="Arial" w:cs="Arial" w:eastAsia="Arial" w:hAnsi="Arial"/>
          <w:sz w:val="18"/>
          <w:szCs w:val="18"/>
          <w:color w:val="32406B"/>
        </w:rPr>
        <w:t>evaluating the performance and effectiveness of the board as a whole.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Duties and Functions of Directors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32406B"/>
        </w:rPr>
        <w:t>Under Cayman Islands law, our directors owe fiduciary duties to our company, including a duty of loyalty, a duty to act honestly and a duty to act in what they consider in good faith to be in our best interests. Our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166</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32406B"/>
        </w:rPr>
        <w:t>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post-offering amended and restated articles of association, the functions and powers of our board of directors include, among others, (i) convening shareholders’ annual general meetings and reporting its work to shareholders at such meetings,</w:t>
      </w:r>
    </w:p>
    <w:p>
      <w:pPr>
        <w:spacing w:after="0" w:line="1" w:lineRule="exact"/>
        <w:rPr>
          <w:sz w:val="20"/>
          <w:szCs w:val="20"/>
          <w:color w:val="auto"/>
        </w:rPr>
      </w:pPr>
    </w:p>
    <w:p>
      <w:pPr>
        <w:jc w:val="both"/>
        <w:ind w:left="120" w:right="120" w:hanging="4"/>
        <w:spacing w:after="0" w:line="255" w:lineRule="auto"/>
        <w:tabs>
          <w:tab w:leader="none" w:pos="385" w:val="left"/>
        </w:tabs>
        <w:numPr>
          <w:ilvl w:val="0"/>
          <w:numId w:val="91"/>
        </w:numPr>
        <w:rPr>
          <w:rFonts w:ascii="Arial" w:cs="Arial" w:eastAsia="Arial" w:hAnsi="Arial"/>
          <w:sz w:val="18"/>
          <w:szCs w:val="18"/>
          <w:color w:val="32406B"/>
        </w:rPr>
      </w:pPr>
      <w:r>
        <w:rPr>
          <w:rFonts w:ascii="Arial" w:cs="Arial" w:eastAsia="Arial" w:hAnsi="Arial"/>
          <w:sz w:val="18"/>
          <w:szCs w:val="18"/>
          <w:color w:val="32406B"/>
        </w:rPr>
        <w:t>declaring dividends, (iii) appointing officers and determining their terms of offices and responsibilities, and (iv) approving the transfer of shares of our company, including the registering of such shares in our share register. In addition, in the event of a tie vote, the chairman of our board of directors has, in addition to his personal vote, the right to cast a tie-breaking vote.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Terms of Directors and Officers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32406B"/>
        </w:rPr>
        <w:t>Our officers are elected by and serve at the discretion of the board. A director shall hold office until the expiration of his or her term or his or her successor shall have been elected and qualified, or until his or her office is otherwise vacated. A director may be removed from office by ordinary resolution of shareholders or the affirmative vote of a simple majority of the other directors present and voting at a board meeting, provided that in the event that the chairman is to be removed by the affirmative vote of a simple majority of the other directors present and voting at a board meeting, such affirmative vote shall include the vote of at least one Management Director (as defined under the post-offering amended and restated memorandum and articles of association). If a Management Director is removed from office or otherwise ceases to be a director, Mr. Xueji (Jerry) Wang shall have the right to appoint another person as a director and as replacement of the former Management Director by delivering a written notice to us and such replacement shall become effective automatically upon the delivery of such notice without any further action or resolution of the directors or shareholders, provided that Mr. Xueji (Jerry) Wang shall not be entitled to exercise such right if he and his affiliates do not beneficially own any shares. A director will be removed from office automatically if, among other things, the director (i) resigns by notice in writing to our company; (ii) dies, becomes bankrupt or makes any arrangement or composition with his or her creditors generally; (iii) is prohibited by any applicable law or stock exchange rules from being a director; (iv) is found to be or becomes of unsound mind; or (v) is removed from office pursuant to any other provision of our post offering amended and restated memorandum and articles of association.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Interested Transactions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32406B"/>
        </w:rPr>
        <w:t>A director may, subject to any separate requirement for audit committee approval under applicable law or applicable NYSE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Compensation of Directors and Executive Officers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32406B"/>
        </w:rPr>
        <w:t>For the fiscal year ended December 31, 2020, we paid an aggregate of US$0.7 million in cash to our executive officers, and we did not pay any cash compensation to our non-executive directors. We have not set aside or accrued any amount to provide pension, retirement or other similar benefits to our directors and executive officers. Our PRC subsidiaries and our VIEs are required by law to make contributions equal to certain percentages of each employee’s salary for his or her pension insurance, medical insurance, unemployment insurance and other statutory benefits and a housing provident fund. For equity incentive grants to our directors and executive officers, see “—Equity Incentive Plan.”</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167</w:t>
      </w:r>
    </w:p>
    <w:p>
      <w:pPr>
        <w:sectPr>
          <w:pgSz w:w="11900" w:h="16838" w:orient="portrait"/>
          <w:cols w:equalWidth="0" w:num="1">
            <w:col w:w="11080"/>
          </w:cols>
          <w:pgMar w:left="320" w:top="459"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Equity Incentive Plan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2015 Equity Incentive Plan</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32406B"/>
        </w:rPr>
        <w:t>We adopted an employee equity incentive plan, or the 2015 Plan, on December 23, 2014, which was amended in July 2020 and February 2021. The purpose of the 2015 Plan is to attract and retain the best available personnel for positions of substantial responsibility, to provide additional incentives to selected Employees, Directors, and Consultants and to promote the success of our business. Under the 2015 Plan, the maximum aggregate number of ordinary shares we are authorized to issue pursuant to equity awards granted thereunder is 76,778,005 shares, provided that, starting on January 1, 2022, on the first day of each fiscal year thereafter, the total number of shares available for issuance under the 2015 Plan will be increased by an amount equal to the least of (i) 2% of the aggregate number of shares of all classes of our ordinary shares issued and outstanding on the last day of the immediately preceding fiscal year and (ii) such number of shares as determined by our board of directors. As of the date of this prospectus, options to purchase a total of 62,965,000 ordinary shares are outstanding under the 2015 Plan, and 27,969,167 of such options had vested and become exercisable.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paragraphs summarize the terms of the 2015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32406B"/>
        </w:rPr>
        <w:t>Types of Awards</w:t>
      </w:r>
      <w:r>
        <w:rPr>
          <w:rFonts w:ascii="Arial" w:cs="Arial" w:eastAsia="Arial" w:hAnsi="Arial"/>
          <w:sz w:val="16"/>
          <w:szCs w:val="16"/>
          <w:color w:val="32406B"/>
        </w:rPr>
        <w:t>. The 2015 Plan permits the awards of options, restricted shares and restricted share units as the Administrator may determine.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Plan Administration</w:t>
      </w:r>
      <w:r>
        <w:rPr>
          <w:rFonts w:ascii="Arial" w:cs="Arial" w:eastAsia="Arial" w:hAnsi="Arial"/>
          <w:sz w:val="18"/>
          <w:szCs w:val="18"/>
          <w:color w:val="32406B"/>
        </w:rPr>
        <w:t>. The 2015 Plan shall be administrated by the board or any committee of the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32406B"/>
        </w:rPr>
        <w:t>Eligibility</w:t>
      </w:r>
      <w:r>
        <w:rPr>
          <w:rFonts w:ascii="Arial" w:cs="Arial" w:eastAsia="Arial" w:hAnsi="Arial"/>
          <w:sz w:val="16"/>
          <w:szCs w:val="16"/>
          <w:color w:val="32406B"/>
        </w:rPr>
        <w:t>. Any employee, director or consultant of the company and qualified members with 10% shall be eligible to participate in the 2015 Plan.</w:t>
      </w:r>
    </w:p>
    <w:p>
      <w:pPr>
        <w:spacing w:after="0" w:line="24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b w:val="1"/>
          <w:bCs w:val="1"/>
          <w:i w:val="1"/>
          <w:iCs w:val="1"/>
          <w:color w:val="32406B"/>
        </w:rPr>
        <w:t>Award Agreement</w:t>
      </w:r>
      <w:r>
        <w:rPr>
          <w:rFonts w:ascii="Arial" w:cs="Arial" w:eastAsia="Arial" w:hAnsi="Arial"/>
          <w:sz w:val="17"/>
          <w:szCs w:val="17"/>
          <w:color w:val="32406B"/>
        </w:rPr>
        <w:t>. Each grant of an award under the 2015 Plan shall be evidenced by an award agreement between the participant and the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company. Each award shall be subject to all applicable terms and conditions of the 2015 Plan and may be subject to any other terms and conditions that are not inconsistent with the 2015 Plan and that the plan administrator deems appropriate for inclusion in an award agreement. The provisions of the various award agreements entered into under the 2015 Plan need not be identical.</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32406B"/>
        </w:rPr>
        <w:t>Terms and Conditions of Award</w:t>
      </w:r>
      <w:r>
        <w:rPr>
          <w:rFonts w:ascii="Arial" w:cs="Arial" w:eastAsia="Arial" w:hAnsi="Arial"/>
          <w:sz w:val="18"/>
          <w:szCs w:val="18"/>
          <w:color w:val="32406B"/>
        </w:rPr>
        <w:t>. The award agreement shall set forth the provisions, terms, and conditions of each award including, but not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limited to, the types of awards, award vesting schedule, number of awards to be granted and the number of shares to be covered by the awards, exercise price, any restrictions or limitations on the award and term of each award.</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b w:val="1"/>
          <w:bCs w:val="1"/>
          <w:i w:val="1"/>
          <w:iCs w:val="1"/>
          <w:color w:val="32406B"/>
        </w:rPr>
        <w:t>Amendment, Suspension or Termination of the 2015 Plan</w:t>
      </w:r>
      <w:r>
        <w:rPr>
          <w:rFonts w:ascii="Arial" w:cs="Arial" w:eastAsia="Arial" w:hAnsi="Arial"/>
          <w:sz w:val="18"/>
          <w:szCs w:val="18"/>
          <w:color w:val="32406B"/>
        </w:rPr>
        <w:t>. With the approval of the board of any plan amendment to the extent necessary or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desirable to comply with applicable law, the plan administrator may at any time amend, alter, suspend, or terminate the 2015 Plan; no amendment, alteration, suspension, or termination of the 2015 Plan shall materially and adversely affect any award previously granted pursuant to the 2015 Plan unless mutually agreed otherwise between the participant and the administrator, which agreement must be in writing and signed by the participant and the company.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168</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32406B"/>
        </w:rPr>
        <w:t>The following table summarizes, as of the date of this prospectus, the number of ordinary shares under outstanding options, restricted shares and other equity awards that we granted to our directors and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5"/>
              </w:rPr>
              <w:t>Ordinary Shares</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32406B"/>
                <w:w w:val="89"/>
              </w:rPr>
              <w:t>Exercise Price</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5"/>
              </w:rPr>
              <w:t>Underlying Equity</w:t>
            </w:r>
          </w:p>
        </w:tc>
        <w:tc>
          <w:tcPr>
            <w:tcW w:w="1300" w:type="dxa"/>
            <w:vAlign w:val="bottom"/>
            <w:gridSpan w:val="2"/>
            <w:vMerge w:val="continue"/>
          </w:tcPr>
          <w:p>
            <w:pPr>
              <w:spacing w:after="0"/>
              <w:rPr>
                <w:sz w:val="12"/>
                <w:szCs w:val="12"/>
                <w:color w:val="auto"/>
              </w:rPr>
            </w:pPr>
          </w:p>
        </w:tc>
        <w:tc>
          <w:tcPr>
            <w:tcW w:w="20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32406B"/>
              </w:rPr>
              <w:t>Date of Grant</w:t>
            </w:r>
          </w:p>
        </w:tc>
        <w:tc>
          <w:tcPr>
            <w:tcW w:w="20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32406B"/>
              </w:rPr>
              <w:t>Date of Expiration</w:t>
            </w:r>
          </w:p>
        </w:tc>
        <w:tc>
          <w:tcPr>
            <w:tcW w:w="0" w:type="dxa"/>
            <w:vAlign w:val="bottom"/>
          </w:tcPr>
          <w:p>
            <w:pPr>
              <w:spacing w:after="0"/>
              <w:rPr>
                <w:sz w:val="1"/>
                <w:szCs w:val="1"/>
                <w:color w:val="auto"/>
              </w:rPr>
            </w:pPr>
          </w:p>
        </w:tc>
      </w:tr>
      <w:tr>
        <w:trPr>
          <w:trHeight w:val="185"/>
        </w:trPr>
        <w:tc>
          <w:tcPr>
            <w:tcW w:w="3980" w:type="dxa"/>
            <w:vAlign w:val="bottom"/>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4"/>
              </w:rPr>
              <w:t>Awards Granted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3"/>
              </w:rPr>
              <w:t>(US$/Share)</w:t>
            </w:r>
          </w:p>
        </w:tc>
        <w:tc>
          <w:tcPr>
            <w:tcW w:w="2080" w:type="dxa"/>
            <w:vAlign w:val="bottom"/>
            <w:gridSpan w:val="2"/>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Xueji (Jerry) Wang</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0.2</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February 21, 2021</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February 20, 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Liaohan (Leo) Chen</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1980" w:type="dxa"/>
            <w:vAlign w:val="bottom"/>
          </w:tcPr>
          <w:p>
            <w:pPr>
              <w:jc w:val="right"/>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Yi (Alex) Yang</w:t>
            </w:r>
          </w:p>
        </w:tc>
        <w:tc>
          <w:tcPr>
            <w:tcW w:w="16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32406B"/>
              </w:rPr>
              <w:t>6,500,000</w:t>
            </w:r>
          </w:p>
        </w:tc>
        <w:tc>
          <w:tcPr>
            <w:tcW w:w="13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32406B"/>
              </w:rPr>
              <w:t>0.2</w:t>
            </w:r>
          </w:p>
        </w:tc>
        <w:tc>
          <w:tcPr>
            <w:tcW w:w="20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32406B"/>
              </w:rPr>
              <w:t>from August 6, 2015 to</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2406B"/>
              </w:rPr>
              <w:t>from August 5, 2025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January 5, 2021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January 4, 2031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Ruixin Zhou</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1980" w:type="dxa"/>
            <w:vAlign w:val="bottom"/>
          </w:tcPr>
          <w:p>
            <w:pPr>
              <w:jc w:val="right"/>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Yao (Jessie) Liu</w:t>
            </w:r>
          </w:p>
        </w:tc>
        <w:tc>
          <w:tcPr>
            <w:tcW w:w="16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32406B"/>
              </w:rPr>
              <w:t>0.2</w:t>
            </w:r>
          </w:p>
        </w:tc>
        <w:tc>
          <w:tcPr>
            <w:tcW w:w="20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32406B"/>
              </w:rPr>
              <w:t>from May 15, 2019 to</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2406B"/>
              </w:rPr>
              <w:t>from May 14, 2029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January 5, 2021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January 4, 2031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Scott Sandell</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1980" w:type="dxa"/>
            <w:vAlign w:val="bottom"/>
          </w:tcPr>
          <w:p>
            <w:pPr>
              <w:jc w:val="right"/>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Carmen Chang</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32406B"/>
              </w:rPr>
              <w:t>Jeff Immelt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32406B"/>
              </w:rPr>
              <w:t>1.08</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32406B"/>
              </w:rPr>
              <w:t>November 11, 2019</w:t>
            </w:r>
          </w:p>
        </w:tc>
        <w:tc>
          <w:tcPr>
            <w:tcW w:w="1980" w:type="dxa"/>
            <w:vAlign w:val="bottom"/>
          </w:tcPr>
          <w:p>
            <w:pPr>
              <w:jc w:val="right"/>
              <w:spacing w:after="0"/>
              <w:rPr>
                <w:sz w:val="20"/>
                <w:szCs w:val="20"/>
                <w:color w:val="auto"/>
              </w:rPr>
            </w:pPr>
            <w:r>
              <w:rPr>
                <w:rFonts w:ascii="Arial" w:cs="Arial" w:eastAsia="Arial" w:hAnsi="Arial"/>
                <w:sz w:val="18"/>
                <w:szCs w:val="18"/>
                <w:color w:val="32406B"/>
              </w:rPr>
              <w:t>November 10, 2029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Qing Gao</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32406B"/>
              </w:rPr>
              <w:t>Jing Hong</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All directors and executive officers as a group</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32406B"/>
              </w:rPr>
              <w:t>from August 6, 2015</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2406B"/>
              </w:rPr>
              <w:t>from August 5, 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15,100,000</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rPr>
              <w:t>0.2 to 1.08</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to February 21, 2021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to February 20, 2031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4"/>
          <w:szCs w:val="14"/>
          <w:color w:val="32406B"/>
        </w:rPr>
      </w:pPr>
      <w:r>
        <w:rPr>
          <w:rFonts w:ascii="Arial" w:cs="Arial" w:eastAsia="Arial" w:hAnsi="Arial"/>
          <w:sz w:val="14"/>
          <w:szCs w:val="14"/>
          <w:color w:val="32406B"/>
        </w:rPr>
        <w:t>Less than 1% of our total outstanding shares.</w:t>
      </w:r>
    </w:p>
    <w:p>
      <w:pPr>
        <w:spacing w:after="0" w:line="20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32406B"/>
        </w:rPr>
        <w:t>As of the date of this prospectus, our employees other than members of our senior management as a group held options to purchase 47,865,000 ordinary shares, with exercise prices ranging from US$0.04135 per share to US$2.88 per share.</w:t>
      </w:r>
    </w:p>
    <w:p>
      <w:pPr>
        <w:spacing w:after="0" w:line="170"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32406B"/>
        </w:rPr>
        <w:t>For discussions of our accounting policies and estimates for awards granted pursuant to the 2015 Plan, see “Management’s Discussion and Analysis of Financial Condition and Results of Operations—Critical Accounting Policies, Judgments and Estimates—Share-based compensation.</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169</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PRINCIPAL SHAREHOLDERS</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32406B"/>
        </w:rPr>
        <w:t>The following table sets forth information concerning the beneficial ownership of our ordinary shares as of the date of this prospectus, assuming conversion of all of our outstanding Series A, Series A-1, Series B, Series C and Series D preferred shares into ordinary shares on a one-to-one basis, by:</w:t>
      </w:r>
    </w:p>
    <w:p>
      <w:pPr>
        <w:spacing w:after="0" w:line="2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each of our directors and executive officers;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each person known to us to beneficially own more than 5% of our ordinary shares.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We have adopted a dual-class voting structure which will become effective immediately prior to the completion of this offering. The issued and outstanding ordinary shares beneficially owned prior to this offering by (i) Mr. Xueji (Jerry) Wang, our Chief Executive Officer and director, and (ii) Mr. Liaohan (Leo) Chen, our director, will be converted into Class B ordinary shares, and the remaining issued and outstanding ordinary shares and all the Series A, Series A-1, Series B, Series C and Series D preferred shares prior to this offering will be converted into Class A ordinary shares, in each case on a one-to-one basis immediately prior to the completion of this offering.</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32406B"/>
        </w:rPr>
        <w:t>The calculations in the table below are based on 516,170,081 ordinary shares on an as-converted basis outstanding as of the date of this prospectus and 559,760,081 ordinary shares outstanding immediately after the completion of this offering, including (i) 43,590,000 Class A ordinary shares to be sold by us in this offering in the form of ADSs (assuming that the underwriters do not exercise their option to purchase additional ADSs),</w:t>
      </w:r>
    </w:p>
    <w:p>
      <w:pPr>
        <w:spacing w:after="0" w:line="2" w:lineRule="exact"/>
        <w:rPr>
          <w:sz w:val="20"/>
          <w:szCs w:val="20"/>
          <w:color w:val="auto"/>
        </w:rPr>
      </w:pPr>
    </w:p>
    <w:p>
      <w:pPr>
        <w:ind w:left="120" w:hanging="4"/>
        <w:spacing w:after="0" w:line="255" w:lineRule="auto"/>
        <w:tabs>
          <w:tab w:leader="none" w:pos="385" w:val="left"/>
        </w:tabs>
        <w:numPr>
          <w:ilvl w:val="0"/>
          <w:numId w:val="94"/>
        </w:numPr>
        <w:rPr>
          <w:rFonts w:ascii="Arial" w:cs="Arial" w:eastAsia="Arial" w:hAnsi="Arial"/>
          <w:sz w:val="18"/>
          <w:szCs w:val="18"/>
          <w:color w:val="32406B"/>
        </w:rPr>
      </w:pPr>
      <w:r>
        <w:rPr>
          <w:rFonts w:ascii="Arial" w:cs="Arial" w:eastAsia="Arial" w:hAnsi="Arial"/>
          <w:sz w:val="18"/>
          <w:szCs w:val="18"/>
          <w:color w:val="32406B"/>
        </w:rPr>
        <w:t>142,400,000 Class B ordinary shares re-designed and converted form issued and outstanding ordinary shares beneficially owned prior to this offering by Mr. Xueji (Jerry) Wang and Mr. Liaohan (Leo) Chen; and (iii) 373,770,081 Class A ordinary shares re-designated and converted from the other issued and outstanding ordinary shares and all the issued and outstanding preferred shares prior to this offering.</w:t>
      </w:r>
    </w:p>
    <w:p>
      <w:pPr>
        <w:spacing w:after="0" w:line="19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32406B"/>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170</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Certain existing shareholders and their affiliates have subscribed for, and been allocated by the underwriters, an aggregate of 4,750,000 ADSs in this offering, including (i) 2,375,000 from our existing shareholder Tencent, and (ii) 2,375,000 ADSs from Gaoling Fund, L.P. and YHG Investment, L.P., affiliates of our existing shareholder, or collectively Hillhouse Capital. The subscriptions for ADSs are at the initial public offering price and on the same terms as the other ADSs being offered in this offering. The number of ADSs subscribed by these investors represents approximately 10.9% of the ADSs being offered in this offering, assuming the underwriters do not exercise their option to purchase additional ADSs. For additional information, see “Underwriting.”</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89"/>
              </w:rPr>
              <w:t>Class A</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89"/>
              </w:rPr>
              <w:t>Class B</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32406B"/>
                <w:w w:val="90"/>
              </w:rPr>
              <w:t>Percentage</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9"/>
              </w:rPr>
              <w:t>Ordinary</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9"/>
              </w:rPr>
              <w:t>Ordinary</w:t>
            </w:r>
          </w:p>
        </w:tc>
        <w:tc>
          <w:tcPr>
            <w:tcW w:w="104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8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32406B"/>
                <w:w w:val="95"/>
              </w:rPr>
              <w:t>Ordinary Shares</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89"/>
              </w:rPr>
              <w:t>Shares</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89"/>
              </w:rPr>
              <w:t>Shares</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1"/>
              </w:rPr>
              <w:t>of Beneficial</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32406B"/>
                <w:w w:val="91"/>
              </w:rPr>
              <w:t>Voting Power</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2"/>
              </w:rPr>
              <w:t>Beneficially</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2"/>
              </w:rPr>
              <w:t>Beneficially</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3"/>
              </w:rPr>
              <w:t>Ownership</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8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32406B"/>
                <w:w w:val="93"/>
              </w:rPr>
              <w:t>Beneficially Owned</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6"/>
              </w:rPr>
              <w:t>Owned After</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6"/>
              </w:rPr>
              <w:t>Owned After</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7"/>
              </w:rPr>
              <w:t>After This</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32406B"/>
                <w:w w:val="97"/>
              </w:rPr>
              <w:t>After This</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32406B"/>
                <w:w w:val="97"/>
              </w:rPr>
              <w:t>Prior to This Offering</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6"/>
              </w:rPr>
              <w:t>This Offering</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6"/>
              </w:rPr>
              <w:t>This Offering</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5"/>
              </w:rPr>
              <w:t>Offering</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rPr>
              <w:t>Offering***</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32406B"/>
              </w:rPr>
              <w:t>Number</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4"/>
              </w:rPr>
              <w:t>Number</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4"/>
              </w:rPr>
              <w:t>Number</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Directors and Executive Officers:†</w:t>
            </w: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Xueji (Jerry) Wang</w:t>
            </w:r>
            <w:r>
              <w:rPr>
                <w:rFonts w:ascii="Arial" w:cs="Arial" w:eastAsia="Arial" w:hAnsi="Arial"/>
                <w:sz w:val="15"/>
                <w:szCs w:val="15"/>
                <w:color w:val="32406B"/>
              </w:rPr>
              <w:t>(1)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w w:val="93"/>
              </w:rPr>
              <w:t>113,600,000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32406B"/>
              </w:rPr>
              <w:t>22.0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w w:val="93"/>
              </w:rPr>
              <w:t>113,600,000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20.3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66.7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Liaohan (Leo) Chen</w:t>
            </w:r>
            <w:r>
              <w:rPr>
                <w:rFonts w:ascii="Arial" w:cs="Arial" w:eastAsia="Arial" w:hAnsi="Arial"/>
                <w:sz w:val="15"/>
                <w:szCs w:val="15"/>
                <w:color w:val="32406B"/>
              </w:rPr>
              <w:t>(2)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28,800,000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5.6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28,800,000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5.1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16.9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Yi (Alex) Yang</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Ruixin Zhou</w:t>
            </w:r>
            <w:r>
              <w:rPr>
                <w:rFonts w:ascii="Arial" w:cs="Arial" w:eastAsia="Arial" w:hAnsi="Arial"/>
                <w:sz w:val="15"/>
                <w:szCs w:val="15"/>
                <w:color w:val="32406B"/>
              </w:rPr>
              <w:t>(3)</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21,600,000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4.2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21,600,000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3.9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0.8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Yao (Jessie) Liu</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Scott Sandell</w:t>
            </w:r>
            <w:r>
              <w:rPr>
                <w:rFonts w:ascii="Arial" w:cs="Arial" w:eastAsia="Arial" w:hAnsi="Arial"/>
                <w:sz w:val="15"/>
                <w:szCs w:val="15"/>
                <w:color w:val="32406B"/>
              </w:rPr>
              <w:t>(4)</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93"/>
              </w:rPr>
              <w:t>123,284,633</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23.9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93"/>
              </w:rPr>
              <w:t>123,284,633</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22.0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4.8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Carmen Chang</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Jeff Immelt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Qing Gao</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Jing Hong</w:t>
            </w:r>
            <w:r>
              <w:rPr>
                <w:rFonts w:ascii="Arial" w:cs="Arial" w:eastAsia="Arial" w:hAnsi="Arial"/>
                <w:sz w:val="15"/>
                <w:szCs w:val="15"/>
                <w:color w:val="32406B"/>
              </w:rPr>
              <w:t>(5)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12,222,267</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2.4</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12,222,267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0.5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All directors and executive officers as a group</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w w:val="93"/>
              </w:rPr>
              <w:t>304,151,345</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32406B"/>
              </w:rPr>
              <w:t>58.4</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w w:val="93"/>
              </w:rPr>
              <w:t>161,751,345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w w:val="93"/>
              </w:rPr>
              <w:t>142,400,000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53.9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89.8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Principal Shareholders: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NEA entities</w:t>
            </w:r>
            <w:r>
              <w:rPr>
                <w:rFonts w:ascii="Arial" w:cs="Arial" w:eastAsia="Arial" w:hAnsi="Arial"/>
                <w:sz w:val="15"/>
                <w:szCs w:val="15"/>
                <w:color w:val="32406B"/>
              </w:rPr>
              <w:t>(6)</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w w:val="93"/>
              </w:rPr>
              <w:t>123,284,633</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32406B"/>
              </w:rPr>
              <w:t>23.9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w w:val="93"/>
              </w:rPr>
              <w:t>123,284,633</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22.0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4.8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Tuya Group Inc.</w:t>
            </w:r>
            <w:r>
              <w:rPr>
                <w:rFonts w:ascii="Arial" w:cs="Arial" w:eastAsia="Arial" w:hAnsi="Arial"/>
                <w:sz w:val="15"/>
                <w:szCs w:val="15"/>
                <w:color w:val="32406B"/>
              </w:rPr>
              <w:t>(7)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86,600,000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16.8</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86,600,000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15.5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50.9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Tencent entities</w:t>
            </w:r>
            <w:r>
              <w:rPr>
                <w:rFonts w:ascii="Arial" w:cs="Arial" w:eastAsia="Arial" w:hAnsi="Arial"/>
                <w:sz w:val="15"/>
                <w:szCs w:val="15"/>
                <w:color w:val="32406B"/>
              </w:rPr>
              <w:t>(8)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55,924,749</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32406B"/>
              </w:rPr>
              <w:t>10.8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58,299,749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10.4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2.3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Unileo Limited</w:t>
            </w:r>
            <w:r>
              <w:rPr>
                <w:rFonts w:ascii="Arial" w:cs="Arial" w:eastAsia="Arial" w:hAnsi="Arial"/>
                <w:sz w:val="15"/>
                <w:szCs w:val="15"/>
                <w:color w:val="32406B"/>
              </w:rPr>
              <w:t>(9)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27,357,264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5.3</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27,357,264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16.1</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32406B"/>
              </w:rPr>
              <w:t>Tenet Group Limited</w:t>
            </w:r>
            <w:r>
              <w:rPr>
                <w:rFonts w:ascii="Arial" w:cs="Arial" w:eastAsia="Arial" w:hAnsi="Arial"/>
                <w:sz w:val="15"/>
                <w:szCs w:val="15"/>
                <w:color w:val="32406B"/>
              </w:rPr>
              <w:t>(10)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27,000,000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32406B"/>
              </w:rPr>
              <w:t>5.2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32406B"/>
              </w:rPr>
              <w:t>27,000,000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4.8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4"/>
          <w:szCs w:val="14"/>
          <w:color w:val="32406B"/>
        </w:rPr>
        <w:t>Notes:</w:t>
      </w:r>
    </w:p>
    <w:p>
      <w:pPr>
        <w:ind w:left="540" w:hanging="424"/>
        <w:spacing w:after="0" w:line="221" w:lineRule="auto"/>
        <w:tabs>
          <w:tab w:leader="none" w:pos="540" w:val="left"/>
        </w:tabs>
        <w:numPr>
          <w:ilvl w:val="0"/>
          <w:numId w:val="95"/>
        </w:numPr>
        <w:rPr>
          <w:rFonts w:ascii="Arial" w:cs="Arial" w:eastAsia="Arial" w:hAnsi="Arial"/>
          <w:sz w:val="14"/>
          <w:szCs w:val="14"/>
          <w:color w:val="32406B"/>
        </w:rPr>
      </w:pPr>
      <w:r>
        <w:rPr>
          <w:rFonts w:ascii="Arial" w:cs="Arial" w:eastAsia="Arial" w:hAnsi="Arial"/>
          <w:sz w:val="14"/>
          <w:szCs w:val="14"/>
          <w:color w:val="32406B"/>
        </w:rPr>
        <w:t>Less than 1% of our total outstanding shares on an as-converted basis.</w:t>
      </w:r>
    </w:p>
    <w:p>
      <w:pPr>
        <w:ind w:left="540" w:right="220" w:hanging="424"/>
        <w:spacing w:after="0" w:line="221" w:lineRule="auto"/>
        <w:tabs>
          <w:tab w:leader="none" w:pos="540" w:val="left"/>
        </w:tabs>
        <w:numPr>
          <w:ilvl w:val="0"/>
          <w:numId w:val="96"/>
        </w:numPr>
        <w:rPr>
          <w:rFonts w:ascii="Arial" w:cs="Arial" w:eastAsia="Arial" w:hAnsi="Arial"/>
          <w:sz w:val="14"/>
          <w:szCs w:val="14"/>
          <w:color w:val="32406B"/>
        </w:rPr>
      </w:pPr>
      <w:r>
        <w:rPr>
          <w:rFonts w:ascii="Arial" w:cs="Arial" w:eastAsia="Arial" w:hAnsi="Arial"/>
          <w:sz w:val="14"/>
          <w:szCs w:val="14"/>
          <w:color w:val="32406B"/>
        </w:rPr>
        <w:t>For each person and group included in this table, percentage ownership is calculated by dividing the number of shares beneficially owned by such person or group by the sum of (i) 516,170,081, being the number of ordinary shares on an as-converted basis outstanding as of the date of this prospectus, and (ii) the number of ordinary shares underlying share options held by such person or group that are exercisable within 60 days after the date of this prospectus.</w:t>
      </w:r>
    </w:p>
    <w:p>
      <w:pPr>
        <w:ind w:left="540" w:hanging="424"/>
        <w:spacing w:after="0"/>
        <w:tabs>
          <w:tab w:leader="none" w:pos="540" w:val="left"/>
        </w:tabs>
        <w:numPr>
          <w:ilvl w:val="0"/>
          <w:numId w:val="97"/>
        </w:numPr>
        <w:rPr>
          <w:rFonts w:ascii="Arial" w:cs="Arial" w:eastAsia="Arial" w:hAnsi="Arial"/>
          <w:sz w:val="13"/>
          <w:szCs w:val="13"/>
          <w:color w:val="32406B"/>
        </w:rPr>
      </w:pPr>
      <w:r>
        <w:rPr>
          <w:rFonts w:ascii="Arial" w:cs="Arial" w:eastAsia="Arial" w:hAnsi="Arial"/>
          <w:sz w:val="13"/>
          <w:szCs w:val="13"/>
          <w:color w:val="32406B"/>
        </w:rPr>
        <w:t>For each person and group included in this column, percentage of voting power is calculated by dividing the voting power beneficially owned by such person or group by the voting</w:t>
      </w:r>
    </w:p>
    <w:p>
      <w:pPr>
        <w:ind w:left="540"/>
        <w:spacing w:after="0" w:line="221" w:lineRule="auto"/>
        <w:rPr>
          <w:sz w:val="20"/>
          <w:szCs w:val="20"/>
          <w:color w:val="auto"/>
        </w:rPr>
      </w:pPr>
      <w:r>
        <w:rPr>
          <w:rFonts w:ascii="Arial" w:cs="Arial" w:eastAsia="Arial" w:hAnsi="Arial"/>
          <w:sz w:val="14"/>
          <w:szCs w:val="14"/>
          <w:color w:val="32406B"/>
        </w:rPr>
        <w:t>power of all of our ordinary shares as a single class.</w:t>
      </w:r>
    </w:p>
    <w:p>
      <w:pPr>
        <w:ind w:left="540" w:hanging="424"/>
        <w:spacing w:after="0"/>
        <w:tabs>
          <w:tab w:leader="none" w:pos="540" w:val="left"/>
        </w:tabs>
        <w:numPr>
          <w:ilvl w:val="0"/>
          <w:numId w:val="98"/>
        </w:numPr>
        <w:rPr>
          <w:rFonts w:ascii="Arial" w:cs="Arial" w:eastAsia="Arial" w:hAnsi="Arial"/>
          <w:sz w:val="13"/>
          <w:szCs w:val="13"/>
          <w:color w:val="32406B"/>
        </w:rPr>
      </w:pPr>
      <w:r>
        <w:rPr>
          <w:rFonts w:ascii="Arial" w:cs="Arial" w:eastAsia="Arial" w:hAnsi="Arial"/>
          <w:sz w:val="13"/>
          <w:szCs w:val="13"/>
          <w:color w:val="32406B"/>
        </w:rPr>
        <w:t>The address of our directors and executive officers (except Scott Sandell, Carmen Chang, Jeff Immelt, Qing Gao and Jing Hong) is Huace Center, Building A, 10/F, Xihu District,</w:t>
      </w:r>
    </w:p>
    <w:p>
      <w:pPr>
        <w:ind w:left="540"/>
        <w:spacing w:after="0" w:line="221" w:lineRule="auto"/>
        <w:rPr>
          <w:sz w:val="20"/>
          <w:szCs w:val="20"/>
          <w:color w:val="auto"/>
        </w:rPr>
      </w:pPr>
      <w:r>
        <w:rPr>
          <w:rFonts w:ascii="Arial" w:cs="Arial" w:eastAsia="Arial" w:hAnsi="Arial"/>
          <w:sz w:val="14"/>
          <w:szCs w:val="14"/>
          <w:color w:val="32406B"/>
        </w:rPr>
        <w:t>Hangzhou City Zhejiang, 310000, People’s Republic of China. The address of Scott Sandell, Carmen Chang and Jeff Immelt is 1954 Greenspring Drive, Suite 600, Timonium, MD 21093. The address of Qing Gao is 1 Jian Guo Men Wai Ave., China World Tower 3B, F26, 100004, Beijing, China. The address of Jing Hong is Suite 1213, 12/F West Tower, Genesis Beijing, No. 8 Xinyuan South Road, Chaoyang District, 100027 P.R. China.</w:t>
      </w:r>
    </w:p>
    <w:p>
      <w:pPr>
        <w:spacing w:after="0" w:line="1" w:lineRule="exact"/>
        <w:rPr>
          <w:sz w:val="20"/>
          <w:szCs w:val="20"/>
          <w:color w:val="auto"/>
        </w:rPr>
      </w:pPr>
    </w:p>
    <w:p>
      <w:pPr>
        <w:ind w:left="540" w:right="40" w:hanging="424"/>
        <w:spacing w:after="0" w:line="221" w:lineRule="auto"/>
        <w:tabs>
          <w:tab w:leader="none" w:pos="540" w:val="left"/>
        </w:tabs>
        <w:numPr>
          <w:ilvl w:val="0"/>
          <w:numId w:val="99"/>
        </w:numPr>
        <w:rPr>
          <w:rFonts w:ascii="Arial" w:cs="Arial" w:eastAsia="Arial" w:hAnsi="Arial"/>
          <w:sz w:val="14"/>
          <w:szCs w:val="14"/>
          <w:color w:val="32406B"/>
        </w:rPr>
      </w:pPr>
      <w:r>
        <w:rPr>
          <w:rFonts w:ascii="Arial" w:cs="Arial" w:eastAsia="Arial" w:hAnsi="Arial"/>
          <w:sz w:val="14"/>
          <w:szCs w:val="14"/>
          <w:color w:val="32406B"/>
        </w:rPr>
        <w:t>Represents (i) 86,600,000 ordinary shares held of record by Tuya Group Inc., a British Virgin Islands company wholly owned by Xueji (Jerry) Wang; and (ii) 27,000,000 ordinary shares held of record by Tenet Group Limited, a British Virgin Islands company ultimately wholly owned by the trustee of a trust constituted under the laws of the Cayman Islands, with Xueji (Jerry) Wang being the settlor of the trust. The registered address of both Tuya Group Inc. and Tenet Group Limited is Craigmuir Chambers, Road Town, Tortola, VG 1110, British Virgin Islands.</w:t>
      </w:r>
    </w:p>
    <w:p>
      <w:pPr>
        <w:spacing w:after="0" w:line="1" w:lineRule="exact"/>
        <w:rPr>
          <w:rFonts w:ascii="Arial" w:cs="Arial" w:eastAsia="Arial" w:hAnsi="Arial"/>
          <w:sz w:val="14"/>
          <w:szCs w:val="14"/>
          <w:color w:val="32406B"/>
        </w:rPr>
      </w:pPr>
    </w:p>
    <w:p>
      <w:pPr>
        <w:ind w:left="540" w:right="100" w:hanging="424"/>
        <w:spacing w:after="0" w:line="229" w:lineRule="auto"/>
        <w:tabs>
          <w:tab w:leader="none" w:pos="540" w:val="left"/>
        </w:tabs>
        <w:numPr>
          <w:ilvl w:val="0"/>
          <w:numId w:val="99"/>
        </w:numPr>
        <w:rPr>
          <w:rFonts w:ascii="Arial" w:cs="Arial" w:eastAsia="Arial" w:hAnsi="Arial"/>
          <w:sz w:val="14"/>
          <w:szCs w:val="14"/>
          <w:color w:val="32406B"/>
        </w:rPr>
      </w:pPr>
      <w:r>
        <w:rPr>
          <w:rFonts w:ascii="Arial" w:cs="Arial" w:eastAsia="Arial" w:hAnsi="Arial"/>
          <w:sz w:val="14"/>
          <w:szCs w:val="14"/>
          <w:color w:val="32406B"/>
        </w:rPr>
        <w:t>Represents (i) 1,442,736 ordinary shares held of record by Tuya Technology Inc., a company registered in British Virgin Islands in which Liaohan (Leo) Chen holds approximately 33.3% of equity interests, and (ii) 27,357,264 ordinary shares held of record by Unileo Limited, a company registered in British Virgin Islands wholly owned by Liaohan (Leo) Chen. The registered address of Tuya Technology Inc. is Craigmuir Chambers, Road Town, Tortola, VG 1110, British Virgin Islands. The registered address of Unileo Limited is Craigmuir Chambers, Road Town, Tortola. VG 1110, British Virgin Islands.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171</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0" w:hanging="424"/>
        <w:spacing w:after="0" w:line="244" w:lineRule="auto"/>
        <w:tabs>
          <w:tab w:leader="none" w:pos="540" w:val="left"/>
        </w:tabs>
        <w:numPr>
          <w:ilvl w:val="0"/>
          <w:numId w:val="100"/>
        </w:numPr>
        <w:rPr>
          <w:rFonts w:ascii="Arial" w:cs="Arial" w:eastAsia="Arial" w:hAnsi="Arial"/>
          <w:sz w:val="13"/>
          <w:szCs w:val="13"/>
          <w:color w:val="32406B"/>
        </w:rPr>
      </w:pPr>
      <w:r>
        <w:rPr>
          <w:rFonts w:ascii="Arial" w:cs="Arial" w:eastAsia="Arial" w:hAnsi="Arial"/>
          <w:sz w:val="13"/>
          <w:szCs w:val="13"/>
          <w:color w:val="32406B"/>
        </w:rPr>
        <w:t>Represents (i) 1,080,000 ordinary shares held of record by Tuya Technology Inc., a company registered in British Virgin Islands in which Ruixin Zhou holds approximately 25.0% of equity interests, and (ii) 20,520,000 ordinary shares held of record by Valgolden Limited, a company registered in British Virgin Islands wholly owned by Ruixin Zhou. The registered address of Tuya Technology Inc. is Craigmuir Chambers, Road Town, Tortola, VG 1110, British Virgin Islands. The registered address of Valgolden Limited is Craigmuir Chambers.</w:t>
      </w:r>
    </w:p>
    <w:p>
      <w:pPr>
        <w:spacing w:after="0" w:line="1" w:lineRule="exact"/>
        <w:rPr>
          <w:rFonts w:ascii="Arial" w:cs="Arial" w:eastAsia="Arial" w:hAnsi="Arial"/>
          <w:sz w:val="13"/>
          <w:szCs w:val="13"/>
          <w:color w:val="32406B"/>
        </w:rPr>
      </w:pPr>
    </w:p>
    <w:p>
      <w:pPr>
        <w:ind w:left="540"/>
        <w:spacing w:after="0" w:line="221" w:lineRule="auto"/>
        <w:rPr>
          <w:rFonts w:ascii="Arial" w:cs="Arial" w:eastAsia="Arial" w:hAnsi="Arial"/>
          <w:sz w:val="13"/>
          <w:szCs w:val="13"/>
          <w:color w:val="32406B"/>
        </w:rPr>
      </w:pPr>
      <w:r>
        <w:rPr>
          <w:rFonts w:ascii="Arial" w:cs="Arial" w:eastAsia="Arial" w:hAnsi="Arial"/>
          <w:sz w:val="14"/>
          <w:szCs w:val="14"/>
          <w:color w:val="32406B"/>
        </w:rPr>
        <w:t>Road Town, Tortola, VG 1110, British Virgin Islands.</w:t>
      </w:r>
    </w:p>
    <w:p>
      <w:pPr>
        <w:jc w:val="both"/>
        <w:ind w:left="540" w:right="40" w:hanging="424"/>
        <w:spacing w:after="0" w:line="221" w:lineRule="auto"/>
        <w:tabs>
          <w:tab w:leader="none" w:pos="540" w:val="left"/>
        </w:tabs>
        <w:numPr>
          <w:ilvl w:val="0"/>
          <w:numId w:val="100"/>
        </w:numPr>
        <w:rPr>
          <w:rFonts w:ascii="Arial" w:cs="Arial" w:eastAsia="Arial" w:hAnsi="Arial"/>
          <w:sz w:val="14"/>
          <w:szCs w:val="14"/>
          <w:color w:val="32406B"/>
        </w:rPr>
      </w:pPr>
      <w:r>
        <w:rPr>
          <w:rFonts w:ascii="Arial" w:cs="Arial" w:eastAsia="Arial" w:hAnsi="Arial"/>
          <w:sz w:val="14"/>
          <w:szCs w:val="14"/>
          <w:color w:val="32406B"/>
        </w:rPr>
        <w:t>Represents the 58,034,100 Series A preferred shares, 45,391,270 Series B preferred shares, 18,402,260 Series C preferred shares and 1,457,003 Series D preferred shares disclosed in footnote (6) below that are held directly by New Enterprise Associates 14, L.P. and NEA 15 Opportunity Fund, L.P. Scott Sandell has disclaimed beneficial ownership of all the above referenced securities (as described in footnote (5) below) except to the extent of his actual pecuniary interest therein.</w:t>
      </w:r>
    </w:p>
    <w:p>
      <w:pPr>
        <w:ind w:left="540" w:right="20" w:hanging="424"/>
        <w:spacing w:after="0" w:line="221" w:lineRule="auto"/>
        <w:tabs>
          <w:tab w:leader="none" w:pos="540" w:val="left"/>
        </w:tabs>
        <w:numPr>
          <w:ilvl w:val="0"/>
          <w:numId w:val="100"/>
        </w:numPr>
        <w:rPr>
          <w:rFonts w:ascii="Arial" w:cs="Arial" w:eastAsia="Arial" w:hAnsi="Arial"/>
          <w:sz w:val="14"/>
          <w:szCs w:val="14"/>
          <w:color w:val="32406B"/>
        </w:rPr>
      </w:pPr>
      <w:r>
        <w:rPr>
          <w:rFonts w:ascii="Arial" w:cs="Arial" w:eastAsia="Arial" w:hAnsi="Arial"/>
          <w:sz w:val="14"/>
          <w:szCs w:val="14"/>
          <w:color w:val="32406B"/>
        </w:rPr>
        <w:t>Represents 12,222,267 Series A-1 preferred shares held of record by GTY Holdings Limited, a company registered in the Cayman Islands. The registered address of GTY Holdings Limited is Cayman Corporate Centre, 27 Hospital Road, George Town, Grand Cayman KY1-9008, Cayman Islands. Jing Hong is the beneficial owner and general partner of the funds that own GTY Holdings Limited.</w:t>
      </w:r>
    </w:p>
    <w:p>
      <w:pPr>
        <w:ind w:left="540" w:hanging="424"/>
        <w:spacing w:after="0" w:line="238" w:lineRule="auto"/>
        <w:tabs>
          <w:tab w:leader="none" w:pos="540" w:val="left"/>
        </w:tabs>
        <w:numPr>
          <w:ilvl w:val="0"/>
          <w:numId w:val="100"/>
        </w:numPr>
        <w:rPr>
          <w:rFonts w:ascii="Arial" w:cs="Arial" w:eastAsia="Arial" w:hAnsi="Arial"/>
          <w:sz w:val="13"/>
          <w:szCs w:val="13"/>
          <w:color w:val="32406B"/>
        </w:rPr>
      </w:pPr>
      <w:r>
        <w:rPr>
          <w:rFonts w:ascii="Arial" w:cs="Arial" w:eastAsia="Arial" w:hAnsi="Arial"/>
          <w:sz w:val="13"/>
          <w:szCs w:val="13"/>
          <w:color w:val="32406B"/>
        </w:rPr>
        <w:t>Represents 58,034,100 Series A preferred shares, 45,391,270 Series B preferred shares, 7,886,680 Series C preferred shares and 611,941 Series D preferred shares held of record by New Enterprise Associates 14, L.P. (“NEA 14”) and 10,515,580 Series C preferred shares and 845,062 Series D preferred shares held of record by NEA 15 Opportunity Fund L.P. (“NEA 15-OF”). The shares directly held by NEA 14 are indirectly held by NEA Partners 14, L.P. (“Partners 14”), which is the sole general partner of NEA 14; NEA 14 GP, LTD (“NEA 14 LTD”), the sole general partner of Partners 14; and each of the individual directors of NEA 14 LTD (collectively, the “NEA 14 Directors”). The NEA 14 Directors are Scott Sandell, one of our directors, and certain other individuals. Partners 14, NEA 14 LTD, and the NEA 14 Directors share voting and dispositive power with regard to the shares held directly by NEA 14. The shares directly held by NEA 15-OF are indirectly held by NEA Partners 15-OF, L.P. (“Partners 15-OF”), the sole general partner of NEA 15-OF; NEA 15 GP, LLC (“NEA 15 LLC”), which is the sole general partner of Partners 15-OF; and each of the individual managers of NEA 15 LLC (collectively, the “NEA 15 Managers”). The NEA 15 Managers are Scott Sandell, one of our directors, and certain other individuals. Partner 15-OF, NEA 15 LLC and the NEA 15 Managers share voting and dispositive power with regard to the shares owned directly by NEA 15-OF. All indirect holders of the above referenced shares disclaim beneficial ownership of all applicable shares except to the extent of their actual pecuniary interest therein. The address for the above referenced NEA entities is 1954 Greenspring Drive, Suite 600, Timonium, MD 21093.</w:t>
      </w:r>
    </w:p>
    <w:p>
      <w:pPr>
        <w:spacing w:after="0" w:line="2" w:lineRule="exact"/>
        <w:rPr>
          <w:rFonts w:ascii="Arial" w:cs="Arial" w:eastAsia="Arial" w:hAnsi="Arial"/>
          <w:sz w:val="13"/>
          <w:szCs w:val="13"/>
          <w:color w:val="32406B"/>
        </w:rPr>
      </w:pPr>
    </w:p>
    <w:p>
      <w:pPr>
        <w:ind w:left="540" w:hanging="424"/>
        <w:spacing w:after="0" w:line="221" w:lineRule="auto"/>
        <w:tabs>
          <w:tab w:leader="none" w:pos="540" w:val="left"/>
        </w:tabs>
        <w:numPr>
          <w:ilvl w:val="0"/>
          <w:numId w:val="100"/>
        </w:numPr>
        <w:rPr>
          <w:rFonts w:ascii="Arial" w:cs="Arial" w:eastAsia="Arial" w:hAnsi="Arial"/>
          <w:sz w:val="14"/>
          <w:szCs w:val="14"/>
          <w:color w:val="32406B"/>
        </w:rPr>
      </w:pPr>
      <w:r>
        <w:rPr>
          <w:rFonts w:ascii="Arial" w:cs="Arial" w:eastAsia="Arial" w:hAnsi="Arial"/>
          <w:sz w:val="14"/>
          <w:szCs w:val="14"/>
          <w:color w:val="32406B"/>
        </w:rPr>
        <w:t>Represents 86,600,000 ordinary shares held of record by Tuya Group Inc. Tuya Group Inc. is wholly owned by Xueji (Jerry) Wang.</w:t>
      </w:r>
    </w:p>
    <w:p>
      <w:pPr>
        <w:ind w:left="540" w:hanging="424"/>
        <w:spacing w:after="0" w:line="221" w:lineRule="auto"/>
        <w:tabs>
          <w:tab w:leader="none" w:pos="540" w:val="left"/>
        </w:tabs>
        <w:numPr>
          <w:ilvl w:val="0"/>
          <w:numId w:val="100"/>
        </w:numPr>
        <w:rPr>
          <w:rFonts w:ascii="Arial" w:cs="Arial" w:eastAsia="Arial" w:hAnsi="Arial"/>
          <w:sz w:val="14"/>
          <w:szCs w:val="14"/>
          <w:color w:val="32406B"/>
        </w:rPr>
      </w:pPr>
      <w:r>
        <w:rPr>
          <w:rFonts w:ascii="Arial" w:cs="Arial" w:eastAsia="Arial" w:hAnsi="Arial"/>
          <w:sz w:val="14"/>
          <w:szCs w:val="14"/>
          <w:color w:val="32406B"/>
        </w:rPr>
        <w:t>Represents (i) 49,514,236 Series D preferred shares and 8,785,513 ordinary shares held of record by Tencent Mobility Limited, a company registered in Hong Kong, and (ii) 2,375,000 ordinary shares held of record by Image Frame Investment (HK) Limited, a company registered in Hong Kong. The registered address of Tencent Mobility Limited and Image Frame Investment (HK) Limited is Three Pacific Place, 1 Queen’s Road East, Wanchai, Hong Kong. Tencent Mobility Limited and Image Frame Investment (HK) Limited are wholly owned by Tencent Holdings Limited, a company listed on the Hong Kong Stock Exchange (Stock code: 00700).</w:t>
      </w:r>
    </w:p>
    <w:p>
      <w:pPr>
        <w:spacing w:after="0" w:line="1" w:lineRule="exact"/>
        <w:rPr>
          <w:rFonts w:ascii="Arial" w:cs="Arial" w:eastAsia="Arial" w:hAnsi="Arial"/>
          <w:sz w:val="14"/>
          <w:szCs w:val="14"/>
          <w:color w:val="32406B"/>
        </w:rPr>
      </w:pPr>
    </w:p>
    <w:p>
      <w:pPr>
        <w:ind w:left="540" w:hanging="424"/>
        <w:spacing w:after="0" w:line="221" w:lineRule="auto"/>
        <w:tabs>
          <w:tab w:leader="none" w:pos="540" w:val="left"/>
        </w:tabs>
        <w:numPr>
          <w:ilvl w:val="0"/>
          <w:numId w:val="100"/>
        </w:numPr>
        <w:rPr>
          <w:rFonts w:ascii="Arial" w:cs="Arial" w:eastAsia="Arial" w:hAnsi="Arial"/>
          <w:sz w:val="14"/>
          <w:szCs w:val="14"/>
          <w:color w:val="32406B"/>
        </w:rPr>
      </w:pPr>
      <w:r>
        <w:rPr>
          <w:rFonts w:ascii="Arial" w:cs="Arial" w:eastAsia="Arial" w:hAnsi="Arial"/>
          <w:sz w:val="14"/>
          <w:szCs w:val="14"/>
          <w:color w:val="32406B"/>
        </w:rPr>
        <w:t>Represents 27,357,264 ordinary shares held of record by Unileo Limited. Unileo Limited is wholly owned by Liaohan (Leo) Chen.</w:t>
      </w:r>
    </w:p>
    <w:p>
      <w:pPr>
        <w:ind w:left="540" w:right="100" w:hanging="424"/>
        <w:spacing w:after="0" w:line="232" w:lineRule="auto"/>
        <w:tabs>
          <w:tab w:leader="none" w:pos="540" w:val="left"/>
        </w:tabs>
        <w:numPr>
          <w:ilvl w:val="0"/>
          <w:numId w:val="100"/>
        </w:numPr>
        <w:rPr>
          <w:rFonts w:ascii="Arial" w:cs="Arial" w:eastAsia="Arial" w:hAnsi="Arial"/>
          <w:sz w:val="14"/>
          <w:szCs w:val="14"/>
          <w:color w:val="32406B"/>
        </w:rPr>
      </w:pPr>
      <w:r>
        <w:rPr>
          <w:rFonts w:ascii="Arial" w:cs="Arial" w:eastAsia="Arial" w:hAnsi="Arial"/>
          <w:sz w:val="14"/>
          <w:szCs w:val="14"/>
          <w:color w:val="32406B"/>
        </w:rPr>
        <w:t>Represents 27,000,000 ordinary shares held of record by Tenet Group Limited, a company registered in British Virgin Islands ultimately wholly owned by the trustee of a trust constituted under the laws of the Cayman Islands, with Xueji (Jerry) Wang being the settlor of the trust. The registered address of Tenet Group Limited is Craigmuir Chambers, Road Town, Tortola, VG 1110, British Virgin Islands.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32406B"/>
        </w:rPr>
        <w:t>As of the date of this prospectus, a total of 16,066,480 Series C preferred shares and 845,062 Series D preferred shares are held by record holders in the United States, representing 3.3% of the outstanding ordinary shares on an as-converted basis. None of our Series A preferred shares, Series A-1 preferred shares, Series B preferred shares and ordinary shares are held by record holders in the United States. We are not aware of any arrangement that may, at a subsequent date, result in a change of control of our company. See “Description of Share Capital—History of Securities Issuances” for a description of issuances of our ordinary shares and preferred shares that have resulted in significant changes in ownership held by our major shareholders.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172</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32406B"/>
        </w:rPr>
        <w:t>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Contractual Arrangements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See “Corporate History and Structure” for a description of the contractual arrangements by and among our PRC subsidiary, our VIE and the shareholders of our VIE.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See “Management—Employment Agreements and Indemnification Agreements.”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Private Placements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See “Description of Share Capital—History of Securities Issuances.”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Share Incentives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See “Management—Equity Incentive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Other Related Party Transactions</w:t>
      </w:r>
    </w:p>
    <w:p>
      <w:pPr>
        <w:spacing w:after="0" w:line="121"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32406B"/>
        </w:rPr>
        <w:t>As of December 31, 2019 and December 31, 2020, we had receivables of US$10,000 and nil relating to the amount payable by certain shareholders to subscribe for ordinary shares, respectively. The receivable has been paid as of the date of this prospectus.</w:t>
      </w:r>
    </w:p>
    <w:p>
      <w:pPr>
        <w:spacing w:after="0" w:line="79" w:lineRule="exact"/>
        <w:rPr>
          <w:sz w:val="20"/>
          <w:szCs w:val="20"/>
          <w:color w:val="auto"/>
        </w:rPr>
      </w:pPr>
    </w:p>
    <w:p>
      <w:pPr>
        <w:ind w:left="5480"/>
        <w:spacing w:after="0"/>
        <w:rPr>
          <w:sz w:val="20"/>
          <w:szCs w:val="20"/>
          <w:color w:val="auto"/>
        </w:rPr>
      </w:pPr>
      <w:r>
        <w:rPr>
          <w:rFonts w:ascii="Arial" w:cs="Arial" w:eastAsia="Arial" w:hAnsi="Arial"/>
          <w:sz w:val="18"/>
          <w:szCs w:val="18"/>
          <w:color w:val="32406B"/>
        </w:rPr>
        <w:t>173</w:t>
      </w:r>
    </w:p>
    <w:p>
      <w:pPr>
        <w:sectPr>
          <w:pgSz w:w="11900" w:h="16838" w:orient="portrait"/>
          <w:cols w:equalWidth="0" w:num="1">
            <w:col w:w="10620"/>
          </w:cols>
          <w:pgMar w:left="320" w:top="459" w:right="9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DESCRIPTION OF SHARE CAPITAL</w:t>
      </w:r>
    </w:p>
    <w:p>
      <w:pPr>
        <w:spacing w:after="0" w:line="22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32406B"/>
        </w:rPr>
        <w:t>We are a Cayman Islands company and our affairs are governed by our memorandum and articles of association, as amended and restated from time to time, and Companies Act (As Revised) of the Cayman Islands, which we refer to as the “Companies Act” below, and the common law of the Cayman Islands.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As of the date hereof, our authorized share capital consists of US$50,000 divided into (i) 692,500,110 ordinary shares with a par value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US$0.00005 each, (ii) 65,288,360 Series A preferred shares with a par value of US$0.00005 each, (iii)15,959,140 Series A-1 preferred shares with a par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value of US$0.00005 each, (iv)90,782,550 Series B preferred shares with a par value of US$0.00005 each, (v) 60,469,840 Series C preferred shares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a par value of US$0.00005 each, and (vi)75,000,000 Series D preferred shares with a par value of US$0.00005 each. As of the date of this prospectus,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there are 238,006,282 ordinary shares, 65,288,360 Series A preferred shares, 12,222,267 Series A-1 preferred shares, 87,756,440 Series B preferred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5"/>
          <w:szCs w:val="15"/>
          <w:color w:val="32406B"/>
        </w:rPr>
        <w:t>shares, 60,468,490 Series C preferred shares and 52,428,242 Series D preferred shares issued and outstanding. As of the date of this prospectus, our total</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issued share capital is US$25,808.50. All of our issued and outstanding ordinary shares and preferred shares are fully paid. Immediately prior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completion of this offering, all of our issued and outstanding preferred shares will be converted into, and re-designated and re-classified, as ordinary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shares on a one-for-one basis.</w:t>
      </w:r>
    </w:p>
    <w:p>
      <w:pPr>
        <w:spacing w:after="0" w:line="21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32406B"/>
        </w:rPr>
        <w:t>We have adopted the eighth amended and restated memorandum and articles of association, which will become effective and replace the current seventh amended and restated memorandum and articles of association in its entirety immediately prior to the completion of this offering. Our eighth amended and restated memorandum and articles of association provides that, immediately prior to the closing of this offering, we will have two classes of ordinary shares, the Class A ordinary shares and Class B ordinary shares. Our authorized share capital immediately prior to the completion of the offering will be US$50,000 divided into 1,000,000,000 ordinary shares of a par value of US$0.00005 each, comprising of (a) 600,000,000 Class A ordinary shares of a par value of US$0.00005 each, (b) 200,000,000 Class B ordinary shares of a par value of US$0.00005 each, and (c) 200,000,000 shares of such class or classes as our board of directors may determine. All issued and outstanding ordinary shares beneficially owned by (i) Mr. Xueji (Jerry) Wang, our Chief Executive Officer and director; and (ii) Mr. Liaohan (Leo) Chen, our director, will be immediately and automatically converted into Class B ordinary shares on a one-for-one basis, and all the other issued and outstanding ordinary shares and all the issued and outstanding Series A, Series A-1, Series B, Series C and Series D preferred shares prior to this offering will be automatically converted into Class A ordinary shares on a one-for-one basis immediately prior to the completion of this offering. We will offer Class A ordinary shares represented by the ADSs in this offering. All incentive shares, including options, regardless of grant dates, will entitle holders to an equivalent number of Class A ordinary shares once the applicable vesting and exercising conditions are met.</w:t>
      </w:r>
    </w:p>
    <w:p>
      <w:pPr>
        <w:spacing w:after="0" w:line="186"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32406B"/>
        </w:rPr>
        <w:t>The following are summaries of material provisions of our post-offering amended and restated memorandum and articles of association and the Companies Act insofar as they relate to the material terms of our ordinary shares that we expect will become effective upon the closing of this offering.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Ordinary Shares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b w:val="1"/>
          <w:bCs w:val="1"/>
          <w:i w:val="1"/>
          <w:iCs w:val="1"/>
          <w:color w:val="32406B"/>
        </w:rPr>
        <w:t>Ordinary Shares</w:t>
      </w:r>
      <w:r>
        <w:rPr>
          <w:rFonts w:ascii="Arial" w:cs="Arial" w:eastAsia="Arial" w:hAnsi="Arial"/>
          <w:sz w:val="17"/>
          <w:szCs w:val="17"/>
          <w:color w:val="32406B"/>
        </w:rPr>
        <w:t>. Holders of ordinary shares will have the same rights. All of our issued and outstanding ordinary shares are fully paid and</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non-assessable. Our ordinary shares are issued in registered form and are issued when registered in our register of members. We may not issue share to bearer. Our shareholders who are non-residents of the Cayman Islands may freely hold and transfer their ordinary shares.</w:t>
      </w:r>
    </w:p>
    <w:p>
      <w:pPr>
        <w:spacing w:after="0" w:line="16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32406B"/>
        </w:rPr>
        <w:t>Dividends</w:t>
      </w:r>
      <w:r>
        <w:rPr>
          <w:rFonts w:ascii="Arial" w:cs="Arial" w:eastAsia="Arial" w:hAnsi="Arial"/>
          <w:sz w:val="18"/>
          <w:szCs w:val="18"/>
          <w:color w:val="32406B"/>
        </w:rPr>
        <w:t>. The holders of our ordinary shares are entitled to such dividends as may be declared by our board of directors subject to our post-offering amended and restated memorandum and articles of association and the Companies Act. Our post-offering amended and restated articles of association provide that dividends may be declared and paid out of our profits, realized or unrealized, or from any reserve set aside from profits which our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174</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32406B"/>
        </w:rPr>
        <w:t>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32406B"/>
        </w:rPr>
        <w:t xml:space="preserve">Classes of Ordinary Shares. </w:t>
      </w:r>
      <w:r>
        <w:rPr>
          <w:rFonts w:ascii="Arial" w:cs="Arial" w:eastAsia="Arial" w:hAnsi="Arial"/>
          <w:sz w:val="18"/>
          <w:szCs w:val="18"/>
          <w:color w:val="32406B"/>
        </w:rPr>
        <w:t>Our ordinary shares are divided into Class A ordinary shares and Class B ordinary shares. Except for conversion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 xml:space="preserve">rights and voting rights, the Class A ordinary shares and Class B ordinary shares shall carry equal rights and rank </w:t>
      </w:r>
      <w:r>
        <w:rPr>
          <w:rFonts w:ascii="Arial" w:cs="Arial" w:eastAsia="Arial" w:hAnsi="Arial"/>
          <w:sz w:val="18"/>
          <w:szCs w:val="18"/>
          <w:i w:val="1"/>
          <w:iCs w:val="1"/>
          <w:color w:val="32406B"/>
        </w:rPr>
        <w:t>pari passu</w:t>
      </w:r>
      <w:r>
        <w:rPr>
          <w:rFonts w:ascii="Arial" w:cs="Arial" w:eastAsia="Arial" w:hAnsi="Arial"/>
          <w:sz w:val="18"/>
          <w:szCs w:val="18"/>
          <w:color w:val="32406B"/>
        </w:rPr>
        <w:t xml:space="preserve"> with one another, including but not limited to the rights to dividends and other capital distributions.</w:t>
      </w:r>
    </w:p>
    <w:p>
      <w:pPr>
        <w:spacing w:after="0" w:line="184"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32406B"/>
        </w:rPr>
        <w:t xml:space="preserve">Conversion. </w:t>
      </w:r>
      <w:r>
        <w:rPr>
          <w:rFonts w:ascii="Arial" w:cs="Arial" w:eastAsia="Arial" w:hAnsi="Arial"/>
          <w:sz w:val="16"/>
          <w:szCs w:val="16"/>
          <w:color w:val="32406B"/>
        </w:rPr>
        <w:t>A Class B ordinary share is convertible into one Class A ordinary share at any time by the holder thereof, while Class A ordinary</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shares are not convertible into Class B ordinary shares under any circumstances.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 The Class B ordinary shares, if any, beneficially owned by Mr. Xueji (Jerry) Wang and his affiliates, shall be automatically and immediately converted into an equal number of Class A ordinary shares upon Mr. Xueji (Jerry) Wang ceasing to be our director. For the avoidance of doubt, (i) a sale, transfer, assignment or disposition shall be effective upon the Company’s registration of such sale, transfer, assignment or disposition in the Register of Members; (ii) the creation of any pledge, charge, encumbrance or other third-party right of whatever description on any Class B ordinary shares to secure any contractual or legal obligations shall not be deemed as a sale, transfer, assignment or disposition unless and until any such pledge, charge, encumbrance or other third-party right is enforced and results in the third party who is not an affiliate of the relevant member becoming a beneficial owner of the relevant Class B ordinary shares in which case all the related Class B ordinary shares shall be automatically and immediately converted into the same number of Class A ordinary shares, (iii) any sale, transfer, assignment or disposition of any Class B ordinary shares by a holder thereof to any person which is a beneficial owner of Class B ordinary shares shall not trigger the automatic conversion of such Class B ordinary shares into Class A ordinary shares; and</w:t>
      </w:r>
    </w:p>
    <w:p>
      <w:pPr>
        <w:spacing w:after="0" w:line="1" w:lineRule="exact"/>
        <w:rPr>
          <w:sz w:val="20"/>
          <w:szCs w:val="20"/>
          <w:color w:val="auto"/>
        </w:rPr>
      </w:pPr>
    </w:p>
    <w:p>
      <w:pPr>
        <w:ind w:left="120" w:hanging="4"/>
        <w:spacing w:after="0" w:line="267" w:lineRule="auto"/>
        <w:tabs>
          <w:tab w:leader="none" w:pos="425" w:val="left"/>
        </w:tabs>
        <w:numPr>
          <w:ilvl w:val="0"/>
          <w:numId w:val="101"/>
        </w:numPr>
        <w:rPr>
          <w:rFonts w:ascii="Arial" w:cs="Arial" w:eastAsia="Arial" w:hAnsi="Arial"/>
          <w:sz w:val="17"/>
          <w:szCs w:val="17"/>
          <w:color w:val="32406B"/>
        </w:rPr>
      </w:pPr>
      <w:r>
        <w:rPr>
          <w:rFonts w:ascii="Arial" w:cs="Arial" w:eastAsia="Arial" w:hAnsi="Arial"/>
          <w:sz w:val="17"/>
          <w:szCs w:val="17"/>
          <w:color w:val="32406B"/>
        </w:rPr>
        <w:t>in the event that Mr. Liaohan (Leo) Chen ceases to be a director or an executive officer or employee of the Company, any and all of the Class B ordinary shares beneficially owned by Mr. Liaohan (Leo) Chen and any affiliate of Mr. Liaohan (Leo) Chen shall be automatically and immediately converted into an equal number of Class A ordinary shares; provided that in the event that Mr. Liaohan (Leo) Chen ceases to be a director or an executive officer or employee of the Company and has, prior to or concurrently with his ceasing to be in such position, delegated the voting power on any of the Class B ordinary shares that he beneficially owns to Mr. Xueji (Jerry) Wang and/or an affiliate of Mr. Xueji (Jerry) Wang through voting proxy, voting agreement or similar arrangement, the automatic conversion into Class A ordinary shares of such Class B ordinary shares the voting power of which is so delegated shall not be triggered. For the purpose of the foregoing sentence, an “affiliate” of a given shareholder means any other person that, directly or indirectly, controls, is controlled by or is under common control with such person, and for the purposes of the foregoing definition of “affiliate,” “control” means, in relation to any person, the power or authority, whether exercised or not, to direct the business, management and policies of such person, directly or indirectly, whether through the ownership of voting securities, by contract or otherwise; provided, that such power or authority shall conclusively be presumed to exist upon possession of beneficial ownership or power to direct the vote of more than 50% of the votes entitled to be cast at a meeting of the members or shareholders of such person or power to control the composition of a majority of the board of directors of such person.</w:t>
      </w:r>
    </w:p>
    <w:p>
      <w:pPr>
        <w:spacing w:after="0" w:line="183"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b w:val="1"/>
          <w:bCs w:val="1"/>
          <w:i w:val="1"/>
          <w:iCs w:val="1"/>
          <w:color w:val="32406B"/>
        </w:rPr>
        <w:t xml:space="preserve">Voting Rights. </w:t>
      </w:r>
      <w:r>
        <w:rPr>
          <w:rFonts w:ascii="Arial" w:cs="Arial" w:eastAsia="Arial" w:hAnsi="Arial"/>
          <w:sz w:val="16"/>
          <w:szCs w:val="16"/>
          <w:color w:val="32406B"/>
        </w:rPr>
        <w:t>In respect of all matters subject to a shareholders’ vote, holders of Class A ordinary shares and Class B ordinary shares shall, at all</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15</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175</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32406B"/>
        </w:rPr>
        <w:t>votes on all matters subject to the vote at general meetings (including extraordinary general meetings) of our company. Voting at any meeting of shareholders shall be determined by poll and not on a show of hands.</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32406B"/>
        </w:rPr>
        <w:t>An ordinary resolution to be passed at a meeting by the shareholders requires the affirmative vote of a simple majority of all votes, calculated on a fully converted basis, cast by those shareholders entitled to vote who are present in person or by proxy at a general meeting, while a special resolution requires the affirmative vote of no less than two-thirds of all votes, calculated on a fully converted basis, cast by those shareholders entitled to vote who are present in person or by proxy at a general meeting. A special resolution will be required for important matters such as a change of name or making changes to our post-offering amended and restated memorandum and articles of association.</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32406B"/>
        </w:rPr>
        <w:t xml:space="preserve">General Meetings of Shareholders. </w:t>
      </w:r>
      <w:r>
        <w:rPr>
          <w:rFonts w:ascii="Arial" w:cs="Arial" w:eastAsia="Arial" w:hAnsi="Arial"/>
          <w:sz w:val="16"/>
          <w:szCs w:val="16"/>
          <w:color w:val="32406B"/>
        </w:rPr>
        <w:t>A quorum required for a meeting of shareholders consists of shareholders holding a majority of all votes</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attaching to the issued and outstanding shares entitled to vote at general meetings present in person or by proxy or, if a corporation or other non-natural person, by its duly authorized representative. Our post-offering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NYSE.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all votes attaching to the issued and outstanding shares entitled to vote at general meetings, in which case the directors are obliged to call such meeting and to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 Advance notice of at least seven (7) business days is required for the convening of our annual general meeting and other general meetings unless such notice is waived in accordance with our articles of association.</w:t>
      </w:r>
    </w:p>
    <w:p>
      <w:pPr>
        <w:spacing w:after="0" w:line="17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b w:val="1"/>
          <w:bCs w:val="1"/>
          <w:i w:val="1"/>
          <w:iCs w:val="1"/>
          <w:color w:val="32406B"/>
        </w:rPr>
        <w:t xml:space="preserve">Transfer of Ordinary Shares. </w:t>
      </w:r>
      <w:r>
        <w:rPr>
          <w:rFonts w:ascii="Arial" w:cs="Arial" w:eastAsia="Arial" w:hAnsi="Arial"/>
          <w:sz w:val="18"/>
          <w:szCs w:val="18"/>
          <w:color w:val="32406B"/>
        </w:rPr>
        <w:t>Subject to the restrictions in our post-offering amended and restated memorandum and articles of association as set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out below, any of our shareholders may transfer all or any of his or her ordinary shares by an instrument of transfer in the usual or common form or any other form approved by our board of directors.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32406B"/>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80" w:right="560" w:hanging="532"/>
        <w:spacing w:after="0" w:line="308" w:lineRule="auto"/>
        <w:tabs>
          <w:tab w:leader="none" w:pos="1080" w:val="left"/>
        </w:tabs>
        <w:numPr>
          <w:ilvl w:val="0"/>
          <w:numId w:val="102"/>
        </w:numPr>
        <w:rPr>
          <w:rFonts w:ascii="Arial" w:cs="Arial" w:eastAsia="Arial" w:hAnsi="Arial"/>
          <w:sz w:val="17"/>
          <w:szCs w:val="17"/>
          <w:color w:val="32406B"/>
        </w:rPr>
      </w:pPr>
      <w:r>
        <w:rPr>
          <w:rFonts w:ascii="Arial" w:cs="Arial" w:eastAsia="Arial" w:hAnsi="Arial"/>
          <w:sz w:val="17"/>
          <w:szCs w:val="17"/>
          <w:color w:val="32406B"/>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32406B"/>
        </w:rPr>
      </w:pPr>
    </w:p>
    <w:p>
      <w:pPr>
        <w:ind w:left="1080" w:hanging="532"/>
        <w:spacing w:after="0"/>
        <w:tabs>
          <w:tab w:leader="none" w:pos="108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the instrument of transfer is in respect of only one class of shares;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the instrument of transfer is properly stamped, if required;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2"/>
        </w:numPr>
        <w:rPr>
          <w:rFonts w:ascii="Arial" w:cs="Arial" w:eastAsia="Arial" w:hAnsi="Arial"/>
          <w:sz w:val="16"/>
          <w:szCs w:val="16"/>
          <w:color w:val="32406B"/>
        </w:rPr>
      </w:pPr>
      <w:r>
        <w:rPr>
          <w:rFonts w:ascii="Arial" w:cs="Arial" w:eastAsia="Arial" w:hAnsi="Arial"/>
          <w:sz w:val="16"/>
          <w:szCs w:val="16"/>
          <w:color w:val="32406B"/>
        </w:rPr>
        <w:t>in the case of a transfer to joint holders, the number of joint holders to whom the ordinary share is to be transferred does not exceed four;</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the shares are free from any lien in favor of the Company; and</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a fee of such maximum sum as the NYSE may determine to be payable or such lesser sum as our directors may from time to time require is paid to us in respect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176</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32406B"/>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32406B"/>
        </w:rPr>
        <w:t xml:space="preserve">The registration of transfers may, after compliance with any notice required of the NYSE, be suspended and the register closed at such times and for such periods as our board of directors may from time to time determine, </w:t>
      </w:r>
      <w:r>
        <w:rPr>
          <w:rFonts w:ascii="Arial" w:cs="Arial" w:eastAsia="Arial" w:hAnsi="Arial"/>
          <w:sz w:val="18"/>
          <w:szCs w:val="18"/>
          <w:i w:val="1"/>
          <w:iCs w:val="1"/>
          <w:color w:val="32406B"/>
        </w:rPr>
        <w:t>provided</w:t>
      </w:r>
      <w:r>
        <w:rPr>
          <w:rFonts w:ascii="Arial" w:cs="Arial" w:eastAsia="Arial" w:hAnsi="Arial"/>
          <w:sz w:val="18"/>
          <w:szCs w:val="18"/>
          <w:color w:val="32406B"/>
        </w:rPr>
        <w:t xml:space="preserve">, </w:t>
      </w:r>
      <w:r>
        <w:rPr>
          <w:rFonts w:ascii="Arial" w:cs="Arial" w:eastAsia="Arial" w:hAnsi="Arial"/>
          <w:sz w:val="18"/>
          <w:szCs w:val="18"/>
          <w:i w:val="1"/>
          <w:iCs w:val="1"/>
          <w:color w:val="32406B"/>
        </w:rPr>
        <w:t>however</w:t>
      </w:r>
      <w:r>
        <w:rPr>
          <w:rFonts w:ascii="Arial" w:cs="Arial" w:eastAsia="Arial" w:hAnsi="Arial"/>
          <w:sz w:val="18"/>
          <w:szCs w:val="18"/>
          <w:color w:val="32406B"/>
        </w:rPr>
        <w:t>, that the registration of transfers shall not be suspended nor the register closed for 30 more than days in any year as our board may determine.</w:t>
      </w:r>
    </w:p>
    <w:p>
      <w:pPr>
        <w:spacing w:after="0" w:line="184" w:lineRule="exact"/>
        <w:rPr>
          <w:sz w:val="20"/>
          <w:szCs w:val="20"/>
          <w:color w:val="auto"/>
        </w:rPr>
      </w:pPr>
    </w:p>
    <w:p>
      <w:pPr>
        <w:jc w:val="both"/>
        <w:ind w:left="120" w:right="40" w:firstLine="440"/>
        <w:spacing w:after="0" w:line="296" w:lineRule="auto"/>
        <w:rPr>
          <w:sz w:val="20"/>
          <w:szCs w:val="20"/>
          <w:color w:val="auto"/>
        </w:rPr>
      </w:pPr>
      <w:r>
        <w:rPr>
          <w:rFonts w:ascii="Arial" w:cs="Arial" w:eastAsia="Arial" w:hAnsi="Arial"/>
          <w:sz w:val="16"/>
          <w:szCs w:val="16"/>
          <w:b w:val="1"/>
          <w:bCs w:val="1"/>
          <w:i w:val="1"/>
          <w:iCs w:val="1"/>
          <w:color w:val="32406B"/>
        </w:rPr>
        <w:t xml:space="preserve">Liquidation. </w:t>
      </w:r>
      <w:r>
        <w:rPr>
          <w:rFonts w:ascii="Arial" w:cs="Arial" w:eastAsia="Arial" w:hAnsi="Arial"/>
          <w:sz w:val="16"/>
          <w:szCs w:val="16"/>
          <w:color w:val="32406B"/>
        </w:rPr>
        <w:t>On the winding up of our company, if the assets available for distribution amongst our shareholders shall be more than sufficient to</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6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b w:val="1"/>
          <w:bCs w:val="1"/>
          <w:i w:val="1"/>
          <w:iCs w:val="1"/>
          <w:color w:val="32406B"/>
        </w:rPr>
        <w:t xml:space="preserve">Calls on Ordinary Shares and Forfeiture of Ordinary Shares. </w:t>
      </w:r>
      <w:r>
        <w:rPr>
          <w:rFonts w:ascii="Arial" w:cs="Arial" w:eastAsia="Arial" w:hAnsi="Arial"/>
          <w:sz w:val="18"/>
          <w:szCs w:val="18"/>
          <w:color w:val="32406B"/>
        </w:rPr>
        <w:t>Our board of directors may from time to time make calls upon shareholders for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any amounts unpaid on their ordinary shares in a notice served to such shareholders at least 14 clear days prior to the specified time of payment. The ordinary shares that have been called upon and remain unpaid are subject to forfeiture.</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32406B"/>
        </w:rPr>
        <w:t xml:space="preserve">Redemption, Repurchase and Surrender of Ordinary Shares. </w:t>
      </w:r>
      <w:r>
        <w:rPr>
          <w:rFonts w:ascii="Arial" w:cs="Arial" w:eastAsia="Arial" w:hAnsi="Arial"/>
          <w:sz w:val="16"/>
          <w:szCs w:val="16"/>
          <w:color w:val="32406B"/>
        </w:rPr>
        <w:t>We may issue shares on terms that such shares are subject to redemption, at our</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post-offering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i w:val="1"/>
          <w:iCs w:val="1"/>
          <w:color w:val="32406B"/>
        </w:rPr>
        <w:t xml:space="preserve">Variations of Rights of Shares. </w:t>
      </w:r>
      <w:r>
        <w:rPr>
          <w:rFonts w:ascii="Arial" w:cs="Arial" w:eastAsia="Arial" w:hAnsi="Arial"/>
          <w:sz w:val="17"/>
          <w:szCs w:val="17"/>
          <w:color w:val="32406B"/>
        </w:rPr>
        <w:t>If at any time our share capital is divided into different classes or series of shares, the rights attached to any class</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 xml:space="preserve">or series of shares (unless otherwise provided by the terms of issue of the shares of that class or series), whether or not our company is being wound- up, may be varied with the consent in writing of the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7"/>
          <w:szCs w:val="17"/>
          <w:i w:val="1"/>
          <w:iCs w:val="1"/>
          <w:color w:val="32406B"/>
        </w:rPr>
        <w:t>pari passu</w:t>
      </w:r>
      <w:r>
        <w:rPr>
          <w:rFonts w:ascii="Arial" w:cs="Arial" w:eastAsia="Arial" w:hAnsi="Arial"/>
          <w:sz w:val="17"/>
          <w:szCs w:val="17"/>
          <w:color w:val="32406B"/>
        </w:rPr>
        <w:t xml:space="preserve"> with such existing class of shares.</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32406B"/>
        </w:rPr>
        <w:t xml:space="preserve">Inspection of Books and Records. </w:t>
      </w:r>
      <w:r>
        <w:rPr>
          <w:rFonts w:ascii="Arial" w:cs="Arial" w:eastAsia="Arial" w:hAnsi="Arial"/>
          <w:sz w:val="18"/>
          <w:szCs w:val="18"/>
          <w:color w:val="32406B"/>
        </w:rPr>
        <w:t>Holders of our ordinary shares have no general right under Cayman Islands law to inspect or obtain copies of</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our list of shareholders or our corporate records (other than the memorandum and articles of association, the register of mortgages and charges, and copies of any special resolutions passed by our shareholders). However, we will provide our shareholders with annual audited financial statements. See “Where You Can Find Additional Information.”</w:t>
      </w:r>
    </w:p>
    <w:p>
      <w:pPr>
        <w:spacing w:after="0" w:line="187"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b w:val="1"/>
          <w:bCs w:val="1"/>
          <w:i w:val="1"/>
          <w:iCs w:val="1"/>
          <w:color w:val="32406B"/>
        </w:rPr>
        <w:t xml:space="preserve">Issuance of Additional Shares. </w:t>
      </w:r>
      <w:r>
        <w:rPr>
          <w:rFonts w:ascii="Arial" w:cs="Arial" w:eastAsia="Arial" w:hAnsi="Arial"/>
          <w:sz w:val="16"/>
          <w:szCs w:val="16"/>
          <w:color w:val="32406B"/>
        </w:rPr>
        <w:t>Our post-offering amended and restated memorandum of association authorize our board of directors to issue</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additional ordinary shares from time to time as our board of directors shall determine, to the extent of available authorized but unissued shares.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177</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32406B"/>
        </w:rPr>
        <w:t>Our post-offering amended and restated memorandum of association also authorize our board of directors to establish from time to time one or more series of preferred shares and to determine, with respect to any series of preferred shares, the terms and rights of that series, including:</w:t>
      </w:r>
    </w:p>
    <w:p>
      <w:pPr>
        <w:spacing w:after="0" w:line="2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the designation of the series;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the number of shares of the series;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the dividend rights, dividend rates, conversion rights, voting rights;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the rights and terms of redemption and liquidation preferences.</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32406B"/>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32406B"/>
        </w:rPr>
        <w:t xml:space="preserve">Anti-Takeover Provisions. </w:t>
      </w:r>
      <w:r>
        <w:rPr>
          <w:rFonts w:ascii="Arial" w:cs="Arial" w:eastAsia="Arial" w:hAnsi="Arial"/>
          <w:sz w:val="18"/>
          <w:szCs w:val="18"/>
          <w:color w:val="32406B"/>
        </w:rPr>
        <w:t>Some provisions of our post-offering amended and restated memorandum and articles of association may discourage,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and limit the ability of shareholders to requisition and convene general meetings of shareholders.</w:t>
      </w:r>
    </w:p>
    <w:p>
      <w:pPr>
        <w:spacing w:after="0" w:line="188"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32406B"/>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32406B"/>
        </w:rPr>
        <w:t xml:space="preserve">Exempted Company. </w:t>
      </w:r>
      <w:r>
        <w:rPr>
          <w:rFonts w:ascii="Arial" w:cs="Arial" w:eastAsia="Arial" w:hAnsi="Arial"/>
          <w:sz w:val="18"/>
          <w:szCs w:val="18"/>
          <w:color w:val="32406B"/>
        </w:rPr>
        <w:t>We are an exempted company with limited liability under the Companies Act. The Companies Act distinguishes between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does not have to file an annual return of its shareholders with the Registrar of Companies;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is not required to open its register of members for inspection;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does not have to hold an annual general meeting;</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may issue negotiable or bearer shares or shares with no par value;</w:t>
      </w:r>
    </w:p>
    <w:p>
      <w:pPr>
        <w:spacing w:after="0" w:line="130" w:lineRule="exact"/>
        <w:rPr>
          <w:rFonts w:ascii="Arial" w:cs="Arial" w:eastAsia="Arial" w:hAnsi="Arial"/>
          <w:sz w:val="18"/>
          <w:szCs w:val="18"/>
          <w:color w:val="32406B"/>
        </w:rPr>
      </w:pPr>
    </w:p>
    <w:p>
      <w:pPr>
        <w:ind w:left="1080" w:right="460" w:hanging="532"/>
        <w:spacing w:after="0" w:line="277" w:lineRule="auto"/>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may register by way of continuation in another jurisdiction and be deregistered in the Cayman Islands;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may register as a limited duration company;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may register as a segregated portfolio company.</w:t>
      </w:r>
    </w:p>
    <w:p>
      <w:pPr>
        <w:spacing w:after="0" w:line="22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32406B"/>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Register of Members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Under the Companies Act, we must keep a register of members and there should be entered therein:</w:t>
      </w:r>
    </w:p>
    <w:p>
      <w:pPr>
        <w:spacing w:after="0" w:line="131" w:lineRule="exact"/>
        <w:rPr>
          <w:sz w:val="20"/>
          <w:szCs w:val="20"/>
          <w:color w:val="auto"/>
        </w:rPr>
      </w:pPr>
    </w:p>
    <w:p>
      <w:pPr>
        <w:ind w:left="1080" w:right="480" w:hanging="532"/>
        <w:spacing w:after="0" w:line="277" w:lineRule="auto"/>
        <w:tabs>
          <w:tab w:leader="none" w:pos="108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the names and addresses of our members, a statement of the shares held by each member (including the amount paid or agreed to be considered as paid, on the shares of each member, and confirmation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178</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color w:val="32406B"/>
        </w:rPr>
        <w:t>whether each relevant category of shares held by each member carries voting rights under our articles of association, and if so, whether such voting rights are conditional);</w:t>
      </w:r>
    </w:p>
    <w:p>
      <w:pPr>
        <w:spacing w:after="0" w:line="76"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32406B"/>
        </w:rPr>
      </w:pPr>
      <w:r>
        <w:rPr>
          <w:rFonts w:ascii="Arial" w:cs="Arial" w:eastAsia="Arial" w:hAnsi="Arial"/>
          <w:sz w:val="18"/>
          <w:szCs w:val="18"/>
          <w:color w:val="32406B"/>
        </w:rPr>
        <w:t>the date on which the name of any person was entered on the register as a member;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6"/>
        </w:numPr>
        <w:rPr>
          <w:rFonts w:ascii="Arial" w:cs="Arial" w:eastAsia="Arial" w:hAnsi="Arial"/>
          <w:sz w:val="18"/>
          <w:szCs w:val="18"/>
          <w:color w:val="32406B"/>
        </w:rPr>
      </w:pPr>
      <w:r>
        <w:rPr>
          <w:rFonts w:ascii="Arial" w:cs="Arial" w:eastAsia="Arial" w:hAnsi="Arial"/>
          <w:sz w:val="18"/>
          <w:szCs w:val="18"/>
          <w:color w:val="32406B"/>
        </w:rPr>
        <w:t>the date on which any person ceased to be a member.</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32406B"/>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7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32406B"/>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Differences in Corporate Law</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32406B"/>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8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32406B"/>
        </w:rPr>
        <w:t xml:space="preserve">Mergers and Similar Arrangements. </w:t>
      </w:r>
      <w:r>
        <w:rPr>
          <w:rFonts w:ascii="Arial" w:cs="Arial" w:eastAsia="Arial" w:hAnsi="Arial"/>
          <w:sz w:val="16"/>
          <w:szCs w:val="16"/>
          <w:color w:val="32406B"/>
        </w:rPr>
        <w:t>The Companies Act permits mergers and consolidations between Cayman Islands companies and between</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4" w:lineRule="exact"/>
        <w:rPr>
          <w:sz w:val="20"/>
          <w:szCs w:val="20"/>
          <w:color w:val="auto"/>
        </w:rPr>
      </w:pPr>
    </w:p>
    <w:p>
      <w:pPr>
        <w:ind w:left="120" w:right="100" w:hanging="4"/>
        <w:spacing w:after="0" w:line="252" w:lineRule="auto"/>
        <w:tabs>
          <w:tab w:leader="none" w:pos="375" w:val="left"/>
        </w:tabs>
        <w:numPr>
          <w:ilvl w:val="0"/>
          <w:numId w:val="107"/>
        </w:numPr>
        <w:rPr>
          <w:rFonts w:ascii="Arial" w:cs="Arial" w:eastAsia="Arial" w:hAnsi="Arial"/>
          <w:sz w:val="18"/>
          <w:szCs w:val="18"/>
          <w:color w:val="32406B"/>
        </w:rPr>
      </w:pPr>
      <w:r>
        <w:rPr>
          <w:rFonts w:ascii="Arial" w:cs="Arial" w:eastAsia="Arial" w:hAnsi="Arial"/>
          <w:sz w:val="18"/>
          <w:szCs w:val="18"/>
          <w:color w:val="32406B"/>
        </w:rPr>
        <w:t>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32406B"/>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179</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32406B"/>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32406B"/>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7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32406B"/>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Arial" w:cs="Arial" w:eastAsia="Arial" w:hAnsi="Arial"/>
          <w:sz w:val="17"/>
          <w:szCs w:val="17"/>
          <w:i w:val="1"/>
          <w:iCs w:val="1"/>
          <w:color w:val="32406B"/>
        </w:rPr>
        <w:t>provided</w:t>
      </w:r>
      <w:r>
        <w:rPr>
          <w:rFonts w:ascii="Arial" w:cs="Arial" w:eastAsia="Arial" w:hAnsi="Arial"/>
          <w:sz w:val="17"/>
          <w:szCs w:val="17"/>
          <w:color w:val="32406B"/>
        </w:rPr>
        <w:t xml:space="preserve">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3"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32406B"/>
        </w:rPr>
      </w:pPr>
      <w:r>
        <w:rPr>
          <w:rFonts w:ascii="Arial" w:cs="Arial" w:eastAsia="Arial" w:hAnsi="Arial"/>
          <w:sz w:val="18"/>
          <w:szCs w:val="18"/>
          <w:color w:val="32406B"/>
        </w:rPr>
        <w:t>the statutory provisions as to the required majority vote have been met;</w:t>
      </w:r>
    </w:p>
    <w:p>
      <w:pPr>
        <w:spacing w:after="0" w:line="130" w:lineRule="exact"/>
        <w:rPr>
          <w:rFonts w:ascii="Arial" w:cs="Arial" w:eastAsia="Arial" w:hAnsi="Arial"/>
          <w:sz w:val="18"/>
          <w:szCs w:val="18"/>
          <w:color w:val="32406B"/>
        </w:rPr>
      </w:pPr>
    </w:p>
    <w:p>
      <w:pPr>
        <w:ind w:left="1080" w:right="60" w:hanging="532"/>
        <w:spacing w:after="0" w:line="277" w:lineRule="auto"/>
        <w:tabs>
          <w:tab w:leader="none" w:pos="1080" w:val="left"/>
        </w:tabs>
        <w:numPr>
          <w:ilvl w:val="0"/>
          <w:numId w:val="108"/>
        </w:numPr>
        <w:rPr>
          <w:rFonts w:ascii="Arial" w:cs="Arial" w:eastAsia="Arial" w:hAnsi="Arial"/>
          <w:sz w:val="18"/>
          <w:szCs w:val="18"/>
          <w:color w:val="32406B"/>
        </w:rPr>
      </w:pPr>
      <w:r>
        <w:rPr>
          <w:rFonts w:ascii="Arial" w:cs="Arial" w:eastAsia="Arial" w:hAnsi="Arial"/>
          <w:sz w:val="18"/>
          <w:szCs w:val="18"/>
          <w:color w:val="32406B"/>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08"/>
        </w:numPr>
        <w:rPr>
          <w:rFonts w:ascii="Arial" w:cs="Arial" w:eastAsia="Arial" w:hAnsi="Arial"/>
          <w:sz w:val="16"/>
          <w:szCs w:val="16"/>
          <w:color w:val="32406B"/>
        </w:rPr>
      </w:pPr>
      <w:r>
        <w:rPr>
          <w:rFonts w:ascii="Arial" w:cs="Arial" w:eastAsia="Arial" w:hAnsi="Arial"/>
          <w:sz w:val="16"/>
          <w:szCs w:val="16"/>
          <w:color w:val="32406B"/>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108"/>
        </w:numPr>
        <w:rPr>
          <w:rFonts w:ascii="Arial" w:cs="Arial" w:eastAsia="Arial" w:hAnsi="Arial"/>
          <w:sz w:val="18"/>
          <w:szCs w:val="18"/>
          <w:color w:val="32406B"/>
        </w:rPr>
      </w:pPr>
      <w:r>
        <w:rPr>
          <w:rFonts w:ascii="Arial" w:cs="Arial" w:eastAsia="Arial" w:hAnsi="Arial"/>
          <w:sz w:val="18"/>
          <w:szCs w:val="18"/>
          <w:color w:val="32406B"/>
        </w:rPr>
        <w:t>the arrangement is not one that would more properly be sanctioned under some other provision of the Companies Act.</w:t>
      </w:r>
    </w:p>
    <w:p>
      <w:pPr>
        <w:spacing w:after="0" w:line="22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32406B"/>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32406B"/>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b w:val="1"/>
          <w:bCs w:val="1"/>
          <w:i w:val="1"/>
          <w:iCs w:val="1"/>
          <w:color w:val="32406B"/>
        </w:rPr>
        <w:t xml:space="preserve">Shareholders’ Suits. </w:t>
      </w:r>
      <w:r>
        <w:rPr>
          <w:rFonts w:ascii="Arial" w:cs="Arial" w:eastAsia="Arial" w:hAnsi="Arial"/>
          <w:sz w:val="18"/>
          <w:szCs w:val="18"/>
          <w:color w:val="32406B"/>
        </w:rPr>
        <w:t>In principle, we will normally be the proper plaintiff to sue for a wrong done to us as a company, and as a general rule a</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 xml:space="preserve">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8"/>
          <w:szCs w:val="18"/>
          <w:i w:val="1"/>
          <w:iCs w:val="1"/>
          <w:color w:val="32406B"/>
        </w:rPr>
        <w:t>Foss v.</w:t>
      </w:r>
      <w:r>
        <w:rPr>
          <w:rFonts w:ascii="Arial" w:cs="Arial" w:eastAsia="Arial" w:hAnsi="Arial"/>
          <w:sz w:val="18"/>
          <w:szCs w:val="18"/>
          <w:color w:val="32406B"/>
        </w:rPr>
        <w:t xml:space="preserve"> </w:t>
      </w:r>
      <w:r>
        <w:rPr>
          <w:rFonts w:ascii="Arial" w:cs="Arial" w:eastAsia="Arial" w:hAnsi="Arial"/>
          <w:sz w:val="18"/>
          <w:szCs w:val="18"/>
          <w:i w:val="1"/>
          <w:iCs w:val="1"/>
          <w:color w:val="32406B"/>
        </w:rPr>
        <w:t xml:space="preserve">Harbottle </w:t>
      </w:r>
      <w:r>
        <w:rPr>
          <w:rFonts w:ascii="Arial" w:cs="Arial" w:eastAsia="Arial" w:hAnsi="Arial"/>
          <w:sz w:val="18"/>
          <w:szCs w:val="18"/>
          <w:color w:val="32406B"/>
        </w:rPr>
        <w:t>and the exceptions thereto) which permit a minority shareholder to commence a class action against or derivative actions in the name of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company to challenge actions where:</w:t>
      </w:r>
    </w:p>
    <w:p>
      <w:pPr>
        <w:spacing w:after="0" w:line="93"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32406B"/>
        </w:rPr>
      </w:pPr>
      <w:r>
        <w:rPr>
          <w:rFonts w:ascii="Arial" w:cs="Arial" w:eastAsia="Arial" w:hAnsi="Arial"/>
          <w:sz w:val="18"/>
          <w:szCs w:val="18"/>
          <w:color w:val="32406B"/>
        </w:rPr>
        <w:t>a company acts or proposes to act illegally or ultra vires;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180</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77" w:lineRule="auto"/>
        <w:tabs>
          <w:tab w:leader="none" w:pos="1080" w:val="left"/>
        </w:tabs>
        <w:numPr>
          <w:ilvl w:val="0"/>
          <w:numId w:val="110"/>
        </w:numPr>
        <w:rPr>
          <w:rFonts w:ascii="Arial" w:cs="Arial" w:eastAsia="Arial" w:hAnsi="Arial"/>
          <w:sz w:val="18"/>
          <w:szCs w:val="18"/>
          <w:color w:val="32406B"/>
        </w:rPr>
      </w:pPr>
      <w:r>
        <w:rPr>
          <w:rFonts w:ascii="Arial" w:cs="Arial" w:eastAsia="Arial" w:hAnsi="Arial"/>
          <w:sz w:val="18"/>
          <w:szCs w:val="18"/>
          <w:color w:val="32406B"/>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10"/>
        </w:numPr>
        <w:rPr>
          <w:rFonts w:ascii="Arial" w:cs="Arial" w:eastAsia="Arial" w:hAnsi="Arial"/>
          <w:sz w:val="18"/>
          <w:szCs w:val="18"/>
          <w:color w:val="32406B"/>
        </w:rPr>
      </w:pPr>
      <w:r>
        <w:rPr>
          <w:rFonts w:ascii="Arial" w:cs="Arial" w:eastAsia="Arial" w:hAnsi="Arial"/>
          <w:sz w:val="18"/>
          <w:szCs w:val="18"/>
          <w:color w:val="32406B"/>
        </w:rPr>
        <w:t>those who control the company are perpetrating a “fraud on the minority.”</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32406B"/>
        </w:rPr>
        <w:t xml:space="preserve">Indemnification of Directors and Executive Officers and Limitation of Liability. </w:t>
      </w:r>
      <w:r>
        <w:rPr>
          <w:rFonts w:ascii="Arial" w:cs="Arial" w:eastAsia="Arial" w:hAnsi="Arial"/>
          <w:sz w:val="16"/>
          <w:szCs w:val="16"/>
          <w:color w:val="32406B"/>
        </w:rPr>
        <w:t>Cayman Islands law does not limit the extent to which a</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provide that that we shall indemnify our officers and directors and any trustee against all actions, proceedings, costs, charges, losses, damages and expenses that they or any of them shall or may incur or sustain by reason of any act done or omitted in or about the execution of their duty in their respective offices or trusts, except such (if any) as they shall incur or sustain by or through their own fraud or dishonesty, and no such director or officer or trustee shall be answerable for the acts, receipts, neglects or defaults of any other director or officer or trustee or for joining in any receipt for the sake of conformity or for the solvency or honesty of any banker or other persons with whom any monies or effects belonging to us may be lodged or deposited for safe custody or for any insufficiency of any security upon which any of our monies may be invested or for any other loss or damage due to any such cause as aforesaid or which may happen in or about the execution of his or her office or trust unless the same shall happen through the fraud or dishonesty of such director or officer or trustee. This standard of conduct is generally the same as permitted under the Delaware General Corporation Law for a Delaware corporation.</w:t>
      </w:r>
    </w:p>
    <w:p>
      <w:pPr>
        <w:spacing w:after="0" w:line="168"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32406B"/>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32406B"/>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b w:val="1"/>
          <w:bCs w:val="1"/>
          <w:i w:val="1"/>
          <w:iCs w:val="1"/>
          <w:color w:val="32406B"/>
        </w:rPr>
        <w:t xml:space="preserve">Directors’ Fiduciary Duties. </w:t>
      </w:r>
      <w:r>
        <w:rPr>
          <w:rFonts w:ascii="Arial" w:cs="Arial" w:eastAsia="Arial" w:hAnsi="Arial"/>
          <w:sz w:val="16"/>
          <w:szCs w:val="16"/>
          <w:color w:val="32406B"/>
        </w:rPr>
        <w:t>Under Delaware corporate law, a director of a Delaware corporation has a fiduciary duty to the corporation and its</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32406B"/>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181</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32406B"/>
        </w:rPr>
        <w:t>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7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32406B"/>
        </w:rPr>
        <w:t xml:space="preserve">Shareholder Action by Written Consent. </w:t>
      </w:r>
      <w:r>
        <w:rPr>
          <w:rFonts w:ascii="Arial" w:cs="Arial" w:eastAsia="Arial" w:hAnsi="Arial"/>
          <w:sz w:val="17"/>
          <w:szCs w:val="17"/>
          <w:color w:val="32406B"/>
        </w:rPr>
        <w:t>Under the Delaware General Corporation Law, a corporation may eliminate the right of shareholders to</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act by written consent by amendment to its certificate of incorporation. The Companies Act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b w:val="1"/>
          <w:bCs w:val="1"/>
          <w:i w:val="1"/>
          <w:iCs w:val="1"/>
          <w:color w:val="32406B"/>
        </w:rPr>
        <w:t xml:space="preserve">Shareholder Proposals. </w:t>
      </w:r>
      <w:r>
        <w:rPr>
          <w:rFonts w:ascii="Arial" w:cs="Arial" w:eastAsia="Arial" w:hAnsi="Arial"/>
          <w:sz w:val="16"/>
          <w:szCs w:val="16"/>
          <w:color w:val="32406B"/>
        </w:rPr>
        <w:t>Under the Delaware General Corporation Law, a shareholder has the right to put any proposal before the annual meeting</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9"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32406B"/>
        </w:rPr>
        <w:t>The Companies Act provide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32406B"/>
        </w:rPr>
        <w:t xml:space="preserve">Cumulative Voting. </w:t>
      </w:r>
      <w:r>
        <w:rPr>
          <w:rFonts w:ascii="Arial" w:cs="Arial" w:eastAsia="Arial" w:hAnsi="Arial"/>
          <w:sz w:val="17"/>
          <w:szCs w:val="17"/>
          <w:color w:val="32406B"/>
        </w:rPr>
        <w:t>Under the Delaware General Corporation Law, cumulative voting for elections of directors is not permitted unless the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32406B"/>
        </w:rPr>
        <w:t xml:space="preserve">Removal of Directors. </w:t>
      </w:r>
      <w:r>
        <w:rPr>
          <w:rFonts w:ascii="Arial" w:cs="Arial" w:eastAsia="Arial" w:hAnsi="Arial"/>
          <w:sz w:val="17"/>
          <w:szCs w:val="17"/>
          <w:color w:val="32406B"/>
        </w:rPr>
        <w:t>Under the Delaware General Corporation Law, a director of a corporation with a classified board may be removed only for</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A director may be removed from office by ordinary resolution of shareholders or the affirmative vote of a simple majority of the other directors present and voting at a board meeting, provided that in the event that the chairman is to be removed by the affirmative vote of a simple majority of the other directors present and voting at a board meeting, such affirmative vote shall include the vote of at least one Management Director (as defined under the post-offering amended and restated memorandum and articles of association).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182</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32406B"/>
        </w:rPr>
        <w:t>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8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i w:val="1"/>
          <w:iCs w:val="1"/>
          <w:color w:val="32406B"/>
        </w:rPr>
        <w:t xml:space="preserve">Transactions with Interested Shareholders. </w:t>
      </w:r>
      <w:r>
        <w:rPr>
          <w:rFonts w:ascii="Arial" w:cs="Arial" w:eastAsia="Arial" w:hAnsi="Arial"/>
          <w:sz w:val="17"/>
          <w:szCs w:val="17"/>
          <w:color w:val="32406B"/>
        </w:rPr>
        <w:t>The Delaware General Corporation Law contains a business combination statute applicable to</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32406B"/>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32406B"/>
        </w:rPr>
        <w:t xml:space="preserve">Dissolution; Winding up. </w:t>
      </w:r>
      <w:r>
        <w:rPr>
          <w:rFonts w:ascii="Arial" w:cs="Arial" w:eastAsia="Arial" w:hAnsi="Arial"/>
          <w:sz w:val="17"/>
          <w:szCs w:val="17"/>
          <w:color w:val="32406B"/>
        </w:rPr>
        <w:t>Under the Delaware General Corporation Law, unless the board of directors approves the proposal to dissolve,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32406B"/>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post-offering amended and restated articles of association, our company may be dissolved, liquidated or wound up by a special resolution of our shareholders.</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32406B"/>
        </w:rPr>
        <w:t xml:space="preserve">Variation of Rights of Shares. </w:t>
      </w:r>
      <w:r>
        <w:rPr>
          <w:rFonts w:ascii="Arial" w:cs="Arial" w:eastAsia="Arial" w:hAnsi="Arial"/>
          <w:sz w:val="18"/>
          <w:szCs w:val="18"/>
          <w:color w:val="32406B"/>
        </w:rPr>
        <w:t>Under the Delaware General Corporation Law, a corporation may vary the rights of a class of shares with the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8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32406B"/>
        </w:rPr>
        <w:t xml:space="preserve">Amendment of Governing Documents. </w:t>
      </w:r>
      <w:r>
        <w:rPr>
          <w:rFonts w:ascii="Arial" w:cs="Arial" w:eastAsia="Arial" w:hAnsi="Arial"/>
          <w:sz w:val="18"/>
          <w:szCs w:val="18"/>
          <w:color w:val="32406B"/>
        </w:rPr>
        <w:t>Under the Delaware General Corporation Law, a corporation’s governing documents may be amended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with the approval of a majority of the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183</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32406B"/>
        </w:rPr>
        <w:t xml:space="preserve">Rights of Nonresident or Foreign Shareholders. </w:t>
      </w:r>
      <w:r>
        <w:rPr>
          <w:rFonts w:ascii="Arial" w:cs="Arial" w:eastAsia="Arial" w:hAnsi="Arial"/>
          <w:sz w:val="18"/>
          <w:szCs w:val="18"/>
          <w:color w:val="32406B"/>
        </w:rPr>
        <w:t>There are no limitations imposed by our post-offering amended and restated memorandum and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History of Securities Issuances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32406B"/>
        </w:rPr>
        <w:t>The following is a summary of our securities issuances in the past three years. In June 2018, we effected a 10-for-1 share split of each of our issued and unissued ordinary shares and preferred shares with par value per share divided by 10. All the information of number of shares below has been retroactively adjusted to give effect to such 10-for-1 share split. The par value per ordinary share and the par value per convertible preferred share also have been retroactively revised as if they had been adjusted in proportion to the share split.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Preferred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On April 16, 2018, we issued 7,886,680 Series C preferred shares to New Enterprise Associates 14, L.P. for a consideration of US$14,999,992.16.</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On April 16, 2018, we issued 10,515,580 Series C preferred shares to NEA 15 Opportunity Fund, L.P. for a consideration of US$20,000,002.23.</w:t>
      </w:r>
    </w:p>
    <w:p>
      <w:pPr>
        <w:spacing w:after="0" w:line="248" w:lineRule="exact"/>
        <w:rPr>
          <w:sz w:val="20"/>
          <w:szCs w:val="20"/>
          <w:color w:val="auto"/>
        </w:rPr>
      </w:pPr>
    </w:p>
    <w:p>
      <w:pPr>
        <w:ind w:left="120" w:right="1140" w:firstLine="440"/>
        <w:spacing w:after="0" w:line="277" w:lineRule="auto"/>
        <w:rPr>
          <w:sz w:val="20"/>
          <w:szCs w:val="20"/>
          <w:color w:val="auto"/>
        </w:rPr>
      </w:pPr>
      <w:r>
        <w:rPr>
          <w:rFonts w:ascii="Arial" w:cs="Arial" w:eastAsia="Arial" w:hAnsi="Arial"/>
          <w:sz w:val="18"/>
          <w:szCs w:val="18"/>
          <w:color w:val="32406B"/>
        </w:rPr>
        <w:t>On April 16, 2018, we issued 7,886,680 Series C preferred shares to Global Bridge Capital USD Fund I, L.P. for a consideration of US$14,999,992.16.</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On April 16, 2018, we issued 2,628,890 Series C preferred shares to CMC Master Fund, L.P. for a consideration of US$4,999,991.05.</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On April 16, 2018, we issued 2,339,710 Series C preferred shares to Quadrille Technologies III FPCI for a consideration of US$4,449,988.04.</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On April 16, 2018, we issued 3,940 Series C preferred shares to Christie, Brandon Daniel for a consideration of US$7,493.65.</w:t>
      </w:r>
    </w:p>
    <w:p>
      <w:pPr>
        <w:spacing w:after="0" w:line="225"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32406B"/>
        </w:rPr>
        <w:t>On May 2, 2018, we issued 18,402,260 Series C preferred shares to The Northern Trust Company (ABN 62 126 279 918), in its capacity as custodian for the Future Fund Investment Company No.1 Pty Ltd (ACN 130 318 188) for a consideration of US$34,999,994.39.</w:t>
      </w:r>
    </w:p>
    <w:p>
      <w:pPr>
        <w:spacing w:after="0" w:line="146" w:lineRule="exact"/>
        <w:rPr>
          <w:sz w:val="20"/>
          <w:szCs w:val="20"/>
          <w:color w:val="auto"/>
        </w:rPr>
      </w:pPr>
    </w:p>
    <w:p>
      <w:pPr>
        <w:ind w:left="120" w:right="1120" w:firstLine="440"/>
        <w:spacing w:after="0" w:line="277" w:lineRule="auto"/>
        <w:rPr>
          <w:sz w:val="20"/>
          <w:szCs w:val="20"/>
          <w:color w:val="auto"/>
        </w:rPr>
      </w:pPr>
      <w:r>
        <w:rPr>
          <w:rFonts w:ascii="Arial" w:cs="Arial" w:eastAsia="Arial" w:hAnsi="Arial"/>
          <w:sz w:val="18"/>
          <w:szCs w:val="18"/>
          <w:color w:val="32406B"/>
        </w:rPr>
        <w:t>On May 2, 2018, we issued 7,886,680 Series C preferred shares to China Broadband Capital Partners IV, L.P. for a consideration of US$14,999,992.16.</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On May 2, 2018, we issued 2,918,070 Series C preferred shares to Quadrille Tuya, LLC for a consideration of US$5,549,994.06.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On September 16, 2019, we issued 49,514,236 Series D preferred shares to Tencent Mobility Limited for a consideration of US$169,918,003.69.</w:t>
      </w:r>
    </w:p>
    <w:p>
      <w:pPr>
        <w:spacing w:after="0" w:line="248" w:lineRule="exact"/>
        <w:rPr>
          <w:sz w:val="20"/>
          <w:szCs w:val="20"/>
          <w:color w:val="auto"/>
        </w:rPr>
      </w:pPr>
    </w:p>
    <w:p>
      <w:pPr>
        <w:ind w:left="120" w:right="1220" w:firstLine="440"/>
        <w:spacing w:after="0" w:line="277" w:lineRule="auto"/>
        <w:rPr>
          <w:sz w:val="20"/>
          <w:szCs w:val="20"/>
          <w:color w:val="auto"/>
        </w:rPr>
      </w:pPr>
      <w:r>
        <w:rPr>
          <w:rFonts w:ascii="Arial" w:cs="Arial" w:eastAsia="Arial" w:hAnsi="Arial"/>
          <w:sz w:val="18"/>
          <w:szCs w:val="18"/>
          <w:color w:val="32406B"/>
        </w:rPr>
        <w:t>On September 16, 2019, we issued 611,941 Series D preferred shares to New Enterprise Associates 14, L.P. for a consideration of US$2,099,997.93.</w:t>
      </w:r>
    </w:p>
    <w:p>
      <w:pPr>
        <w:spacing w:after="0" w:line="170" w:lineRule="exact"/>
        <w:rPr>
          <w:sz w:val="20"/>
          <w:szCs w:val="20"/>
          <w:color w:val="auto"/>
        </w:rPr>
      </w:pPr>
    </w:p>
    <w:p>
      <w:pPr>
        <w:jc w:val="center"/>
        <w:ind w:left="780" w:right="100"/>
        <w:spacing w:after="0" w:line="449" w:lineRule="auto"/>
        <w:rPr>
          <w:sz w:val="20"/>
          <w:szCs w:val="20"/>
          <w:color w:val="auto"/>
        </w:rPr>
      </w:pPr>
      <w:r>
        <w:rPr>
          <w:rFonts w:ascii="Arial" w:cs="Arial" w:eastAsia="Arial" w:hAnsi="Arial"/>
          <w:sz w:val="18"/>
          <w:szCs w:val="18"/>
          <w:color w:val="32406B"/>
        </w:rPr>
        <w:t>On September 16, 2019, we issued 845,062 Series D preferred shares to NEA 15 Opportunity Fund, L.P. for a consideration of US$2,899,999.27. 184</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32406B"/>
        </w:rPr>
        <w:t>On November 1, 2019, we issued 1,457,003 Series D preferred shares to China Broadband Capital Partners IV, L.P. for a consideration of US$4,999,997.20.</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32406B"/>
        </w:rPr>
        <w:t>As none of the holders of our Series A preferred shares were related parties prior to such holders’ initial investment in our securities, the price of our Series A preferred shares was determined based on negotiations between us and the investors and were approved by our board of directors. Our Series A preferred shares, Series A-1 preferred shares, Series B preferred shares, Series C preferred shares and Series D preferred shares will automatically convert into ordinary shares upon the completion of this offering at an initial conversion ratio of one-to-one, adjusted for share splits, share dividends, recapitalizations and similar transactions.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Ordinary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On February 1, 2021, we issued 9,615,769 ordinary shares to NVMB XIV Holdings Limited for a consideration of US$119,999,989.24.</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On February 2, 2021, we issued 6,410,513 ordinary shares to Tencent Mobility Limited for a consideration of US$79,999,996.99.</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Option and Restricted Share Grants</w:t>
      </w:r>
    </w:p>
    <w:p>
      <w:pPr>
        <w:spacing w:after="0" w:line="117"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32406B"/>
        </w:rPr>
        <w:t>We have granted options to purchase our ordinary shares and restricted shares to certain of our executive officers and employees. See “Management—Equity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Shareholders Agreement</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32406B"/>
        </w:rPr>
        <w:t>Our currently effective fifth amended and restated shareholders agreement was entered into on September 11, 2019 by and among us, our shareholders, and certain other parties named therein.</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32406B"/>
        </w:rPr>
        <w:t>The current shareholders agreement provides for certain special rights, including registration right, right of first refusal, right of co-sale, and drag-along right and contains provisions governing the board of directors and other corporate governance matters. Those special rights (except the registration right as described below), as well as the corporate governance provisions, will terminate upon the completion of this offering. Scott Sandell and Carmen Chang were appointed to our board of directors pursuant to the terms of the shareholders agreement which provides that New Enterprise Associates 14, L.P., NEA 15 Opportunity Fund, L.P. and their affiliates shall be entitled to designate two directors of our board who are elected by the holders of our series A preferred shares. Such right to designate directors will also terminate upon the completion of this offering.</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Registration Rights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32406B"/>
        </w:rPr>
        <w:t>Pursuant to the current shareholders agreement, we have granted certain registration rights to our shareholders, provided that no shareholder shall be entitled to exercise any such registration right after the earlier of (i) four years following the consummation of a Qualified IPO that provides for an offering price per share equal to at least two times the issue price of the Series D preferred shares and results in gross proceeds of no less than US$400 million (“Qualified IPO”); or (ii) with respect to any holder, the date on which such holder may sell all of such holder’s registrable securities under Rule 144 of the Securities Act in any ninety (90)-day period. Set forth below is a description of the registration rights granted under the current shareholders agreement.</w:t>
      </w:r>
    </w:p>
    <w:p>
      <w:pPr>
        <w:spacing w:after="0" w:line="192"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b w:val="1"/>
          <w:bCs w:val="1"/>
          <w:i w:val="1"/>
          <w:iCs w:val="1"/>
          <w:color w:val="32406B"/>
        </w:rPr>
        <w:t xml:space="preserve">Demand Registration Rights. </w:t>
      </w:r>
      <w:r>
        <w:rPr>
          <w:rFonts w:ascii="Arial" w:cs="Arial" w:eastAsia="Arial" w:hAnsi="Arial"/>
          <w:sz w:val="18"/>
          <w:szCs w:val="18"/>
          <w:color w:val="32406B"/>
        </w:rPr>
        <w:t>At any time or from time to time after the earlier of (i) the third (3rd) anniversary of the date of the consummation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of the purchase and sale of the Series D Preferred Shares or (ii) the date that is six (6) months after the closing of the IPO, upon a written request from the holders of at least 20% of the registrable securities then outstanding, we shall promptly give written notice of the proposed registration to all other Holders and shall, use our reasonable best efforts to effect as soon as practicable, the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185</w:t>
      </w:r>
    </w:p>
    <w:p>
      <w:pPr>
        <w:sectPr>
          <w:pgSz w:w="11900" w:h="16838" w:orient="portrait"/>
          <w:cols w:equalWidth="0" w:num="1">
            <w:col w:w="11080"/>
          </w:cols>
          <w:pgMar w:left="32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32406B"/>
        </w:rPr>
        <w:t>registration under the Securities Act of all registrable securities which the holders request to be registered within 15 days after the mailing of such notice by us, provided, however, that the Company shall not be obligated to effect more than two such demand registrations.</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32406B"/>
        </w:rPr>
        <w:t xml:space="preserve">Piggyback Registration Rights. </w:t>
      </w:r>
      <w:r>
        <w:rPr>
          <w:rFonts w:ascii="Arial" w:cs="Arial" w:eastAsia="Arial" w:hAnsi="Arial"/>
          <w:sz w:val="16"/>
          <w:szCs w:val="16"/>
          <w:color w:val="32406B"/>
        </w:rPr>
        <w:t>If we propose to file a registration statement for a public offering of our securities, we must offer holders of our</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registrable securities an opportunity to include in the registration the registrable securities that the holders have requested to be registered. There shall be no limit on the number of times the holders may request registration of registrable securities pursuant to such piggyback registration rights.</w:t>
      </w:r>
    </w:p>
    <w:p>
      <w:pPr>
        <w:spacing w:after="0" w:line="149"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32406B"/>
        </w:rPr>
        <w:t>If the underwriter advises the holders initiating the registration request pursuant to the piggyback registration rights in writing that marketing factors require a limitation on the number of shares to be underwritten, then the underwriter may (i) in the event the offering is the Company’s IPO, exclude all of the registrable securities (so long as the only securities included in such offering are those sold for the account of the Company and no securities of other selling shareholders are included), or (ii) otherwise exclude the registrable securities requested to be registered, provided that (A) no registrable securities shall be excluded unless all other equity securities (except for securities sold for the account of the Company) are excluded from the registration and underwriting and so long as the number of registrable securities to be included in such registration is allocated among all holders in proportion, as nearly as practicable, to the respective amounts of registrable securities requested by such Holders to be included and (B) the amount of registrable securities to be included in such registration shall not be reduced below twenty five percent (25%) of the total amount of securities included in such registration.</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32406B"/>
        </w:rPr>
        <w:t xml:space="preserve">Form F-3 or S-3 Registration Rights. </w:t>
      </w:r>
      <w:r>
        <w:rPr>
          <w:rFonts w:ascii="Arial" w:cs="Arial" w:eastAsia="Arial" w:hAnsi="Arial"/>
          <w:sz w:val="18"/>
          <w:szCs w:val="18"/>
          <w:color w:val="32406B"/>
        </w:rPr>
        <w:t>In case we receive from any holders of registrable securities then outstanding written requests that we effect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 registration on Form F-3 or Form S-3, as the case may be, we shall, subject to certain limitations, file a registration statement on Form F-3 or Form S-3 covering the registrable securities and other securities so requested to be registered as soon as practicable after receipt of the request or requests of the holders.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32406B"/>
        </w:rPr>
        <w:t xml:space="preserve">Expenses of Registration. </w:t>
      </w:r>
      <w:r>
        <w:rPr>
          <w:rFonts w:ascii="Arial" w:cs="Arial" w:eastAsia="Arial" w:hAnsi="Arial"/>
          <w:sz w:val="18"/>
          <w:szCs w:val="18"/>
          <w:color w:val="32406B"/>
        </w:rPr>
        <w:t>We will bear all registration expenses incurred in connection with any demand, piggyback or F-3 registration, subject to</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certain limitations.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186</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American Depositary Shares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32406B"/>
        </w:rPr>
        <w:t>The Bank of New York Mellon, as depositary, will register and deliver American Depositary Shares, also referred to as ADSs. Each ADS will represent one Class A ordinary share (or a right to receive one Class A ordinary share) deposited with The Hongkong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32406B"/>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Registered holders of uncertificated ADSs will receive statements from the depositary confirming their holdings.</w:t>
      </w:r>
    </w:p>
    <w:p>
      <w:pPr>
        <w:spacing w:after="0" w:line="22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32406B"/>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32406B"/>
        </w:rPr>
        <w:t>The following is a summary of the material provisions of the deposit agreement. For more complete information, you should read the entire deposit agreement and the form of ADR. Directions on how to obtain copies of those documents are provided on “Where You Can Find Additional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Dividends and Other Distributions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How will you receive dividends and other distributions on the shares?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32406B"/>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32406B"/>
        </w:rPr>
        <w:t>Cash</w:t>
      </w:r>
      <w:r>
        <w:rPr>
          <w:rFonts w:ascii="Arial" w:cs="Arial" w:eastAsia="Arial" w:hAnsi="Arial"/>
          <w:sz w:val="18"/>
          <w:szCs w:val="18"/>
          <w:color w:val="32406B"/>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32406B"/>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Arial" w:cs="Arial" w:eastAsia="Arial" w:hAnsi="Arial"/>
          <w:sz w:val="17"/>
          <w:szCs w:val="17"/>
          <w:i w:val="1"/>
          <w:iCs w:val="1"/>
          <w:color w:val="32406B"/>
        </w:rPr>
        <w:t>If the exchange rates fluctuate</w:t>
      </w:r>
      <w:r>
        <w:rPr>
          <w:rFonts w:ascii="Arial" w:cs="Arial" w:eastAsia="Arial" w:hAnsi="Arial"/>
          <w:sz w:val="17"/>
          <w:szCs w:val="17"/>
          <w:color w:val="32406B"/>
        </w:rPr>
        <w:t xml:space="preserve"> </w:t>
      </w:r>
      <w:r>
        <w:rPr>
          <w:rFonts w:ascii="Arial" w:cs="Arial" w:eastAsia="Arial" w:hAnsi="Arial"/>
          <w:sz w:val="17"/>
          <w:szCs w:val="17"/>
          <w:i w:val="1"/>
          <w:iCs w:val="1"/>
          <w:color w:val="32406B"/>
        </w:rPr>
        <w:t>during a time when the depositary cannot convert the foreign currency, you may lose some of the value of the distribution.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187</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32406B"/>
        </w:rPr>
        <w:t>Shares</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The depositary may distribute additional ADSs representing any shares we distribute as a dividend or free distribution. The depositary will</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b w:val="1"/>
          <w:bCs w:val="1"/>
          <w:i w:val="1"/>
          <w:iCs w:val="1"/>
          <w:color w:val="32406B"/>
        </w:rPr>
        <w:t>Rights to purchase additional shares</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If we offer holders of our securities any rights to subscribe for additional shares or any other rights, the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i w:val="1"/>
          <w:iCs w:val="1"/>
          <w:color w:val="32406B"/>
        </w:rPr>
        <w:t>In that case, you will receive no value for them.</w:t>
      </w:r>
      <w:r>
        <w:rPr>
          <w:rFonts w:ascii="Arial" w:cs="Arial" w:eastAsia="Arial" w:hAnsi="Arial"/>
          <w:sz w:val="18"/>
          <w:szCs w:val="18"/>
          <w:color w:val="32406B"/>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6"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i w:val="1"/>
          <w:iCs w:val="1"/>
          <w:color w:val="32406B"/>
        </w:rPr>
        <w:t>Other Distributions</w:t>
      </w:r>
      <w:r>
        <w:rPr>
          <w:rFonts w:ascii="Arial" w:cs="Arial" w:eastAsia="Arial" w:hAnsi="Arial"/>
          <w:sz w:val="17"/>
          <w:szCs w:val="17"/>
          <w:i w:val="1"/>
          <w:i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The depositary will send to ADS holders anything else we distribute on deposited securities by any means it thinks is legal,</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32406B"/>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32406B"/>
        </w:rPr>
        <w:t>This means that you may not receive the distributions we make on our shares or</w:t>
      </w:r>
      <w:r>
        <w:rPr>
          <w:rFonts w:ascii="Arial" w:cs="Arial" w:eastAsia="Arial" w:hAnsi="Arial"/>
          <w:sz w:val="18"/>
          <w:szCs w:val="18"/>
          <w:color w:val="32406B"/>
        </w:rPr>
        <w:t xml:space="preserve"> </w:t>
      </w:r>
      <w:r>
        <w:rPr>
          <w:rFonts w:ascii="Arial" w:cs="Arial" w:eastAsia="Arial" w:hAnsi="Arial"/>
          <w:sz w:val="18"/>
          <w:szCs w:val="18"/>
          <w:i w:val="1"/>
          <w:iCs w:val="1"/>
          <w:color w:val="32406B"/>
        </w:rPr>
        <w:t>any value for them if it is illegal or impractical for us to make them available to you</w:t>
      </w:r>
      <w:r>
        <w:rPr>
          <w:rFonts w:ascii="Arial" w:cs="Arial" w:eastAsia="Arial" w:hAnsi="Arial"/>
          <w:sz w:val="18"/>
          <w:szCs w:val="18"/>
          <w:color w:val="32406B"/>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Deposit, Withdrawal and Cancellation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How are ADSs issued?</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32406B"/>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How can ADS holders withdraw the deposited securities?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32406B"/>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188</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How do ADS holders interchange between certificated ADSs and uncertificated 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32406B"/>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Voting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How do you vote?</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32406B"/>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32406B"/>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32406B"/>
        </w:rPr>
        <w:t>In any event, the depositary will not exercise any</w:t>
      </w:r>
      <w:r>
        <w:rPr>
          <w:rFonts w:ascii="Arial" w:cs="Arial" w:eastAsia="Arial" w:hAnsi="Arial"/>
          <w:sz w:val="18"/>
          <w:szCs w:val="18"/>
          <w:i w:val="1"/>
          <w:iCs w:val="1"/>
          <w:color w:val="32406B"/>
        </w:rPr>
        <w:t xml:space="preserve"> </w:t>
      </w:r>
      <w:r>
        <w:rPr>
          <w:rFonts w:ascii="Arial" w:cs="Arial" w:eastAsia="Arial" w:hAnsi="Arial"/>
          <w:sz w:val="18"/>
          <w:szCs w:val="18"/>
          <w:color w:val="32406B"/>
        </w:rPr>
        <w:t>discretion in voting deposited securities and it will only vote or attempt to vote as instructed.</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32406B"/>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32406B"/>
        </w:rPr>
        <w:t>This means that you may not be able to exercise voting rights and there may be nothing you can do if your shares are not voted as you requested.</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32406B"/>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ectPr>
          <w:pgSz w:w="11900" w:h="16838" w:orient="portrait"/>
          <w:cols w:equalWidth="0" w:num="1">
            <w:col w:w="11120"/>
          </w:cols>
          <w:pgMar w:left="320" w:top="459" w:right="459" w:bottom="1440" w:gutter="0" w:footer="0" w:header="0"/>
        </w:sect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Fees and Expenses</w:t>
      </w:r>
    </w:p>
    <w:p>
      <w:pPr>
        <w:spacing w:after="0" w:line="248"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32406B"/>
        </w:rPr>
        <w:t>Persons depositing or withdrawing shares or ADS holders must</w:t>
      </w:r>
    </w:p>
    <w:p>
      <w:pPr>
        <w:spacing w:after="0" w:line="4"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32406B"/>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380" w:hanging="264"/>
        <w:spacing w:after="0"/>
        <w:tabs>
          <w:tab w:leader="none" w:pos="380" w:val="left"/>
        </w:tabs>
        <w:numPr>
          <w:ilvl w:val="0"/>
          <w:numId w:val="111"/>
        </w:numPr>
        <w:rPr>
          <w:rFonts w:ascii="Arial" w:cs="Arial" w:eastAsia="Arial" w:hAnsi="Arial"/>
          <w:sz w:val="18"/>
          <w:szCs w:val="18"/>
          <w:color w:val="32406B"/>
        </w:rPr>
      </w:pPr>
      <w:r>
        <w:rPr>
          <w:rFonts w:ascii="Arial" w:cs="Arial" w:eastAsia="Arial" w:hAnsi="Arial"/>
          <w:sz w:val="18"/>
          <w:szCs w:val="18"/>
          <w:color w:val="32406B"/>
        </w:rPr>
        <w:t>US$5.00 (or less) per 100 ADSs (or portion of 100 ADSs)</w:t>
      </w:r>
    </w:p>
    <w:p>
      <w:pPr>
        <w:spacing w:after="0" w:line="200" w:lineRule="exact"/>
        <w:rPr>
          <w:rFonts w:ascii="Arial" w:cs="Arial" w:eastAsia="Arial" w:hAnsi="Arial"/>
          <w:sz w:val="18"/>
          <w:szCs w:val="18"/>
          <w:color w:val="32406B"/>
        </w:rPr>
      </w:pPr>
    </w:p>
    <w:p>
      <w:pPr>
        <w:spacing w:after="0" w:line="200" w:lineRule="exact"/>
        <w:rPr>
          <w:rFonts w:ascii="Arial" w:cs="Arial" w:eastAsia="Arial" w:hAnsi="Arial"/>
          <w:sz w:val="18"/>
          <w:szCs w:val="18"/>
          <w:color w:val="32406B"/>
        </w:rPr>
      </w:pPr>
    </w:p>
    <w:p>
      <w:pPr>
        <w:spacing w:after="0" w:line="200" w:lineRule="exact"/>
        <w:rPr>
          <w:rFonts w:ascii="Arial" w:cs="Arial" w:eastAsia="Arial" w:hAnsi="Arial"/>
          <w:sz w:val="18"/>
          <w:szCs w:val="18"/>
          <w:color w:val="32406B"/>
        </w:rPr>
      </w:pPr>
    </w:p>
    <w:p>
      <w:pPr>
        <w:spacing w:after="0" w:line="297" w:lineRule="exact"/>
        <w:rPr>
          <w:rFonts w:ascii="Arial" w:cs="Arial" w:eastAsia="Arial" w:hAnsi="Arial"/>
          <w:sz w:val="18"/>
          <w:szCs w:val="18"/>
          <w:color w:val="32406B"/>
        </w:rPr>
      </w:pPr>
    </w:p>
    <w:p>
      <w:pPr>
        <w:ind w:left="380" w:hanging="264"/>
        <w:spacing w:after="0"/>
        <w:tabs>
          <w:tab w:leader="none" w:pos="380" w:val="left"/>
        </w:tabs>
        <w:numPr>
          <w:ilvl w:val="0"/>
          <w:numId w:val="111"/>
        </w:numPr>
        <w:rPr>
          <w:rFonts w:ascii="Arial" w:cs="Arial" w:eastAsia="Arial" w:hAnsi="Arial"/>
          <w:sz w:val="18"/>
          <w:szCs w:val="18"/>
          <w:color w:val="32406B"/>
        </w:rPr>
      </w:pPr>
      <w:r>
        <w:rPr>
          <w:rFonts w:ascii="Arial" w:cs="Arial" w:eastAsia="Arial" w:hAnsi="Arial"/>
          <w:sz w:val="18"/>
          <w:szCs w:val="18"/>
          <w:color w:val="32406B"/>
        </w:rPr>
        <w:t>US$.05 (or less) per ADS</w:t>
      </w:r>
    </w:p>
    <w:p>
      <w:pPr>
        <w:spacing w:after="0" w:line="117" w:lineRule="exact"/>
        <w:rPr>
          <w:rFonts w:ascii="Arial" w:cs="Arial" w:eastAsia="Arial" w:hAnsi="Arial"/>
          <w:sz w:val="18"/>
          <w:szCs w:val="18"/>
          <w:color w:val="32406B"/>
        </w:rPr>
      </w:pPr>
    </w:p>
    <w:p>
      <w:pPr>
        <w:jc w:val="both"/>
        <w:ind w:left="380" w:right="140" w:hanging="264"/>
        <w:spacing w:after="0" w:line="263" w:lineRule="auto"/>
        <w:tabs>
          <w:tab w:leader="none" w:pos="354" w:val="left"/>
        </w:tabs>
        <w:numPr>
          <w:ilvl w:val="0"/>
          <w:numId w:val="111"/>
        </w:numPr>
        <w:rPr>
          <w:rFonts w:ascii="Arial" w:cs="Arial" w:eastAsia="Arial" w:hAnsi="Arial"/>
          <w:sz w:val="18"/>
          <w:szCs w:val="18"/>
          <w:color w:val="32406B"/>
        </w:rPr>
      </w:pPr>
      <w:r>
        <w:rPr>
          <w:rFonts w:ascii="Arial" w:cs="Arial" w:eastAsia="Arial" w:hAnsi="Arial"/>
          <w:sz w:val="18"/>
          <w:szCs w:val="18"/>
          <w:color w:val="32406B"/>
        </w:rPr>
        <w:t>A fee equivalent to the fee that would be payable if securities distributed to you had been shares and the shares had been deposited for issuance of ADSs</w:t>
      </w:r>
    </w:p>
    <w:p>
      <w:pPr>
        <w:spacing w:after="0" w:line="75" w:lineRule="exact"/>
        <w:rPr>
          <w:rFonts w:ascii="Arial" w:cs="Arial" w:eastAsia="Arial" w:hAnsi="Arial"/>
          <w:sz w:val="18"/>
          <w:szCs w:val="18"/>
          <w:color w:val="32406B"/>
        </w:rPr>
      </w:pPr>
    </w:p>
    <w:p>
      <w:pPr>
        <w:ind w:left="380" w:hanging="264"/>
        <w:spacing w:after="0"/>
        <w:tabs>
          <w:tab w:leader="none" w:pos="380" w:val="left"/>
        </w:tabs>
        <w:numPr>
          <w:ilvl w:val="0"/>
          <w:numId w:val="111"/>
        </w:numPr>
        <w:rPr>
          <w:rFonts w:ascii="Arial" w:cs="Arial" w:eastAsia="Arial" w:hAnsi="Arial"/>
          <w:sz w:val="18"/>
          <w:szCs w:val="18"/>
          <w:color w:val="32406B"/>
        </w:rPr>
      </w:pPr>
      <w:r>
        <w:rPr>
          <w:rFonts w:ascii="Arial" w:cs="Arial" w:eastAsia="Arial" w:hAnsi="Arial"/>
          <w:sz w:val="18"/>
          <w:szCs w:val="18"/>
          <w:color w:val="32406B"/>
        </w:rPr>
        <w:t>US$.05 (or less) per ADS per calendar year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32406B"/>
        </w:rPr>
        <w:t>189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32406B"/>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2829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279" w:right="60" w:hanging="279"/>
        <w:spacing w:after="0" w:line="274" w:lineRule="auto"/>
        <w:tabs>
          <w:tab w:leader="none" w:pos="263" w:val="left"/>
        </w:tabs>
        <w:numPr>
          <w:ilvl w:val="0"/>
          <w:numId w:val="112"/>
        </w:numPr>
        <w:rPr>
          <w:rFonts w:ascii="Arial" w:cs="Arial" w:eastAsia="Arial" w:hAnsi="Arial"/>
          <w:sz w:val="18"/>
          <w:szCs w:val="18"/>
          <w:color w:val="32406B"/>
        </w:rPr>
      </w:pPr>
      <w:r>
        <w:rPr>
          <w:rFonts w:ascii="Arial" w:cs="Arial" w:eastAsia="Arial" w:hAnsi="Arial"/>
          <w:sz w:val="18"/>
          <w:szCs w:val="18"/>
          <w:color w:val="32406B"/>
        </w:rPr>
        <w:t>Issuance of ADSs, including issuances resulting from a distribution of shares or rights or other property</w:t>
      </w:r>
    </w:p>
    <w:p>
      <w:pPr>
        <w:spacing w:after="0" w:line="78" w:lineRule="exact"/>
        <w:rPr>
          <w:rFonts w:ascii="Arial" w:cs="Arial" w:eastAsia="Arial" w:hAnsi="Arial"/>
          <w:sz w:val="18"/>
          <w:szCs w:val="18"/>
          <w:color w:val="32406B"/>
        </w:rPr>
      </w:pPr>
    </w:p>
    <w:p>
      <w:pPr>
        <w:ind w:left="279" w:right="220" w:hanging="279"/>
        <w:spacing w:after="0" w:line="277" w:lineRule="auto"/>
        <w:tabs>
          <w:tab w:leader="none" w:pos="263" w:val="left"/>
        </w:tabs>
        <w:numPr>
          <w:ilvl w:val="0"/>
          <w:numId w:val="112"/>
        </w:numPr>
        <w:rPr>
          <w:rFonts w:ascii="Arial" w:cs="Arial" w:eastAsia="Arial" w:hAnsi="Arial"/>
          <w:sz w:val="18"/>
          <w:szCs w:val="18"/>
          <w:color w:val="32406B"/>
        </w:rPr>
      </w:pPr>
      <w:r>
        <w:rPr>
          <w:rFonts w:ascii="Arial" w:cs="Arial" w:eastAsia="Arial" w:hAnsi="Arial"/>
          <w:sz w:val="18"/>
          <w:szCs w:val="18"/>
          <w:color w:val="32406B"/>
        </w:rPr>
        <w:t>Cancellation of ADSs for the purpose of withdrawal, including if the deposit agreement terminates</w:t>
      </w:r>
    </w:p>
    <w:p>
      <w:pPr>
        <w:spacing w:after="0" w:line="75" w:lineRule="exact"/>
        <w:rPr>
          <w:rFonts w:ascii="Arial" w:cs="Arial" w:eastAsia="Arial" w:hAnsi="Arial"/>
          <w:sz w:val="18"/>
          <w:szCs w:val="18"/>
          <w:color w:val="32406B"/>
        </w:rPr>
      </w:pPr>
    </w:p>
    <w:p>
      <w:pPr>
        <w:ind w:left="239" w:hanging="239"/>
        <w:spacing w:after="0"/>
        <w:tabs>
          <w:tab w:leader="none" w:pos="239" w:val="left"/>
        </w:tabs>
        <w:numPr>
          <w:ilvl w:val="0"/>
          <w:numId w:val="112"/>
        </w:numPr>
        <w:rPr>
          <w:rFonts w:ascii="Arial" w:cs="Arial" w:eastAsia="Arial" w:hAnsi="Arial"/>
          <w:sz w:val="18"/>
          <w:szCs w:val="18"/>
          <w:color w:val="32406B"/>
        </w:rPr>
      </w:pPr>
      <w:r>
        <w:rPr>
          <w:rFonts w:ascii="Arial" w:cs="Arial" w:eastAsia="Arial" w:hAnsi="Arial"/>
          <w:sz w:val="18"/>
          <w:szCs w:val="18"/>
          <w:color w:val="32406B"/>
        </w:rPr>
        <w:t>Any cash distribution to ADS holders</w:t>
      </w:r>
    </w:p>
    <w:p>
      <w:pPr>
        <w:spacing w:after="0" w:line="117" w:lineRule="exact"/>
        <w:rPr>
          <w:rFonts w:ascii="Arial" w:cs="Arial" w:eastAsia="Arial" w:hAnsi="Arial"/>
          <w:sz w:val="18"/>
          <w:szCs w:val="18"/>
          <w:color w:val="32406B"/>
        </w:rPr>
      </w:pPr>
    </w:p>
    <w:p>
      <w:pPr>
        <w:ind w:left="279" w:right="40" w:hanging="279"/>
        <w:spacing w:after="0" w:line="263" w:lineRule="auto"/>
        <w:tabs>
          <w:tab w:leader="none" w:pos="263" w:val="left"/>
        </w:tabs>
        <w:numPr>
          <w:ilvl w:val="0"/>
          <w:numId w:val="112"/>
        </w:numPr>
        <w:rPr>
          <w:rFonts w:ascii="Arial" w:cs="Arial" w:eastAsia="Arial" w:hAnsi="Arial"/>
          <w:sz w:val="18"/>
          <w:szCs w:val="18"/>
          <w:color w:val="32406B"/>
        </w:rPr>
      </w:pPr>
      <w:r>
        <w:rPr>
          <w:rFonts w:ascii="Arial" w:cs="Arial" w:eastAsia="Arial" w:hAnsi="Arial"/>
          <w:sz w:val="18"/>
          <w:szCs w:val="18"/>
          <w:color w:val="32406B"/>
        </w:rPr>
        <w:t>Distribution of securities distributed to holders of deposited securities (including rights) that are distributed by the depositary to ADS holders</w:t>
      </w:r>
    </w:p>
    <w:p>
      <w:pPr>
        <w:spacing w:after="0" w:line="75" w:lineRule="exact"/>
        <w:rPr>
          <w:rFonts w:ascii="Arial" w:cs="Arial" w:eastAsia="Arial" w:hAnsi="Arial"/>
          <w:sz w:val="18"/>
          <w:szCs w:val="18"/>
          <w:color w:val="32406B"/>
        </w:rPr>
      </w:pPr>
    </w:p>
    <w:p>
      <w:pPr>
        <w:ind w:left="259" w:hanging="259"/>
        <w:spacing w:after="0"/>
        <w:tabs>
          <w:tab w:leader="none" w:pos="259" w:val="left"/>
        </w:tabs>
        <w:numPr>
          <w:ilvl w:val="0"/>
          <w:numId w:val="112"/>
        </w:numPr>
        <w:rPr>
          <w:rFonts w:ascii="Arial" w:cs="Arial" w:eastAsia="Arial" w:hAnsi="Arial"/>
          <w:sz w:val="18"/>
          <w:szCs w:val="18"/>
          <w:color w:val="32406B"/>
        </w:rPr>
      </w:pPr>
      <w:r>
        <w:rPr>
          <w:rFonts w:ascii="Arial" w:cs="Arial" w:eastAsia="Arial" w:hAnsi="Arial"/>
          <w:sz w:val="18"/>
          <w:szCs w:val="18"/>
          <w:color w:val="32406B"/>
        </w:rPr>
        <w:t>Depositary services</w:t>
      </w:r>
    </w:p>
    <w:p>
      <w:pPr>
        <w:sectPr>
          <w:pgSz w:w="11900" w:h="16838" w:orient="portrait"/>
          <w:cols w:equalWidth="0" w:num="2">
            <w:col w:w="5760" w:space="201"/>
            <w:col w:w="5159"/>
          </w:cols>
          <w:pgMar w:left="320" w:top="459" w:right="459" w:bottom="1440" w:gutter="0" w:footer="0" w:header="0"/>
          <w:type w:val="continuous"/>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32406B"/>
        </w:rPr>
        <w:t>Persons depositing or withdrawing shares or ADS holders must</w:t>
      </w:r>
    </w:p>
    <w:p>
      <w:pPr>
        <w:spacing w:after="0" w:line="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32406B"/>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81" w:lineRule="exact"/>
        <w:rPr>
          <w:sz w:val="20"/>
          <w:szCs w:val="20"/>
          <w:color w:val="auto"/>
        </w:rPr>
      </w:pPr>
    </w:p>
    <w:p>
      <w:pPr>
        <w:ind w:left="380" w:hanging="264"/>
        <w:spacing w:after="0"/>
        <w:tabs>
          <w:tab w:leader="none" w:pos="380"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Registration or transfer fees</w:t>
      </w:r>
    </w:p>
    <w:p>
      <w:pPr>
        <w:spacing w:after="0" w:line="200" w:lineRule="exact"/>
        <w:rPr>
          <w:rFonts w:ascii="Arial" w:cs="Arial" w:eastAsia="Arial" w:hAnsi="Arial"/>
          <w:sz w:val="18"/>
          <w:szCs w:val="18"/>
          <w:color w:val="32406B"/>
        </w:rPr>
      </w:pPr>
    </w:p>
    <w:p>
      <w:pPr>
        <w:spacing w:after="0" w:line="349" w:lineRule="exact"/>
        <w:rPr>
          <w:rFonts w:ascii="Arial" w:cs="Arial" w:eastAsia="Arial" w:hAnsi="Arial"/>
          <w:sz w:val="18"/>
          <w:szCs w:val="18"/>
          <w:color w:val="32406B"/>
        </w:rPr>
      </w:pPr>
    </w:p>
    <w:p>
      <w:pPr>
        <w:ind w:left="380" w:hanging="264"/>
        <w:spacing w:after="0"/>
        <w:tabs>
          <w:tab w:leader="none" w:pos="380"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Expenses of the depositary</w:t>
      </w:r>
    </w:p>
    <w:p>
      <w:pPr>
        <w:spacing w:after="0" w:line="200" w:lineRule="exact"/>
        <w:rPr>
          <w:rFonts w:ascii="Arial" w:cs="Arial" w:eastAsia="Arial" w:hAnsi="Arial"/>
          <w:sz w:val="18"/>
          <w:szCs w:val="18"/>
          <w:color w:val="32406B"/>
        </w:rPr>
      </w:pPr>
    </w:p>
    <w:p>
      <w:pPr>
        <w:spacing w:after="0" w:line="200" w:lineRule="exact"/>
        <w:rPr>
          <w:rFonts w:ascii="Arial" w:cs="Arial" w:eastAsia="Arial" w:hAnsi="Arial"/>
          <w:sz w:val="18"/>
          <w:szCs w:val="18"/>
          <w:color w:val="32406B"/>
        </w:rPr>
      </w:pPr>
    </w:p>
    <w:p>
      <w:pPr>
        <w:spacing w:after="0" w:line="284" w:lineRule="exact"/>
        <w:rPr>
          <w:rFonts w:ascii="Arial" w:cs="Arial" w:eastAsia="Arial" w:hAnsi="Arial"/>
          <w:sz w:val="18"/>
          <w:szCs w:val="18"/>
          <w:color w:val="32406B"/>
        </w:rPr>
      </w:pPr>
    </w:p>
    <w:p>
      <w:pPr>
        <w:ind w:left="380" w:hanging="264"/>
        <w:spacing w:after="0" w:line="263" w:lineRule="auto"/>
        <w:tabs>
          <w:tab w:leader="none" w:pos="361"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Taxes and other governmental charges the depositary or the custodian has to pay on any ADSs or shares underlying ADSs, such as stock transfer taxes, stamp duty or withholding taxes</w:t>
      </w:r>
    </w:p>
    <w:p>
      <w:pPr>
        <w:spacing w:after="0" w:line="75" w:lineRule="exact"/>
        <w:rPr>
          <w:rFonts w:ascii="Arial" w:cs="Arial" w:eastAsia="Arial" w:hAnsi="Arial"/>
          <w:sz w:val="18"/>
          <w:szCs w:val="18"/>
          <w:color w:val="32406B"/>
        </w:rPr>
      </w:pPr>
    </w:p>
    <w:p>
      <w:pPr>
        <w:ind w:left="380" w:right="340" w:hanging="264"/>
        <w:spacing w:after="0" w:line="277" w:lineRule="auto"/>
        <w:tabs>
          <w:tab w:leader="none" w:pos="354"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2459"/>
        <w:spacing w:after="0"/>
        <w:rPr>
          <w:sz w:val="20"/>
          <w:szCs w:val="20"/>
          <w:color w:val="auto"/>
        </w:rPr>
      </w:pPr>
      <w:r>
        <w:rPr>
          <w:rFonts w:ascii="Arial" w:cs="Arial" w:eastAsia="Arial" w:hAnsi="Arial"/>
          <w:sz w:val="14"/>
          <w:szCs w:val="14"/>
          <w:b w:val="1"/>
          <w:bCs w:val="1"/>
          <w:color w:val="32406B"/>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2829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7" w:lineRule="exact"/>
        <w:rPr>
          <w:sz w:val="20"/>
          <w:szCs w:val="20"/>
          <w:color w:val="auto"/>
        </w:rPr>
      </w:pPr>
    </w:p>
    <w:p>
      <w:pPr>
        <w:ind w:left="279" w:right="160" w:hanging="279"/>
        <w:spacing w:after="0" w:line="263" w:lineRule="auto"/>
        <w:tabs>
          <w:tab w:leader="none" w:pos="260"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Transfer and registration of shares on our share register to or from the name of the depositary or its agent when you deposit or withdraw shares</w:t>
      </w:r>
    </w:p>
    <w:p>
      <w:pPr>
        <w:spacing w:after="0" w:line="75" w:lineRule="exact"/>
        <w:rPr>
          <w:rFonts w:ascii="Arial" w:cs="Arial" w:eastAsia="Arial" w:hAnsi="Arial"/>
          <w:sz w:val="18"/>
          <w:szCs w:val="18"/>
          <w:color w:val="32406B"/>
        </w:rPr>
      </w:pPr>
    </w:p>
    <w:p>
      <w:pPr>
        <w:ind w:left="279" w:right="520" w:hanging="279"/>
        <w:spacing w:after="0" w:line="277" w:lineRule="auto"/>
        <w:tabs>
          <w:tab w:leader="none" w:pos="263"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Cable (including SWIFT) and facsimile transmissions (when expressly provided in the deposit agreement)</w:t>
      </w:r>
    </w:p>
    <w:p>
      <w:pPr>
        <w:spacing w:after="0" w:line="75" w:lineRule="exact"/>
        <w:rPr>
          <w:rFonts w:ascii="Arial" w:cs="Arial" w:eastAsia="Arial" w:hAnsi="Arial"/>
          <w:sz w:val="18"/>
          <w:szCs w:val="18"/>
          <w:color w:val="32406B"/>
        </w:rPr>
      </w:pPr>
    </w:p>
    <w:p>
      <w:pPr>
        <w:ind w:left="259" w:hanging="259"/>
        <w:spacing w:after="0"/>
        <w:tabs>
          <w:tab w:leader="none" w:pos="259"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Converting foreign currency to U.S. dollars</w:t>
      </w:r>
    </w:p>
    <w:p>
      <w:pPr>
        <w:spacing w:after="0" w:line="130" w:lineRule="exact"/>
        <w:rPr>
          <w:rFonts w:ascii="Arial" w:cs="Arial" w:eastAsia="Arial" w:hAnsi="Arial"/>
          <w:sz w:val="18"/>
          <w:szCs w:val="18"/>
          <w:color w:val="32406B"/>
        </w:rPr>
      </w:pPr>
    </w:p>
    <w:p>
      <w:pPr>
        <w:ind w:left="239" w:hanging="239"/>
        <w:spacing w:after="0"/>
        <w:tabs>
          <w:tab w:leader="none" w:pos="239"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As necessary</w:t>
      </w:r>
    </w:p>
    <w:p>
      <w:pPr>
        <w:spacing w:after="0" w:line="200" w:lineRule="exact"/>
        <w:rPr>
          <w:rFonts w:ascii="Arial" w:cs="Arial" w:eastAsia="Arial" w:hAnsi="Arial"/>
          <w:sz w:val="18"/>
          <w:szCs w:val="18"/>
          <w:color w:val="32406B"/>
        </w:rPr>
      </w:pPr>
    </w:p>
    <w:p>
      <w:pPr>
        <w:spacing w:after="0" w:line="349" w:lineRule="exact"/>
        <w:rPr>
          <w:rFonts w:ascii="Arial" w:cs="Arial" w:eastAsia="Arial" w:hAnsi="Arial"/>
          <w:sz w:val="18"/>
          <w:szCs w:val="18"/>
          <w:color w:val="32406B"/>
        </w:rPr>
      </w:pPr>
    </w:p>
    <w:p>
      <w:pPr>
        <w:ind w:left="239" w:hanging="239"/>
        <w:spacing w:after="0"/>
        <w:tabs>
          <w:tab w:leader="none" w:pos="239"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As necessary</w:t>
      </w:r>
    </w:p>
    <w:p>
      <w:pPr>
        <w:spacing w:after="0" w:line="440" w:lineRule="exact"/>
        <w:rPr>
          <w:sz w:val="20"/>
          <w:szCs w:val="20"/>
          <w:color w:val="auto"/>
        </w:rPr>
      </w:pPr>
    </w:p>
    <w:p>
      <w:pPr>
        <w:sectPr>
          <w:pgSz w:w="11900" w:h="16838" w:orient="portrait"/>
          <w:cols w:equalWidth="0" w:num="2">
            <w:col w:w="5660" w:space="301"/>
            <w:col w:w="5159"/>
          </w:cols>
          <w:pgMar w:left="320" w:top="459" w:right="459" w:bottom="1440" w:gutter="0" w:footer="0" w:header="0"/>
          <w:type w:val="continuous"/>
        </w:sectPr>
      </w:pPr>
    </w:p>
    <w:p>
      <w:pPr>
        <w:ind w:left="120" w:right="20" w:firstLine="440"/>
        <w:spacing w:after="0" w:line="254" w:lineRule="auto"/>
        <w:rPr>
          <w:sz w:val="20"/>
          <w:szCs w:val="20"/>
          <w:color w:val="auto"/>
        </w:rPr>
      </w:pPr>
      <w:r>
        <w:rPr>
          <w:rFonts w:ascii="Arial" w:cs="Arial" w:eastAsia="Arial" w:hAnsi="Arial"/>
          <w:sz w:val="18"/>
          <w:szCs w:val="18"/>
          <w:color w:val="32406B"/>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32406B"/>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32406B"/>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190</w:t>
      </w:r>
    </w:p>
    <w:p>
      <w:pPr>
        <w:sectPr>
          <w:pgSz w:w="11900" w:h="16838" w:orient="portrait"/>
          <w:cols w:equalWidth="0" w:num="1">
            <w:col w:w="11120"/>
          </w:cols>
          <w:pgMar w:left="320" w:top="459" w:right="45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32406B"/>
        </w:rPr>
        <w:t>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Payment of Taxes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32406B"/>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Tender and Exchange Offers; Redemption, Replacement or Cancellation of Deposited Securities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32406B"/>
        </w:rPr>
        <w:t>The depositary will not tender deposited securities in any voluntary tender or exchange offer unless instructed to do so by an ADS holder surrendering ADSs and subject to any conditions or procedures the depositary may establish.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32406B"/>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32406B"/>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32406B"/>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Amendment and Termination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How may the deposit agreement be amended?</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32406B"/>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32406B"/>
        </w:rPr>
        <w:t>At the time an amendment becomes effective, you are considered, by continuing to hold your ADSs,</w:t>
      </w:r>
      <w:r>
        <w:rPr>
          <w:rFonts w:ascii="Arial" w:cs="Arial" w:eastAsia="Arial" w:hAnsi="Arial"/>
          <w:sz w:val="17"/>
          <w:szCs w:val="17"/>
          <w:color w:val="32406B"/>
        </w:rPr>
        <w:t xml:space="preserve"> </w:t>
      </w:r>
      <w:r>
        <w:rPr>
          <w:rFonts w:ascii="Arial" w:cs="Arial" w:eastAsia="Arial" w:hAnsi="Arial"/>
          <w:sz w:val="17"/>
          <w:szCs w:val="17"/>
          <w:i w:val="1"/>
          <w:iCs w:val="1"/>
          <w:color w:val="32406B"/>
        </w:rPr>
        <w:t>to agree to the amendment and to be bound by the ADRs and the deposit agreement as amended</w:t>
      </w:r>
      <w:r>
        <w:rPr>
          <w:rFonts w:ascii="Arial" w:cs="Arial" w:eastAsia="Arial" w:hAnsi="Arial"/>
          <w:sz w:val="17"/>
          <w:szCs w:val="17"/>
          <w:color w:val="32406B"/>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191</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How may the deposit agreement be terminated?</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32406B"/>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080" w:right="460" w:hanging="532"/>
        <w:spacing w:after="0" w:line="277" w:lineRule="auto"/>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32406B"/>
        </w:rPr>
      </w:pPr>
    </w:p>
    <w:p>
      <w:pPr>
        <w:ind w:left="1080" w:right="160" w:hanging="532"/>
        <w:spacing w:after="0" w:line="277" w:lineRule="auto"/>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we delist the ADSs from an exchange in the United States on which they were listed and do not list the ADSs on another exchange in the United States or make arrangements for trading of ADSs on the U.S. over-the-counter market;</w:t>
      </w:r>
    </w:p>
    <w:p>
      <w:pPr>
        <w:spacing w:after="0" w:line="75" w:lineRule="exact"/>
        <w:rPr>
          <w:rFonts w:ascii="Arial" w:cs="Arial" w:eastAsia="Arial" w:hAnsi="Arial"/>
          <w:sz w:val="18"/>
          <w:szCs w:val="18"/>
          <w:color w:val="32406B"/>
        </w:rPr>
      </w:pPr>
    </w:p>
    <w:p>
      <w:pPr>
        <w:ind w:left="1080" w:right="180" w:hanging="532"/>
        <w:spacing w:after="0" w:line="277" w:lineRule="auto"/>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we delist our shares from an exchange outside the United States on which they were listed and do not list the shares on another exchange outside the United States;</w:t>
      </w:r>
    </w:p>
    <w:p>
      <w:pPr>
        <w:spacing w:after="0" w:line="75" w:lineRule="exact"/>
        <w:rPr>
          <w:rFonts w:ascii="Arial" w:cs="Arial" w:eastAsia="Arial" w:hAnsi="Arial"/>
          <w:sz w:val="18"/>
          <w:szCs w:val="18"/>
          <w:color w:val="32406B"/>
        </w:rPr>
      </w:pPr>
    </w:p>
    <w:p>
      <w:pPr>
        <w:ind w:left="1080" w:right="260" w:hanging="532"/>
        <w:spacing w:after="0" w:line="277" w:lineRule="auto"/>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we appear to be insolvent or enter insolvency proceedings;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5"/>
        </w:numPr>
        <w:rPr>
          <w:rFonts w:ascii="Arial" w:cs="Arial" w:eastAsia="Arial" w:hAnsi="Arial"/>
          <w:sz w:val="17"/>
          <w:szCs w:val="17"/>
          <w:color w:val="32406B"/>
        </w:rPr>
      </w:pPr>
      <w:r>
        <w:rPr>
          <w:rFonts w:ascii="Arial" w:cs="Arial" w:eastAsia="Arial" w:hAnsi="Arial"/>
          <w:sz w:val="17"/>
          <w:szCs w:val="17"/>
          <w:color w:val="32406B"/>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there has been a replacement of deposited securities.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32406B"/>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Arial" w:cs="Arial" w:eastAsia="Arial" w:hAnsi="Arial"/>
          <w:sz w:val="17"/>
          <w:szCs w:val="17"/>
          <w:u w:val="single" w:color="auto"/>
          <w:color w:val="32406B"/>
        </w:rPr>
        <w:t>pro rata</w:t>
      </w:r>
      <w:r>
        <w:rPr>
          <w:rFonts w:ascii="Arial" w:cs="Arial" w:eastAsia="Arial" w:hAnsi="Arial"/>
          <w:sz w:val="17"/>
          <w:szCs w:val="17"/>
          <w:color w:val="32406B"/>
        </w:rPr>
        <w:t xml:space="preserve">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Arial" w:cs="Arial" w:eastAsia="Arial" w:hAnsi="Arial"/>
          <w:sz w:val="18"/>
          <w:szCs w:val="18"/>
          <w:u w:val="single" w:color="auto"/>
          <w:color w:val="32406B"/>
        </w:rPr>
        <w:t>but</w:t>
      </w:r>
      <w:r>
        <w:rPr>
          <w:rFonts w:ascii="Arial" w:cs="Arial" w:eastAsia="Arial" w:hAnsi="Arial"/>
          <w:sz w:val="18"/>
          <w:szCs w:val="18"/>
          <w:color w:val="32406B"/>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Limitations on Obligations and Liability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Limits on our Obligations and the Obligations of the Depositary; Limits on Liability to Holders of ADSs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32406B"/>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080" w:right="40" w:hanging="532"/>
        <w:spacing w:after="0" w:line="277" w:lineRule="auto"/>
        <w:tabs>
          <w:tab w:leader="none" w:pos="1080" w:val="left"/>
        </w:tabs>
        <w:numPr>
          <w:ilvl w:val="0"/>
          <w:numId w:val="116"/>
        </w:numPr>
        <w:rPr>
          <w:rFonts w:ascii="Arial" w:cs="Arial" w:eastAsia="Arial" w:hAnsi="Arial"/>
          <w:sz w:val="18"/>
          <w:szCs w:val="18"/>
          <w:color w:val="32406B"/>
        </w:rPr>
      </w:pPr>
      <w:r>
        <w:rPr>
          <w:rFonts w:ascii="Arial" w:cs="Arial" w:eastAsia="Arial" w:hAnsi="Arial"/>
          <w:sz w:val="18"/>
          <w:szCs w:val="18"/>
          <w:color w:val="32406B"/>
        </w:rPr>
        <w:t>are only obligated to take the actions specifically set forth in the deposit agreement without negligence or bad faith, and the depositary will not be a fiduciary or have any fiduciary duty to holders of ADSs;</w:t>
      </w:r>
    </w:p>
    <w:p>
      <w:pPr>
        <w:spacing w:after="0" w:line="75" w:lineRule="exact"/>
        <w:rPr>
          <w:rFonts w:ascii="Arial" w:cs="Arial" w:eastAsia="Arial" w:hAnsi="Arial"/>
          <w:sz w:val="18"/>
          <w:szCs w:val="18"/>
          <w:color w:val="32406B"/>
        </w:rPr>
      </w:pPr>
    </w:p>
    <w:p>
      <w:pPr>
        <w:ind w:left="1080" w:right="120" w:hanging="532"/>
        <w:spacing w:after="0" w:line="277" w:lineRule="auto"/>
        <w:tabs>
          <w:tab w:leader="none" w:pos="1080" w:val="left"/>
        </w:tabs>
        <w:numPr>
          <w:ilvl w:val="0"/>
          <w:numId w:val="116"/>
        </w:numPr>
        <w:rPr>
          <w:rFonts w:ascii="Arial" w:cs="Arial" w:eastAsia="Arial" w:hAnsi="Arial"/>
          <w:sz w:val="18"/>
          <w:szCs w:val="18"/>
          <w:color w:val="32406B"/>
        </w:rPr>
      </w:pPr>
      <w:r>
        <w:rPr>
          <w:rFonts w:ascii="Arial" w:cs="Arial" w:eastAsia="Arial" w:hAnsi="Arial"/>
          <w:sz w:val="18"/>
          <w:szCs w:val="18"/>
          <w:color w:val="32406B"/>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192</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are not liable if we or it exercises discretion permitted under the deposit agreement;</w:t>
      </w:r>
    </w:p>
    <w:p>
      <w:pPr>
        <w:spacing w:after="0" w:line="130" w:lineRule="exact"/>
        <w:rPr>
          <w:rFonts w:ascii="Arial" w:cs="Arial" w:eastAsia="Arial" w:hAnsi="Arial"/>
          <w:sz w:val="18"/>
          <w:szCs w:val="18"/>
          <w:color w:val="32406B"/>
        </w:rPr>
      </w:pPr>
    </w:p>
    <w:p>
      <w:pPr>
        <w:ind w:left="1080" w:right="200" w:hanging="532"/>
        <w:spacing w:after="0" w:line="263" w:lineRule="auto"/>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32406B"/>
        </w:rPr>
      </w:pPr>
    </w:p>
    <w:p>
      <w:pPr>
        <w:ind w:left="1080" w:right="100" w:hanging="532"/>
        <w:spacing w:after="0" w:line="277" w:lineRule="auto"/>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32406B"/>
        </w:rPr>
      </w:pPr>
    </w:p>
    <w:p>
      <w:pPr>
        <w:ind w:left="1080" w:right="380" w:hanging="532"/>
        <w:spacing w:after="0" w:line="277" w:lineRule="auto"/>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are not liable for the acts or omissions of any securities depository, clearing agency or settlement system; and</w:t>
      </w:r>
    </w:p>
    <w:p>
      <w:pPr>
        <w:spacing w:after="0" w:line="130" w:lineRule="exact"/>
        <w:rPr>
          <w:rFonts w:ascii="Arial" w:cs="Arial" w:eastAsia="Arial" w:hAnsi="Arial"/>
          <w:sz w:val="18"/>
          <w:szCs w:val="18"/>
          <w:color w:val="32406B"/>
        </w:rPr>
      </w:pPr>
    </w:p>
    <w:p>
      <w:pPr>
        <w:ind w:left="1080" w:right="60" w:hanging="532"/>
        <w:spacing w:after="0" w:line="259" w:lineRule="auto"/>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the deposit agreement, we and the depositary agree to indemnify each other under certain circumstances.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Requirements for Depositary Actions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32406B"/>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080" w:right="380" w:hanging="532"/>
        <w:spacing w:after="0" w:line="277" w:lineRule="auto"/>
        <w:tabs>
          <w:tab w:leader="none" w:pos="108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satisfactory proof of the identity and genuineness of any signature or other information it deems necessary; and</w:t>
      </w:r>
    </w:p>
    <w:p>
      <w:pPr>
        <w:spacing w:after="0" w:line="130" w:lineRule="exact"/>
        <w:rPr>
          <w:rFonts w:ascii="Arial" w:cs="Arial" w:eastAsia="Arial" w:hAnsi="Arial"/>
          <w:sz w:val="18"/>
          <w:szCs w:val="18"/>
          <w:color w:val="32406B"/>
        </w:rPr>
      </w:pPr>
    </w:p>
    <w:p>
      <w:pPr>
        <w:ind w:left="1080" w:right="180" w:hanging="532"/>
        <w:spacing w:after="0" w:line="277" w:lineRule="auto"/>
        <w:tabs>
          <w:tab w:leader="none" w:pos="108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Your Right to Receive the Shares Underlying your ADSs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ADS holders have the right to cancel their ADSs and withdraw the underlying shares at any time except:</w:t>
      </w:r>
    </w:p>
    <w:p>
      <w:pPr>
        <w:spacing w:after="0" w:line="131" w:lineRule="exact"/>
        <w:rPr>
          <w:sz w:val="20"/>
          <w:szCs w:val="20"/>
          <w:color w:val="auto"/>
        </w:rPr>
      </w:pPr>
    </w:p>
    <w:p>
      <w:pPr>
        <w:ind w:left="1080" w:right="80" w:hanging="532"/>
        <w:spacing w:after="0" w:line="308" w:lineRule="auto"/>
        <w:tabs>
          <w:tab w:leader="none" w:pos="1080" w:val="left"/>
        </w:tabs>
        <w:numPr>
          <w:ilvl w:val="0"/>
          <w:numId w:val="119"/>
        </w:numPr>
        <w:rPr>
          <w:rFonts w:ascii="Arial" w:cs="Arial" w:eastAsia="Arial" w:hAnsi="Arial"/>
          <w:sz w:val="17"/>
          <w:szCs w:val="17"/>
          <w:color w:val="32406B"/>
        </w:rPr>
      </w:pPr>
      <w:r>
        <w:rPr>
          <w:rFonts w:ascii="Arial" w:cs="Arial" w:eastAsia="Arial" w:hAnsi="Arial"/>
          <w:sz w:val="17"/>
          <w:szCs w:val="17"/>
          <w:color w:val="32406B"/>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32406B"/>
        </w:rPr>
      </w:pPr>
    </w:p>
    <w:p>
      <w:pPr>
        <w:ind w:left="1080" w:hanging="532"/>
        <w:spacing w:after="0"/>
        <w:tabs>
          <w:tab w:leader="none" w:pos="1080" w:val="left"/>
        </w:tabs>
        <w:numPr>
          <w:ilvl w:val="0"/>
          <w:numId w:val="119"/>
        </w:numPr>
        <w:rPr>
          <w:rFonts w:ascii="Arial" w:cs="Arial" w:eastAsia="Arial" w:hAnsi="Arial"/>
          <w:sz w:val="18"/>
          <w:szCs w:val="18"/>
          <w:color w:val="32406B"/>
        </w:rPr>
      </w:pPr>
      <w:r>
        <w:rPr>
          <w:rFonts w:ascii="Arial" w:cs="Arial" w:eastAsia="Arial" w:hAnsi="Arial"/>
          <w:sz w:val="18"/>
          <w:szCs w:val="18"/>
          <w:color w:val="32406B"/>
        </w:rPr>
        <w:t>when you owe money to pay fees, taxes and similar charges; or</w:t>
      </w:r>
    </w:p>
    <w:p>
      <w:pPr>
        <w:spacing w:after="0" w:line="130" w:lineRule="exact"/>
        <w:rPr>
          <w:rFonts w:ascii="Arial" w:cs="Arial" w:eastAsia="Arial" w:hAnsi="Arial"/>
          <w:sz w:val="18"/>
          <w:szCs w:val="18"/>
          <w:color w:val="32406B"/>
        </w:rPr>
      </w:pPr>
    </w:p>
    <w:p>
      <w:pPr>
        <w:ind w:left="1080" w:right="300" w:hanging="532"/>
        <w:spacing w:after="0" w:line="277" w:lineRule="auto"/>
        <w:tabs>
          <w:tab w:leader="none" w:pos="1080" w:val="left"/>
        </w:tabs>
        <w:numPr>
          <w:ilvl w:val="0"/>
          <w:numId w:val="119"/>
        </w:numPr>
        <w:rPr>
          <w:rFonts w:ascii="Arial" w:cs="Arial" w:eastAsia="Arial" w:hAnsi="Arial"/>
          <w:sz w:val="18"/>
          <w:szCs w:val="18"/>
          <w:color w:val="32406B"/>
        </w:rPr>
      </w:pPr>
      <w:r>
        <w:rPr>
          <w:rFonts w:ascii="Arial" w:cs="Arial" w:eastAsia="Arial" w:hAnsi="Arial"/>
          <w:sz w:val="18"/>
          <w:szCs w:val="18"/>
          <w:color w:val="32406B"/>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Direct Registration System</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32406B"/>
        </w:rPr>
        <w:t>In the deposit agreement, all parties to the deposit agreement acknowledge that the Direct Registration System, also referred to as DRS, and Profile Modification System, also referred to as Profile, will apply to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193</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32406B"/>
        </w:rPr>
        <w:t>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Shareholder communications; inspection of register of holders of ADSs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32406B"/>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Jury Trial Waiver</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32406B"/>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194</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32406B"/>
        </w:rPr>
        <w:t>SHARES ELIGIBLE FOR FUTURE SALE</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Upon completion of this offering, we will have 43,590,000 ADSs outstanding, representing 43,590,000 Class A ordinary shares, or approximately 7.8% of our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the ADSs in the public market could adversely affect prevailing market prices of the ADSs. Prior to this offering, there has been no public market for our Class A ordinary shares or the ADSs, and while the ADSs have been approved for listing on the NYSE, we cannot assure you that a regular trading market will develop in the ADSs.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Lock-up Agreements</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32406B"/>
        </w:rPr>
        <w:t>We, our directors, executive officers and existing shareholders have agreed, subject to some exceptions, not to transfer or dispose of, directly or indirectly, any of our ordinary shares, in the form of ADSs or otherwise, or any securities convertible into or exchangeable or exercisable for our ordinary shares, in the form of ADSs or otherwise, for a period of 180 days (or one year for Tencent Mobility Limited, one of our shareholders) after the date of this prospectus.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Rule 144</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32406B"/>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affiliates may sell within any three-month period a number of restricted shares that does not exceed the greater of the following:</w:t>
      </w:r>
    </w:p>
    <w:p>
      <w:pPr>
        <w:spacing w:after="0" w:line="131" w:lineRule="exact"/>
        <w:rPr>
          <w:sz w:val="20"/>
          <w:szCs w:val="20"/>
          <w:color w:val="auto"/>
        </w:rPr>
      </w:pPr>
    </w:p>
    <w:p>
      <w:pPr>
        <w:ind w:left="1080" w:right="180" w:hanging="532"/>
        <w:spacing w:after="0" w:line="263" w:lineRule="auto"/>
        <w:tabs>
          <w:tab w:leader="none" w:pos="1080" w:val="left"/>
        </w:tabs>
        <w:numPr>
          <w:ilvl w:val="0"/>
          <w:numId w:val="120"/>
        </w:numPr>
        <w:rPr>
          <w:rFonts w:ascii="Arial" w:cs="Arial" w:eastAsia="Arial" w:hAnsi="Arial"/>
          <w:sz w:val="18"/>
          <w:szCs w:val="18"/>
          <w:color w:val="32406B"/>
        </w:rPr>
      </w:pPr>
      <w:r>
        <w:rPr>
          <w:rFonts w:ascii="Arial" w:cs="Arial" w:eastAsia="Arial" w:hAnsi="Arial"/>
          <w:sz w:val="18"/>
          <w:szCs w:val="18"/>
          <w:color w:val="32406B"/>
        </w:rPr>
        <w:t>1% of the then outstanding Class A ordinary shares of the same class, in the form of ADSs or otherwise, which will equal approximately 435,900 Class A ordinary shares immediately after this offering, assuming the underwriters do not exercise their option to purchase additional ADSs; or</w:t>
      </w:r>
    </w:p>
    <w:p>
      <w:pPr>
        <w:spacing w:after="0" w:line="89"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120"/>
        </w:numPr>
        <w:rPr>
          <w:rFonts w:ascii="Arial" w:cs="Arial" w:eastAsia="Arial" w:hAnsi="Arial"/>
          <w:sz w:val="18"/>
          <w:szCs w:val="18"/>
          <w:color w:val="32406B"/>
        </w:rPr>
      </w:pPr>
      <w:r>
        <w:rPr>
          <w:rFonts w:ascii="Arial" w:cs="Arial" w:eastAsia="Arial" w:hAnsi="Arial"/>
          <w:sz w:val="18"/>
          <w:szCs w:val="18"/>
          <w:color w:val="32406B"/>
        </w:rPr>
        <w:t>the average weekly trading volume of our Class A ordinary shares in the form of ADSs or otherwise on the NYSE during the four calendar weeks preceding the date on which notice of the sale is filed with the SEC.</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32406B"/>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32406B"/>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Rule 701</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32406B"/>
        </w:rPr>
        <w:t>In general, under Rule 701 of the Securities Act as currently in effect, each of our employees, consultants or advisors who purchases our ordinary shares from us in connection with a compensatory stock or option plan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195</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32406B"/>
        </w:rPr>
        <w:t>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56" w:lineRule="exact"/>
        <w:rPr>
          <w:sz w:val="20"/>
          <w:szCs w:val="20"/>
          <w:color w:val="auto"/>
        </w:rPr>
      </w:pPr>
    </w:p>
    <w:p>
      <w:pPr>
        <w:ind w:left="5480"/>
        <w:spacing w:after="0"/>
        <w:rPr>
          <w:sz w:val="20"/>
          <w:szCs w:val="20"/>
          <w:color w:val="auto"/>
        </w:rPr>
      </w:pPr>
      <w:r>
        <w:rPr>
          <w:rFonts w:ascii="Arial" w:cs="Arial" w:eastAsia="Arial" w:hAnsi="Arial"/>
          <w:sz w:val="18"/>
          <w:szCs w:val="18"/>
          <w:color w:val="32406B"/>
        </w:rPr>
        <w:t>196</w:t>
      </w:r>
    </w:p>
    <w:p>
      <w:pPr>
        <w:sectPr>
          <w:pgSz w:w="11900" w:h="16838" w:orient="portrait"/>
          <w:cols w:equalWidth="0" w:num="1">
            <w:col w:w="10620"/>
          </w:cols>
          <w:pgMar w:left="320" w:top="459" w:right="9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32406B"/>
        </w:rPr>
        <w:t>TAXATION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32406B"/>
        </w:rPr>
        <w:t>The following discussion of Cayman Islands, PRC and United States federal income tax consequences of an investment in the ADSs or Class A ordinary shares is based upon laws and relevant interpretations thereof in effect as of the date of this prospectus, all of which are subject to change. This discussion does not deal with all possible tax consequences relating to an investment in the ADSs or Class A ordinary shares, such as the tax consequences under state, local and other tax laws. To the extent that the discussion relates to matters of Cayman Islands tax law, it represents the opinion of Maples and Calder (Hong Kong) LLP, our Cayman Islands counsel. To the extent that the discussion relates to matters of PRC tax law, it represents the opinion of Jia Yuan Law Offices, our PRC legal counsel.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Cayman Islands Taxation</w:t>
      </w:r>
    </w:p>
    <w:p>
      <w:pPr>
        <w:spacing w:after="0" w:line="121"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32406B"/>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6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32406B"/>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People’s Republic of China Taxation</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32406B"/>
        </w:rPr>
        <w:t>Under the PRC EIT Law, which became effective on January 1, 2008 and amended on February 24, 2017,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17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32406B"/>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197</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In addition, non-resident enterprise shareholders (including the ADS holders) may be subject to PRC tax on gains realized on the sale or other disposition of ADSs or Class A ordinary shares, if such income is treated as sourced from within the PRC. Furthermore, if we are deemed a PRC resident enterprise, dividends paid to our non-PRC individual shareholders (including the ADS holders) and any gain realized on the transfer of ADSs or Class A ordinary shares by such shareholders may be subject to PRC tax at a rate of 20% (which, in the case of dividends, may be withheld at source by us). These rates may be reduced by an applicable tax treaty, but it is unclear whether non-PRC shareholders of our company would be able to obtain the benefits of any tax treaties between their country of tax residence and the PRC in the event that we are treated as a PRC resident enterprise. See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Material U.S. Federal Income Tax Considerations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32406B"/>
        </w:rPr>
        <w:t>The following are material U.S. federal income tax consequences to the U.S. Holders described below of owning and disposing of ADSs or Class A ordinary shares, but it does not purport to be a comprehensive description of all of the tax considerations that may be relevant to a particular person’s decision to acquire ADSs. This discussion applies only to a U.S. Holder that acquires ADSs in this offering and that holds the ADSs or Class A ordinary shares as capital assets for U.S. federal income tax purposes. In addition, it does not describe all of the tax consequences that may be relevant in light of a U.S. Holder’s particular circumstances, including alternative minimum tax or Medicare contribution tax consequences, and tax consequences applicable to U.S. Holders subject to special rules, such as:</w:t>
      </w:r>
    </w:p>
    <w:p>
      <w:pPr>
        <w:spacing w:after="0" w:line="83"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certain financial institutions;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dealers or traders in securities that use a mark-to-market method of tax accounting;</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1"/>
        </w:numPr>
        <w:rPr>
          <w:rFonts w:ascii="Arial" w:cs="Arial" w:eastAsia="Arial" w:hAnsi="Arial"/>
          <w:sz w:val="16"/>
          <w:szCs w:val="16"/>
          <w:color w:val="32406B"/>
        </w:rPr>
      </w:pPr>
      <w:r>
        <w:rPr>
          <w:rFonts w:ascii="Arial" w:cs="Arial" w:eastAsia="Arial" w:hAnsi="Arial"/>
          <w:sz w:val="16"/>
          <w:szCs w:val="16"/>
          <w:color w:val="32406B"/>
        </w:rPr>
        <w:t>persons holding ADSs or Class A ordinary shares as part of a straddle, conversion transaction, integrated transaction or similar transaction;</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persons whose functional currency for U.S. federal income tax purposes is not the U.S. dollar;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entities classified as partnerships for U.S. federal income tax purposes (and investors therein);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tax-exempt entities, “individual retirement accounts” or “Roth IRAs”;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persons that own or are deemed to own 10% or more of our stock by vote or value; 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persons holding ADSs or Class A ordinary shares in connection with a trade or business conducted outside the United States.</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If an entity that is classified as a partnership for U.S. federal income tax purposes owns ADSs or Class A ordinary shares, the U.S. federal income tax treatment of its partners will generally depend on the status of its partners and the activities of the partnership. Partnerships owning ADSs or Class A ordinary shares and their partners should consult their tax advisers as to the particular U.S. federal income tax consequences of owning and disposing of ADSs or Class A ordinary shares.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32406B"/>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198</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32406B"/>
        </w:rPr>
        <w:t>For purposes of this discussion, a “U.S. Holder” is a person that is for U.S. federal income tax purposes a beneficial owner of ADSs or Class A ordinary shares and:</w:t>
      </w:r>
    </w:p>
    <w:p>
      <w:pPr>
        <w:spacing w:after="0" w:line="76"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32406B"/>
        </w:rPr>
      </w:pPr>
      <w:r>
        <w:rPr>
          <w:rFonts w:ascii="Arial" w:cs="Arial" w:eastAsia="Arial" w:hAnsi="Arial"/>
          <w:sz w:val="18"/>
          <w:szCs w:val="18"/>
          <w:color w:val="32406B"/>
        </w:rPr>
        <w:t>a citizen or individual resident of the United States;</w:t>
      </w:r>
    </w:p>
    <w:p>
      <w:pPr>
        <w:spacing w:after="0" w:line="130" w:lineRule="exact"/>
        <w:rPr>
          <w:rFonts w:ascii="Arial" w:cs="Arial" w:eastAsia="Arial" w:hAnsi="Arial"/>
          <w:sz w:val="18"/>
          <w:szCs w:val="18"/>
          <w:color w:val="32406B"/>
        </w:rPr>
      </w:pPr>
    </w:p>
    <w:p>
      <w:pPr>
        <w:ind w:left="1080" w:right="220" w:hanging="532"/>
        <w:spacing w:after="0" w:line="277" w:lineRule="auto"/>
        <w:tabs>
          <w:tab w:leader="none" w:pos="1080" w:val="left"/>
        </w:tabs>
        <w:numPr>
          <w:ilvl w:val="0"/>
          <w:numId w:val="122"/>
        </w:numPr>
        <w:rPr>
          <w:rFonts w:ascii="Arial" w:cs="Arial" w:eastAsia="Arial" w:hAnsi="Arial"/>
          <w:sz w:val="18"/>
          <w:szCs w:val="18"/>
          <w:color w:val="32406B"/>
        </w:rPr>
      </w:pPr>
      <w:r>
        <w:rPr>
          <w:rFonts w:ascii="Arial" w:cs="Arial" w:eastAsia="Arial" w:hAnsi="Arial"/>
          <w:sz w:val="18"/>
          <w:szCs w:val="18"/>
          <w:color w:val="32406B"/>
        </w:rPr>
        <w:t>a corporation, or other entity taxable as a corporation, created or organized in or under the laws of the United States, any state therein or the District of Columbia; or a</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22"/>
        </w:numPr>
        <w:rPr>
          <w:rFonts w:ascii="Arial" w:cs="Arial" w:eastAsia="Arial" w:hAnsi="Arial"/>
          <w:sz w:val="18"/>
          <w:szCs w:val="18"/>
          <w:color w:val="32406B"/>
        </w:rPr>
      </w:pPr>
      <w:r>
        <w:rPr>
          <w:rFonts w:ascii="Arial" w:cs="Arial" w:eastAsia="Arial" w:hAnsi="Arial"/>
          <w:sz w:val="18"/>
          <w:szCs w:val="18"/>
          <w:color w:val="32406B"/>
        </w:rPr>
        <w:t>an estate or trust the income of which is subject to U.S. federal income taxation regardless of its source.</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32406B"/>
        </w:rPr>
        <w:t>In general, a U.S. Holder who owns ADSs will be treated as the owner of the underlying Class A ordinary shares represented by those ADSs for U.S. federal income tax purposes. Accordingly, no gain or loss will be recognized if a U.S. Holder exchanges ADSs for the underlying Class A ordinary shares represented by those ADSs.</w:t>
      </w:r>
    </w:p>
    <w:p>
      <w:pPr>
        <w:spacing w:after="0" w:line="184"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32406B"/>
        </w:rPr>
        <w:t>This discussion does not address the effects of any state, local or non-U.S. tax laws, or any U.S. federal taxes other than income taxes (such as U.S. federal estate or gift tax consequences). U.S. Holders should consult their tax advisers concerning the U.S. federal, state, local and non-U.S. tax consequences of owning and disposing of ADSs or Class A ordinary shares in their particular circumstances.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Taxation of Distributions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This discussion is subject to the discussion under “—</w:t>
      </w:r>
      <w:r>
        <w:rPr>
          <w:rFonts w:ascii="Arial" w:cs="Arial" w:eastAsia="Arial" w:hAnsi="Arial"/>
          <w:sz w:val="18"/>
          <w:szCs w:val="18"/>
          <w:i w:val="1"/>
          <w:iCs w:val="1"/>
          <w:color w:val="32406B"/>
        </w:rPr>
        <w:t>Passive Foreign Investment Company Rules</w:t>
      </w:r>
      <w:r>
        <w:rPr>
          <w:rFonts w:ascii="Arial" w:cs="Arial" w:eastAsia="Arial" w:hAnsi="Arial"/>
          <w:sz w:val="18"/>
          <w:szCs w:val="18"/>
          <w:color w:val="32406B"/>
        </w:rPr>
        <w:t>” below.</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32406B"/>
        </w:rPr>
        <w:t xml:space="preserve">Distributions other than certain </w:t>
      </w:r>
      <w:r>
        <w:rPr>
          <w:rFonts w:ascii="Arial" w:cs="Arial" w:eastAsia="Arial" w:hAnsi="Arial"/>
          <w:sz w:val="16"/>
          <w:szCs w:val="16"/>
          <w:i w:val="1"/>
          <w:iCs w:val="1"/>
          <w:color w:val="32406B"/>
        </w:rPr>
        <w:t>pro rata</w:t>
      </w:r>
      <w:r>
        <w:rPr>
          <w:rFonts w:ascii="Arial" w:cs="Arial" w:eastAsia="Arial" w:hAnsi="Arial"/>
          <w:sz w:val="16"/>
          <w:szCs w:val="16"/>
          <w:color w:val="32406B"/>
        </w:rPr>
        <w:t xml:space="preserve">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for U.S. federal income tax purposes. Dividends will not be eligible for the dividends-received deduction generally available to U.S. corporations under the Code. Subject to applicable limitations, dividends paid on our ADSs to certain non-corporate U.S. Holders may be taxable at a favorable rate.</w:t>
      </w:r>
    </w:p>
    <w:p>
      <w:pPr>
        <w:spacing w:after="0" w:line="16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32406B"/>
        </w:rPr>
        <w:t>Dividends will be included in a U.S. Holder’s income generally on the date of the U.S. Holder’s, or in the case of ADSs, the Depositary’s, receipt. The amount of any dividend income paid in currency other than U.S. dollars will be the U.S. dollar amount calculated by reference to the spot rate in effect on the date of receipt, regardless of whether the payment is in fact converted into U.S. dollars on that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6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32406B"/>
        </w:rPr>
        <w:t>Dividends generally will be treated as “passive category” foreign-source income for foreign tax credit purposes. As described in “—</w:t>
      </w:r>
      <w:r>
        <w:rPr>
          <w:rFonts w:ascii="Arial" w:cs="Arial" w:eastAsia="Arial" w:hAnsi="Arial"/>
          <w:sz w:val="18"/>
          <w:szCs w:val="18"/>
          <w:i w:val="1"/>
          <w:iCs w:val="1"/>
          <w:color w:val="32406B"/>
        </w:rPr>
        <w:t>People’s</w:t>
      </w:r>
      <w:r>
        <w:rPr>
          <w:rFonts w:ascii="Arial" w:cs="Arial" w:eastAsia="Arial" w:hAnsi="Arial"/>
          <w:sz w:val="18"/>
          <w:szCs w:val="18"/>
          <w:color w:val="32406B"/>
        </w:rPr>
        <w:t xml:space="preserve"> </w:t>
      </w:r>
      <w:r>
        <w:rPr>
          <w:rFonts w:ascii="Arial" w:cs="Arial" w:eastAsia="Arial" w:hAnsi="Arial"/>
          <w:sz w:val="18"/>
          <w:szCs w:val="18"/>
          <w:i w:val="1"/>
          <w:iCs w:val="1"/>
          <w:color w:val="32406B"/>
        </w:rPr>
        <w:t>Republic of China Taxation</w:t>
      </w:r>
      <w:r>
        <w:rPr>
          <w:rFonts w:ascii="Arial" w:cs="Arial" w:eastAsia="Arial" w:hAnsi="Arial"/>
          <w:sz w:val="18"/>
          <w:szCs w:val="18"/>
          <w:color w:val="32406B"/>
        </w:rPr>
        <w:t>,” dividends paid by the Company may be subject to PRC withholding tax. For U.S. federal income tax purposes, the amount</w:t>
      </w:r>
      <w:r>
        <w:rPr>
          <w:rFonts w:ascii="Arial" w:cs="Arial" w:eastAsia="Arial" w:hAnsi="Arial"/>
          <w:sz w:val="18"/>
          <w:szCs w:val="18"/>
          <w:i w:val="1"/>
          <w:iCs w:val="1"/>
          <w:color w:val="32406B"/>
        </w:rPr>
        <w:t xml:space="preserve"> </w:t>
      </w:r>
      <w:r>
        <w:rPr>
          <w:rFonts w:ascii="Arial" w:cs="Arial" w:eastAsia="Arial" w:hAnsi="Arial"/>
          <w:sz w:val="18"/>
          <w:szCs w:val="18"/>
          <w:color w:val="32406B"/>
        </w:rPr>
        <w:t>of the dividend income will include amounts withheld in respect of any PRC withholding tax. Subject to applicable limitations, which vary depending upon the U.S. Holder’s circumstances, PRC taxes withheld from dividend payments (at a rate not exceeding the applicable rate provided in the Treaty in the case of a U.S. Holder that is eligible for the benefits of the Treaty) generally will be creditable against the U.S. Holder’s U.S. federal income tax liability. The rules governing foreign tax credits are complex and U.S. Holders should consult their tax advisers regarding the creditability of foreign tax credits in their particular circumstances. In lieu of claiming a credit, a U.S. Holder may elect to deduct such PRC taxes in computing its taxable income, subject to applicable limitations. An election to deduct foreign taxes instead of claiming foreign tax credits applies to all foreign taxes paid or accrued in the taxable year.</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Sale or Other Disposition of ADSs or Class A Ordinary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This discussion is subject to the discussion under “—</w:t>
      </w:r>
      <w:r>
        <w:rPr>
          <w:rFonts w:ascii="Arial" w:cs="Arial" w:eastAsia="Arial" w:hAnsi="Arial"/>
          <w:sz w:val="18"/>
          <w:szCs w:val="18"/>
          <w:i w:val="1"/>
          <w:iCs w:val="1"/>
          <w:color w:val="32406B"/>
        </w:rPr>
        <w:t>Passive Foreign Investment Company Rules</w:t>
      </w:r>
      <w:r>
        <w:rPr>
          <w:rFonts w:ascii="Arial" w:cs="Arial" w:eastAsia="Arial" w:hAnsi="Arial"/>
          <w:sz w:val="18"/>
          <w:szCs w:val="18"/>
          <w:color w:val="32406B"/>
        </w:rPr>
        <w:t>” below.</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199</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32406B"/>
        </w:rPr>
        <w:t>For U.S. federal income tax purposes, gain or loss realized on the sale or other taxable disposition of ADSs or Class A ordinary shares will be capital gain or loss, and will be long-term capital gain or loss if the U.S. Holder held the ADSs or Class A ordinary shares for more than one year. The amount of the gain or loss will equal the difference between the U.S. Holder’s tax basis in the ADSs or Class A ordinary shares disposed of and the amount realized on the disposition, in each case as determined in U.S. dollars.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32406B"/>
        </w:rPr>
        <w:t>As described in “—</w:t>
      </w:r>
      <w:r>
        <w:rPr>
          <w:rFonts w:ascii="Arial" w:cs="Arial" w:eastAsia="Arial" w:hAnsi="Arial"/>
          <w:sz w:val="18"/>
          <w:szCs w:val="18"/>
          <w:i w:val="1"/>
          <w:iCs w:val="1"/>
          <w:color w:val="32406B"/>
        </w:rPr>
        <w:t>People’s Republic of China Taxation</w:t>
      </w:r>
      <w:r>
        <w:rPr>
          <w:rFonts w:ascii="Arial" w:cs="Arial" w:eastAsia="Arial" w:hAnsi="Arial"/>
          <w:sz w:val="18"/>
          <w:szCs w:val="18"/>
          <w:color w:val="32406B"/>
        </w:rPr>
        <w:t>” above, gains on the sale of ADSs or Class A ordinary shares may be subject to PRC taxes if we are treated as a PRC resident enterprise for PRC tax purposes. A U.S. Holder will be entitled to use foreign tax credits to offset only the portion of its U.S. federal income tax liability that is attributable to foreign-source income. Because under the Code capital gains of U.S. persons are generally treated as U.S.-source income, this limitation may preclude a U.S. Holder from claiming a credit for all or a portion of any PRC taxes imposed on any such gains. However, U.S. Holders that are eligible for the benefits of the Treaty may be able to elect to treat the gain as PRC-source income for foreign tax credit purposes and therefore claim foreign tax credits in respect of PRC taxes on disposition gains. U.S. Holders should consult their tax advisers regarding their eligibility for the benefits of the Treaty and the creditability of any PRC tax on disposition gains in their particular circumstances.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Passive Foreign Investment Company Rules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32406B"/>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generally a passive asset for these purposes. The value of a company’s goodwill is an active asset under the PFIC rules to the extent attributable to activities that produce active income.</w:t>
      </w:r>
    </w:p>
    <w:p>
      <w:pPr>
        <w:spacing w:after="0" w:line="19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32406B"/>
        </w:rPr>
        <w:t>Based on the expected composition of our income and assets and the value of our assets, including goodwill, which is based on the expected price of the ADSs in this offering, we do not expect to be a PFIC for our current taxable year or in the foreseeable future. However, our PFIC status for any taxable year is an annual determination that can be made only after the end of that year and will depend on the composition of our income and assets and the value of our assets from time to time (which may be determined, in large part, by reference to the market price of the ADSs, which could be volatile). Furthermore, we will hold a substantial amount of cash following this offering and therefore our risk of being a PFIC for any taxable year will increase if our market capitalization declines. Moreover, it is not entirely clear how the contractual arrangements between us and our VIE will be treated for purposes of the PFIC rules, and we may be or become a PFIC if our VIE is not treated as owned by us for these purposes. Accordingly, there can be no assurance that we will not be a PFIC for our current or any future taxable year.</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32406B"/>
        </w:rPr>
        <w:t>If we are a PFIC for any taxable year and any entity in which we own or are treated as owning equity interests (including our VIE) is also a PFIC (any such entity, a “Lower-tier PFIC”), a U.S. Holder will be deemed to own a proportionate amount (by value) of the shares of each Lower-tier PFIC and will be subject to U.S. federal income tax according to the rules described in the subsequent paragraph on (i) certain distributions by a Lower-tier PFIC and (ii) dispositions of shares of Lower-tier PFICs, in each case as if the U.S. Holder held such shares directly, even though the U.S. Holder will not receive the proceeds of those distributions or dispositions.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32406B"/>
        </w:rPr>
        <w:t>In general, if we are a PFIC for any taxable year during which a U.S. Holder holds ADSs or Class A ordinary shares, gain recognized by such U.S. Holder on a sale or other disposition (including certain pledges) of its ADSs or Class A ordinary shares will be allocated ratably over that U.S. Holder’s holding period. The amounts allocated to the taxable year of the sale or disposition and to any year before we became a PFIC will be taxed as ordinary income. The amount allocated to each other taxable year will be subject to tax at the highest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200</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32406B"/>
        </w:rPr>
        <w:t>rate in effect for individuals or corporations, as appropriate, for that taxable year, and an interest charge will be imposed on the resulting tax liability for each such year. Furthermore, to the extent that distributions received by a U.S. Holder in any year on its ADSs or Class A ordinary shares exceed 125% of the average of the annual distributions on the ADSs or Class A ordinary shares received during the preceding three taxable years or the U.S. Holder’s holding period for the ADSs or Class A ordinary shares, whichever is shorter, such distributions will be subject to taxation in the same manner. If we are a PFIC for any taxable year during which a U.S. Holder owned ADSs or Class A ordinary shares, we will generally continue to be treated as a PFIC with respect to the U.S. Holder for all succeeding years during which the U.S. Holder owned ADSs or Class A ordinary shares, even if we cease to meet the threshold requirements for PFIC status, unless the U.S. Holder makes a timely “deemed sale” election, in which case any gain on the deemed sale will be taxed under the PFIC rules described above.</w:t>
      </w:r>
    </w:p>
    <w:p>
      <w:pPr>
        <w:spacing w:after="0" w:line="17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32406B"/>
        </w:rPr>
        <w:t xml:space="preserve">Alternatively, if we are a PFIC and if the ADSs are “regularly traded” on a “qualified exchange,” as defined in applicable Treasury regulations, a U.S. Holder could make a mark-to-market election that will result in tax treatment different from the general tax treatment for PFICs described in the preceding paragraph. The ADSs will be treated as “regularly traded” for any calendar year in which more than a </w:t>
      </w:r>
      <w:r>
        <w:rPr>
          <w:rFonts w:ascii="Arial" w:cs="Arial" w:eastAsia="Arial" w:hAnsi="Arial"/>
          <w:sz w:val="17"/>
          <w:szCs w:val="17"/>
          <w:i w:val="1"/>
          <w:iCs w:val="1"/>
          <w:color w:val="32406B"/>
        </w:rPr>
        <w:t>de minimis</w:t>
      </w:r>
      <w:r>
        <w:rPr>
          <w:rFonts w:ascii="Arial" w:cs="Arial" w:eastAsia="Arial" w:hAnsi="Arial"/>
          <w:sz w:val="17"/>
          <w:szCs w:val="17"/>
          <w:color w:val="32406B"/>
        </w:rPr>
        <w:t xml:space="preserve"> quantity of the ADSs are traded on a qualified exchange on at least 15 days during each calendar quarter. NYSE, where our ADSs are expected to be listed, is a qualified exchange for this purpose. If a U.S. Holder makes the mark-to-market election, the U.S. Holder generally will recognize as ordinary income any excess of the fair market value of the ADSs at the end of each taxable year in which we are a PFIC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year when the Company is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w:t>
      </w:r>
      <w:r>
        <w:rPr>
          <w:rFonts w:ascii="Arial" w:cs="Arial" w:eastAsia="Arial" w:hAnsi="Arial"/>
          <w:sz w:val="17"/>
          <w:szCs w:val="17"/>
          <w:i w:val="1"/>
          <w:iCs w:val="1"/>
          <w:color w:val="32406B"/>
        </w:rPr>
        <w:t>Taxation of Distributions</w:t>
      </w:r>
      <w:r>
        <w:rPr>
          <w:rFonts w:ascii="Arial" w:cs="Arial" w:eastAsia="Arial" w:hAnsi="Arial"/>
          <w:sz w:val="17"/>
          <w:szCs w:val="17"/>
          <w:color w:val="32406B"/>
        </w:rPr>
        <w:t>” above, but subject to the discussion in the following paragraph. There is no law, regulation or administrative guidance that provides for a right to apply a mark-to-market treatment to any Lower-tier PFIC that is not publicly traded. Therefore, if we are a PFIC for any taxable year, U.S. Holders could be subject to the general PFIC rules described in the preceding paragraph with respect to any Lower-tier PFIC even if they made a mark-to-market election with respect to us.</w:t>
      </w:r>
    </w:p>
    <w:p>
      <w:pPr>
        <w:spacing w:after="0" w:line="18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32406B"/>
        </w:rPr>
        <w:t>If we are a PFIC (or with respect to a particular U.S. Holder are treated as a PFIC) for a taxable year in which we pay a dividend or for the prior taxable year, the favorable tax rate described above with respect to dividends paid to certain non-corporate U.S. Holders will not apply.</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32406B"/>
        </w:rPr>
        <w:t>We do not intend to provide the information that will otherwise enable U.S. Holders to make a “qualified electing fund election,” which will have resulted in alternate treatment if we are a PFIC for any taxable year.</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32406B"/>
        </w:rPr>
        <w:t>If we are a PFIC for any taxable year during which a U.S. Holder owned any ADSs or Class A ordinary shares, the U.S. Holder will generally be required to file annual reports with the Internal Revenue Service.</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32406B"/>
        </w:rPr>
        <w:t>U.S. Holders should consult their tax advisers regarding the determination of whether we are a PFIC for any taxable year and the potential application of the PFIC rules to their ownership of ADSs or Class A ordinary shares.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Information Reporting and Backup Withholding</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32406B"/>
        </w:rPr>
        <w:t>Payments of dividends and sales proceeds from the sale or exchange of our ADSs or Class A ordinary shares, that are made within the United States or through certain U.S.-related financial intermediaries generally are subject to information reporting, and may be subject to backup withholding, unless (i) the U.S. Holder is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201</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32406B"/>
        </w:rPr>
        <w:t>corporation or other exempt recipient or (ii) in the case of backup withholding, the U.S. Holder provides a correct taxpayer identification number and certifies that it is not subject to backup withholding, generally on Internal Revenue Service Form W-9.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Internal Revenue Service.</w:t>
      </w:r>
    </w:p>
    <w:p>
      <w:pPr>
        <w:spacing w:after="0" w:line="17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32406B"/>
        </w:rPr>
        <w:t>Certain U.S. Holders who are individuals (or certain specified entities) may be required to report information relating to their ownership of ADSs or Class A ordinary shares, or non-U.S. accounts through which ADSs or Class A ordinary shares are held. U.S. Holders should consult their tax advisers regarding their reporting obligations with respect to the ADSs or Class A ordinary shares.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32406B"/>
        </w:rPr>
        <w:t>A holder that is not a U.S. Holder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202</w:t>
      </w:r>
    </w:p>
    <w:p>
      <w:pPr>
        <w:sectPr>
          <w:pgSz w:w="11900" w:h="16838" w:orient="portrait"/>
          <w:cols w:equalWidth="0" w:num="1">
            <w:col w:w="11060"/>
          </w:cols>
          <w:pgMar w:left="320" w:top="459" w:right="5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UNDERWRITING</w:t>
      </w:r>
    </w:p>
    <w:p>
      <w:pPr>
        <w:spacing w:after="0" w:line="229"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32406B"/>
        </w:rPr>
        <w:t>Under the terms and subject to the conditions in an underwriting agreement dated the date of this prospectus, the underwriters named below, for whom Morgan Stanley &amp; Co. LLC, BofA Securities, Inc. and China International Capital Corporation Hong Kong Securities Limited are acting as representatives, have severally agreed to purchase, and we have agreed to sell to them, severally, the number of ADSs indicated below:</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140" w:type="dxa"/>
            <w:vAlign w:val="bottom"/>
            <w:gridSpan w:val="3"/>
            <w:vMerge w:val="restart"/>
          </w:tcPr>
          <w:p>
            <w:pPr>
              <w:ind w:left="3800"/>
              <w:spacing w:after="0"/>
              <w:rPr>
                <w:sz w:val="20"/>
                <w:szCs w:val="20"/>
                <w:color w:val="auto"/>
              </w:rPr>
            </w:pPr>
            <w:r>
              <w:rPr>
                <w:rFonts w:ascii="Arial" w:cs="Arial" w:eastAsia="Arial" w:hAnsi="Arial"/>
                <w:sz w:val="14"/>
                <w:szCs w:val="14"/>
                <w:b w:val="1"/>
                <w:bCs w:val="1"/>
                <w:color w:val="32406B"/>
              </w:rPr>
              <w:t>Name</w:t>
            </w: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32406B"/>
                <w:w w:val="94"/>
              </w:rPr>
              <w:t>Number of</w:t>
            </w:r>
          </w:p>
        </w:tc>
        <w:tc>
          <w:tcPr>
            <w:tcW w:w="0" w:type="dxa"/>
            <w:vAlign w:val="bottom"/>
          </w:tcPr>
          <w:p>
            <w:pPr>
              <w:spacing w:after="0"/>
              <w:rPr>
                <w:sz w:val="1"/>
                <w:szCs w:val="1"/>
                <w:color w:val="auto"/>
              </w:rPr>
            </w:pPr>
          </w:p>
        </w:tc>
      </w:tr>
      <w:tr>
        <w:trPr>
          <w:trHeight w:val="171"/>
        </w:trPr>
        <w:tc>
          <w:tcPr>
            <w:tcW w:w="8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32406B"/>
                <w:w w:val="90"/>
              </w:rPr>
              <w:t>ADSs</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32406B"/>
              </w:rPr>
              <w:t>Morgan Stanley &amp; Co. LLC</w:t>
            </w:r>
          </w:p>
        </w:tc>
        <w:tc>
          <w:tcPr>
            <w:tcW w:w="3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3"/>
              </w:rPr>
              <w:t>21,271,900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32406B"/>
              </w:rPr>
              <w:t>BofA Securities, Inc.</w:t>
            </w:r>
          </w:p>
        </w:tc>
        <w:tc>
          <w:tcPr>
            <w:tcW w:w="1040" w:type="dxa"/>
            <w:vAlign w:val="bottom"/>
            <w:gridSpan w:val="3"/>
          </w:tcPr>
          <w:p>
            <w:pPr>
              <w:jc w:val="right"/>
              <w:spacing w:after="0"/>
              <w:rPr>
                <w:sz w:val="20"/>
                <w:szCs w:val="20"/>
                <w:color w:val="auto"/>
              </w:rPr>
            </w:pPr>
            <w:r>
              <w:rPr>
                <w:rFonts w:ascii="Arial" w:cs="Arial" w:eastAsia="Arial" w:hAnsi="Arial"/>
                <w:sz w:val="18"/>
                <w:szCs w:val="18"/>
                <w:color w:val="32406B"/>
              </w:rPr>
              <w:t>17,959,100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China International Capital Corporation Hong Kong Securities Limited</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4,358,800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32406B"/>
              </w:rPr>
              <w:t>Tiger Brokers (NZ) Limited</w:t>
            </w:r>
          </w:p>
        </w:tc>
        <w:tc>
          <w:tcPr>
            <w:tcW w:w="1040" w:type="dxa"/>
            <w:vAlign w:val="bottom"/>
            <w:gridSpan w:val="3"/>
          </w:tcPr>
          <w:p>
            <w:pPr>
              <w:jc w:val="right"/>
              <w:spacing w:after="0"/>
              <w:rPr>
                <w:sz w:val="20"/>
                <w:szCs w:val="20"/>
                <w:color w:val="auto"/>
              </w:rPr>
            </w:pPr>
            <w:r>
              <w:rPr>
                <w:rFonts w:ascii="Arial" w:cs="Arial" w:eastAsia="Arial" w:hAnsi="Arial"/>
                <w:sz w:val="18"/>
                <w:szCs w:val="18"/>
                <w:color w:val="32406B"/>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CMB International Capital Limited</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32406B"/>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3"/>
          </w:tcPr>
          <w:p>
            <w:pPr>
              <w:ind w:left="720"/>
              <w:spacing w:after="0"/>
              <w:rPr>
                <w:sz w:val="20"/>
                <w:szCs w:val="20"/>
                <w:color w:val="auto"/>
              </w:rPr>
            </w:pPr>
            <w:r>
              <w:rPr>
                <w:rFonts w:ascii="Arial" w:cs="Arial" w:eastAsia="Arial" w:hAnsi="Arial"/>
                <w:sz w:val="18"/>
                <w:szCs w:val="18"/>
                <w:color w:val="32406B"/>
              </w:rPr>
              <w:t>Total</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32406B"/>
              </w:rPr>
              <w:t>43,590,000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32406B"/>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severally and not jointly, to take and pay for all of the ADSs offered by this prospectus if any such ADSs are taken. However, the underwriters are not required to take or pay for the ADSs covered by the underwriters’ over-allotment option described below.</w:t>
      </w:r>
    </w:p>
    <w:p>
      <w:pPr>
        <w:spacing w:after="0" w:line="19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32406B"/>
        </w:rPr>
        <w:t>The underwriters initially propose to offer part of the ADSs directly to the public at the public offering price listed on the cover page of this prospectus and part to certain dealers. After the initial offering of the ADSs, the offering price and other selling terms may from time to time be varied by the representatives.</w:t>
      </w:r>
    </w:p>
    <w:p>
      <w:pPr>
        <w:spacing w:after="0" w:line="184"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32406B"/>
        </w:rPr>
        <w:t>We have granted to the underwriters an option, exercisable for 30 days from the date of this prospectus, to purchase up to 6,538,500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78"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The following table sets forth the per ADS and total public offering price, underwriting discounts and commissions, and proceeds before expenses to us. These amounts are shown assuming both no exercise and full exercise of the underwriters’ option to purchase up to an additional 6,538,500 ADSs.</w:t>
      </w:r>
    </w:p>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32406B"/>
              </w:rPr>
              <w:t>Per ADS</w:t>
            </w:r>
          </w:p>
        </w:tc>
        <w:tc>
          <w:tcPr>
            <w:tcW w:w="1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32406B"/>
              </w:rPr>
              <w:t>Total</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32406B"/>
              </w:rPr>
              <w:t>No Exercise</w:t>
            </w:r>
          </w:p>
        </w:tc>
        <w:tc>
          <w:tcPr>
            <w:tcW w:w="10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32406B"/>
              </w:rPr>
              <w:t>Full Exercise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32406B"/>
              </w:rPr>
              <w:t>Public offering price</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5"/>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4"/>
              </w:rPr>
              <w:t>21.00</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32406B"/>
                <w:w w:val="85"/>
              </w:rPr>
              <w:t>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915,390,000</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5"/>
              </w:rPr>
              <w:t>US$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1,052,698,500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32406B"/>
              </w:rPr>
              <w:t>Underwriting discounts and</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32406B"/>
              </w:rPr>
              <w:t>commissions to be paid by us</w:t>
            </w:r>
          </w:p>
        </w:tc>
        <w:tc>
          <w:tcPr>
            <w:tcW w:w="1020" w:type="dxa"/>
            <w:vAlign w:val="bottom"/>
            <w:gridSpan w:val="2"/>
          </w:tcPr>
          <w:p>
            <w:pPr>
              <w:jc w:val="right"/>
              <w:spacing w:after="0"/>
              <w:rPr>
                <w:sz w:val="20"/>
                <w:szCs w:val="20"/>
                <w:color w:val="auto"/>
              </w:rPr>
            </w:pPr>
            <w:r>
              <w:rPr>
                <w:rFonts w:ascii="Arial" w:cs="Arial" w:eastAsia="Arial" w:hAnsi="Arial"/>
                <w:sz w:val="18"/>
                <w:szCs w:val="18"/>
                <w:color w:val="32406B"/>
              </w:rPr>
              <w:t>US$</w:t>
            </w:r>
          </w:p>
        </w:tc>
        <w:tc>
          <w:tcPr>
            <w:tcW w:w="400" w:type="dxa"/>
            <w:vAlign w:val="bottom"/>
          </w:tcPr>
          <w:p>
            <w:pPr>
              <w:jc w:val="right"/>
              <w:spacing w:after="0"/>
              <w:rPr>
                <w:sz w:val="20"/>
                <w:szCs w:val="20"/>
                <w:color w:val="auto"/>
              </w:rPr>
            </w:pPr>
            <w:r>
              <w:rPr>
                <w:rFonts w:ascii="Arial" w:cs="Arial" w:eastAsia="Arial" w:hAnsi="Arial"/>
                <w:sz w:val="18"/>
                <w:szCs w:val="18"/>
                <w:color w:val="32406B"/>
              </w:rPr>
              <w:t>0.84</w:t>
            </w:r>
          </w:p>
        </w:tc>
        <w:tc>
          <w:tcPr>
            <w:tcW w:w="1400" w:type="dxa"/>
            <w:vAlign w:val="bottom"/>
            <w:gridSpan w:val="2"/>
          </w:tcPr>
          <w:p>
            <w:pPr>
              <w:ind w:left="1080"/>
              <w:spacing w:after="0"/>
              <w:rPr>
                <w:sz w:val="20"/>
                <w:szCs w:val="20"/>
                <w:color w:val="auto"/>
              </w:rPr>
            </w:pPr>
            <w:r>
              <w:rPr>
                <w:rFonts w:ascii="Arial" w:cs="Arial" w:eastAsia="Arial" w:hAnsi="Arial"/>
                <w:sz w:val="18"/>
                <w:szCs w:val="18"/>
                <w:color w:val="32406B"/>
                <w:w w:val="85"/>
              </w:rPr>
              <w:t>US$</w:t>
            </w:r>
          </w:p>
        </w:tc>
        <w:tc>
          <w:tcPr>
            <w:tcW w:w="920" w:type="dxa"/>
            <w:vAlign w:val="bottom"/>
          </w:tcPr>
          <w:p>
            <w:pPr>
              <w:jc w:val="right"/>
              <w:spacing w:after="0"/>
              <w:rPr>
                <w:sz w:val="20"/>
                <w:szCs w:val="20"/>
                <w:color w:val="auto"/>
              </w:rPr>
            </w:pPr>
            <w:r>
              <w:rPr>
                <w:rFonts w:ascii="Arial" w:cs="Arial" w:eastAsia="Arial" w:hAnsi="Arial"/>
                <w:sz w:val="18"/>
                <w:szCs w:val="18"/>
                <w:color w:val="32406B"/>
                <w:w w:val="99"/>
              </w:rPr>
              <w:t>36,615,600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32406B"/>
              </w:rPr>
              <w:t>US$</w:t>
            </w:r>
          </w:p>
        </w:tc>
        <w:tc>
          <w:tcPr>
            <w:tcW w:w="1040" w:type="dxa"/>
            <w:vAlign w:val="bottom"/>
          </w:tcPr>
          <w:p>
            <w:pPr>
              <w:jc w:val="right"/>
              <w:spacing w:after="0"/>
              <w:rPr>
                <w:sz w:val="20"/>
                <w:szCs w:val="20"/>
                <w:color w:val="auto"/>
              </w:rPr>
            </w:pPr>
            <w:r>
              <w:rPr>
                <w:rFonts w:ascii="Arial" w:cs="Arial" w:eastAsia="Arial" w:hAnsi="Arial"/>
                <w:sz w:val="18"/>
                <w:szCs w:val="18"/>
                <w:color w:val="32406B"/>
              </w:rPr>
              <w:t>42,107,940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32406B"/>
              </w:rPr>
              <w:t>Proceeds, before expenses, to us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US$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4"/>
              </w:rPr>
              <w:t>20.16</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32406B"/>
                <w:w w:val="85"/>
              </w:rPr>
              <w:t>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878,774,400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US$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1,010,590,560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The estimated offering expenses payable by us, exclusive of the underwriting discounts and commissions, are approximately US$4.2 million.</w:t>
      </w:r>
    </w:p>
    <w:p>
      <w:pPr>
        <w:spacing w:after="0" w:line="23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32406B"/>
        </w:rPr>
        <w:t>Some of the underwriters are expected to make offers and sales both inside and outside the U.S. through their respective selling agents. Any offers or sales in the U.S. will be conducted by broker-dealers registered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203</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32406B"/>
        </w:rPr>
        <w:t>the SEC.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the applicable laws and regulations. Tiger Brokers (NZ)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 CMB International Capital Limited is not a broker-dealer registered with the SEC and may not make sales in the United States or to U.S. persons. CMB International Capital Limited has agreed that it does not intend to and will not offer or sell any of the ADSs in the United States or to any U.S. persons in connection with this offering.</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32406B"/>
        </w:rPr>
        <w:t>The address of Morgan Stanley &amp; Co. LLC is 1585 Broadway, New York, NY 10036, United States. The address of BofA Securities, Inc. is One Bryant Park, New York, NY 10036, United States. The address of China International Capital Corporation Hong Kong Securities Limited is 29/F, One International Finance Centre, 1 Harbour View Street, Central, Hong Kong. The address of Tiger Brokers (NZ) Limited is Level 16, 191 Queen Street, Auckland Central, New Zealand, 1010. The address of CMB International Capital Limited is 45F, Champion Tower, 3 Garden Road, Central, Hong Kong.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have been approved for listing the ADSs on the NYSE under the trading symbol “TUYA.”</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32406B"/>
        </w:rPr>
        <w:t>We and all directors and officers and the holders of all of our outstanding shares have agreed that, without the prior written consent of the representatives, we and they will not, during the period ending 180 days (or one year for Tencent Mobility Limited, one of our shareholders) after the date of this prospectus, or the restricted period:</w:t>
      </w:r>
    </w:p>
    <w:p>
      <w:pPr>
        <w:spacing w:after="0" w:line="89" w:lineRule="exact"/>
        <w:rPr>
          <w:sz w:val="20"/>
          <w:szCs w:val="20"/>
          <w:color w:val="auto"/>
        </w:rPr>
      </w:pPr>
    </w:p>
    <w:p>
      <w:pPr>
        <w:ind w:left="1080" w:right="40" w:hanging="532"/>
        <w:spacing w:after="0" w:line="311" w:lineRule="auto"/>
        <w:tabs>
          <w:tab w:leader="none" w:pos="1080" w:val="left"/>
        </w:tabs>
        <w:numPr>
          <w:ilvl w:val="0"/>
          <w:numId w:val="123"/>
        </w:numPr>
        <w:rPr>
          <w:rFonts w:ascii="Arial" w:cs="Arial" w:eastAsia="Arial" w:hAnsi="Arial"/>
          <w:sz w:val="16"/>
          <w:szCs w:val="16"/>
          <w:color w:val="32406B"/>
        </w:rPr>
      </w:pPr>
      <w:r>
        <w:rPr>
          <w:rFonts w:ascii="Arial" w:cs="Arial" w:eastAsia="Arial" w:hAnsi="Arial"/>
          <w:sz w:val="16"/>
          <w:szCs w:val="16"/>
          <w:color w:val="32406B"/>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 or publicly disclose the intention to do any of the foregoing;</w:t>
      </w:r>
    </w:p>
    <w:p>
      <w:pPr>
        <w:spacing w:after="0" w:line="54" w:lineRule="exact"/>
        <w:rPr>
          <w:rFonts w:ascii="Arial" w:cs="Arial" w:eastAsia="Arial" w:hAnsi="Arial"/>
          <w:sz w:val="16"/>
          <w:szCs w:val="16"/>
          <w:color w:val="32406B"/>
        </w:rPr>
      </w:pPr>
    </w:p>
    <w:p>
      <w:pPr>
        <w:ind w:left="1080" w:right="440" w:hanging="532"/>
        <w:spacing w:after="0" w:line="308" w:lineRule="auto"/>
        <w:tabs>
          <w:tab w:leader="none" w:pos="1080" w:val="left"/>
        </w:tabs>
        <w:numPr>
          <w:ilvl w:val="0"/>
          <w:numId w:val="123"/>
        </w:numPr>
        <w:rPr>
          <w:rFonts w:ascii="Arial" w:cs="Arial" w:eastAsia="Arial" w:hAnsi="Arial"/>
          <w:sz w:val="17"/>
          <w:szCs w:val="17"/>
          <w:color w:val="32406B"/>
        </w:rPr>
      </w:pPr>
      <w:r>
        <w:rPr>
          <w:rFonts w:ascii="Arial" w:cs="Arial" w:eastAsia="Arial" w:hAnsi="Arial"/>
          <w:sz w:val="17"/>
          <w:szCs w:val="17"/>
          <w:color w:val="32406B"/>
        </w:rPr>
        <w:t>file any registration statement with the SEC relating to the offering of any ordinary shares, ADSs or any securities convertible into or exercisable or exchangeable for ordinary shares or ADSs (other than a registration statement on Form S-8); or</w:t>
      </w:r>
    </w:p>
    <w:p>
      <w:pPr>
        <w:spacing w:after="0" w:line="51" w:lineRule="exact"/>
        <w:rPr>
          <w:rFonts w:ascii="Arial" w:cs="Arial" w:eastAsia="Arial" w:hAnsi="Arial"/>
          <w:sz w:val="17"/>
          <w:szCs w:val="17"/>
          <w:color w:val="32406B"/>
        </w:rPr>
      </w:pPr>
    </w:p>
    <w:p>
      <w:pPr>
        <w:ind w:left="1080" w:right="120" w:hanging="532"/>
        <w:spacing w:after="0" w:line="277" w:lineRule="auto"/>
        <w:tabs>
          <w:tab w:leader="none" w:pos="1080" w:val="left"/>
        </w:tabs>
        <w:numPr>
          <w:ilvl w:val="0"/>
          <w:numId w:val="123"/>
        </w:numPr>
        <w:rPr>
          <w:rFonts w:ascii="Arial" w:cs="Arial" w:eastAsia="Arial" w:hAnsi="Arial"/>
          <w:sz w:val="18"/>
          <w:szCs w:val="18"/>
          <w:color w:val="32406B"/>
        </w:rPr>
      </w:pPr>
      <w:r>
        <w:rPr>
          <w:rFonts w:ascii="Arial" w:cs="Arial" w:eastAsia="Arial" w:hAnsi="Arial"/>
          <w:sz w:val="18"/>
          <w:szCs w:val="18"/>
          <w:color w:val="32406B"/>
        </w:rPr>
        <w:t>enter into any swap or other arrangement that transfers to another, in whole or in part, any of the economic consequences of ownership of the ordinary shares or ADSs,</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32406B"/>
        </w:rPr>
        <w:t>whether any such transaction described above is to be settled by delivery of ordinary shares, ADSs,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restrictions described in the immediately preceding paragraph are subject to certain exceptions, including, among other things:</w:t>
      </w:r>
    </w:p>
    <w:p>
      <w:pPr>
        <w:spacing w:after="0" w:line="131"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32406B"/>
        </w:rPr>
      </w:pPr>
      <w:r>
        <w:rPr>
          <w:rFonts w:ascii="Arial" w:cs="Arial" w:eastAsia="Arial" w:hAnsi="Arial"/>
          <w:sz w:val="18"/>
          <w:szCs w:val="18"/>
          <w:color w:val="32406B"/>
        </w:rPr>
        <w:t>the sale of shares to the underwriters in this offering;</w:t>
      </w:r>
    </w:p>
    <w:p>
      <w:pPr>
        <w:spacing w:after="0" w:line="130" w:lineRule="exact"/>
        <w:rPr>
          <w:rFonts w:ascii="Arial" w:cs="Arial" w:eastAsia="Arial" w:hAnsi="Arial"/>
          <w:sz w:val="18"/>
          <w:szCs w:val="18"/>
          <w:color w:val="32406B"/>
        </w:rPr>
      </w:pPr>
    </w:p>
    <w:p>
      <w:pPr>
        <w:ind w:left="1080" w:right="60" w:hanging="532"/>
        <w:spacing w:after="0" w:line="259" w:lineRule="auto"/>
        <w:tabs>
          <w:tab w:leader="none" w:pos="1080" w:val="left"/>
        </w:tabs>
        <w:numPr>
          <w:ilvl w:val="0"/>
          <w:numId w:val="124"/>
        </w:numPr>
        <w:rPr>
          <w:rFonts w:ascii="Arial" w:cs="Arial" w:eastAsia="Arial" w:hAnsi="Arial"/>
          <w:sz w:val="18"/>
          <w:szCs w:val="18"/>
          <w:color w:val="32406B"/>
        </w:rPr>
      </w:pPr>
      <w:r>
        <w:rPr>
          <w:rFonts w:ascii="Arial" w:cs="Arial" w:eastAsia="Arial" w:hAnsi="Arial"/>
          <w:sz w:val="18"/>
          <w:szCs w:val="18"/>
          <w:color w:val="32406B"/>
        </w:rPr>
        <w:t>transactions relating to ordinary shares or ADSs or any other securities convertible into or exercisable or exchangeable for ordinary shares or ADSs acquired in this offering or in open market transactions after the completion of this offering, provided that no filing under Section 16(a) of the Exchange Act shall be required or shall be voluntarily made in connection with subsequent sales of ordinary shares or other securities acquired in such transactions;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204</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59" w:lineRule="auto"/>
        <w:tabs>
          <w:tab w:leader="none" w:pos="108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transfer of ordinary shares or any securities convertible into ordinary shares as a bona fide gift, through will or intestacy, to immediate family members, to any trust for the direct or indirect benefit of the locked-up party, to any entity beneficially owned and controlled by the locked-up party or by operation of law, provided that each transferee shall be subject to the restrictions described in the immediately preceding paragraph and such transfer does not involve a disposition for value;</w:t>
      </w:r>
    </w:p>
    <w:p>
      <w:pPr>
        <w:spacing w:after="0" w:line="92" w:lineRule="exact"/>
        <w:rPr>
          <w:rFonts w:ascii="Arial" w:cs="Arial" w:eastAsia="Arial" w:hAnsi="Arial"/>
          <w:sz w:val="18"/>
          <w:szCs w:val="18"/>
          <w:color w:val="32406B"/>
        </w:rPr>
      </w:pPr>
    </w:p>
    <w:p>
      <w:pPr>
        <w:ind w:left="1080" w:right="100" w:hanging="532"/>
        <w:spacing w:after="0" w:line="263" w:lineRule="auto"/>
        <w:tabs>
          <w:tab w:leader="none" w:pos="108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the exercise of any rights to acquire any ordinary shares or ADSs by means of cash or cashless exercises pursuant to our equity incentive plans described in this prospectus, provided that any securities received upon such exercise shall be subject to the restrictions described in the immediately preceding paragraph; and</w:t>
      </w:r>
    </w:p>
    <w:p>
      <w:pPr>
        <w:spacing w:after="0" w:line="89" w:lineRule="exact"/>
        <w:rPr>
          <w:rFonts w:ascii="Arial" w:cs="Arial" w:eastAsia="Arial" w:hAnsi="Arial"/>
          <w:sz w:val="18"/>
          <w:szCs w:val="18"/>
          <w:color w:val="32406B"/>
        </w:rPr>
      </w:pPr>
    </w:p>
    <w:p>
      <w:pPr>
        <w:ind w:left="1080" w:right="140" w:hanging="532"/>
        <w:spacing w:after="0" w:line="257" w:lineRule="auto"/>
        <w:tabs>
          <w:tab w:leader="none" w:pos="108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the establishment of a trading plan pursuant to Rule 10b5-1 under the Exchange Act for the transfer of ordinary shares or ADSs, provided that (i) such plan does not provide for the transfer of ordinary shares or ADSs during the restricted period and (ii) to the extent a public announcement or filing under the Exchange Act, if any, is required or voluntarily made regarding the establishment of such plan, such announcement or filing shall include a statement to the effect that no transfer of ordinary shares or ADSs may be made under such plan during the restricted period.</w:t>
      </w:r>
    </w:p>
    <w:p>
      <w:pPr>
        <w:spacing w:after="0" w:line="93" w:lineRule="exact"/>
        <w:rPr>
          <w:rFonts w:ascii="Arial" w:cs="Arial" w:eastAsia="Arial" w:hAnsi="Arial"/>
          <w:sz w:val="18"/>
          <w:szCs w:val="18"/>
          <w:color w:val="32406B"/>
        </w:rPr>
      </w:pPr>
    </w:p>
    <w:p>
      <w:pPr>
        <w:ind w:left="1080" w:right="720" w:hanging="532"/>
        <w:spacing w:after="0" w:line="277" w:lineRule="auto"/>
        <w:tabs>
          <w:tab w:leader="none" w:pos="108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the issuance by us of ordinary shares upon the exercise of an option or the conversion of a security outstanding on the date of this prospectus of which the underwriters have been advised in writing.</w:t>
      </w:r>
    </w:p>
    <w:p>
      <w:pPr>
        <w:spacing w:after="0" w:line="75" w:lineRule="exact"/>
        <w:rPr>
          <w:rFonts w:ascii="Arial" w:cs="Arial" w:eastAsia="Arial" w:hAnsi="Arial"/>
          <w:sz w:val="18"/>
          <w:szCs w:val="18"/>
          <w:color w:val="32406B"/>
        </w:rPr>
      </w:pPr>
    </w:p>
    <w:p>
      <w:pPr>
        <w:jc w:val="both"/>
        <w:ind w:left="1080" w:right="80" w:hanging="532"/>
        <w:spacing w:after="0" w:line="259" w:lineRule="auto"/>
        <w:tabs>
          <w:tab w:leader="none" w:pos="108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the issuance of any securities by us in connection with our bona fide acquisition of one or more businesses, products or technologies, joint ventures, commercial relationships or other strategic corporate transactions, provided that the recipients of such securities execute a lock-up agreement in favor of the underwriters containing substantially the same obligations as those set forth in the lock-up letter, the form of which is an exhibit to the underwriting agreement.</w:t>
      </w:r>
    </w:p>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32406B"/>
        </w:rPr>
        <w:t>The representatives, in their sole discretion, may release the ordinary shares, ADSs and other securities subject to the lock-up agreements described above in whole or in part at any time. Subject to compliance with the notification requirements under FINRA Rule 5131 applicable to lock-up agreements with our directors or officers, if the representatives, in their sole discretion, agree to release or waive the restrictions set forth in a lock-up agreement for an officer or director of us and provides us with notice of the impending release or waiver at least three business days before the effective date of the release or waiver, we agree to announce the impending release or waiver by issuing a press release through a major news service at least two business days before the effective date of the release or waiver. Currently, there are no agreements, understandings or intentions, tacit or explicit, to release any of the securities from the lock-up agreements prior to the expiration of the corresponding period.</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205</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32406B"/>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32406B"/>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32406B"/>
        </w:rPr>
        <w:t>Certain existing shareholders and their affiliates and third-party investors have subscribed for, and been allocated by the underwriters, an aggregate of 14,725,000 ADSs in this offering, including (i) 2,375,000 ADSs from our existing shareholder Tencent, (ii) 2,375,000 ADSs from Gaoling Fund, L.P. and YHG Investment, L.P., affiliates of our existing shareholder, or collectively Hillhouse Capital, and (iii) 9,975,000 ADSs from Canada Pension Plan Investment Board, one or more funds affiliated with Dragoneer Investment Group, LLC, GIC Private Limited, funds affiliated with Tiger Global Management, LLC, and/or their affiliates. The subscriptions for ADSs are at the initial public offering price and on the same terms as the other ADSs being offered in this offering. The number of ADSs subscribed by these investors represents approximately 33.8% of the ADSs being offered in this offering, assuming the underwriters do not exercise their option to purchase additional ADSs.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Pricing of the Offering</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32406B"/>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the general condition of the securities markets at the time of this offering, the recent market prices of, and demand for, publicly traded ordinary share of generally comparable companies, and other factors deemed relevant by the representatives and us. Neither we nor the underwriters can assure investors that an active trading market will develop for the ADSs, or that the ADSs will trade in the public market at or above the initial public offering price.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Electronic Offer, Sale and Distribution of ADSs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32406B"/>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 In addition, ADSs may be sold by the underwriters to securities dealers who resell ADSs to online brokerage account holders. Other than the prospectus in electronic format, the information on any underwriter’s or selling group member’s website and any information contained in any other website maintained by any underwriter or selling group member is not part of the prospectus or the registration statement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206</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32406B"/>
        </w:rPr>
        <w:t>of which this prospectus forms a part, has not been approved and/or endorsed by us or any underwriter or selling group member in its capacity as underwriter or selling group member and should not be relied upon by investors.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Selling Restrictions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32406B"/>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32406B"/>
        </w:rPr>
        <w:t>Australia</w:t>
      </w:r>
      <w:r>
        <w:rPr>
          <w:rFonts w:ascii="Arial" w:cs="Arial" w:eastAsia="Arial" w:hAnsi="Arial"/>
          <w:sz w:val="18"/>
          <w:szCs w:val="18"/>
          <w:color w:val="32406B"/>
        </w:rPr>
        <w:t>. This document has not been lodged with the Australian Securities &amp; Investments Commission and is only directed to certain categories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of exempt persons. Accordingly, if you receive this document in Australia:</w:t>
      </w:r>
    </w:p>
    <w:p>
      <w:pPr>
        <w:spacing w:after="0" w:line="76" w:lineRule="exact"/>
        <w:rPr>
          <w:sz w:val="20"/>
          <w:szCs w:val="20"/>
          <w:color w:val="auto"/>
        </w:rPr>
      </w:pPr>
    </w:p>
    <w:p>
      <w:pPr>
        <w:ind w:left="1080" w:hanging="348"/>
        <w:spacing w:after="0"/>
        <w:tabs>
          <w:tab w:leader="none" w:pos="1080" w:val="left"/>
        </w:tabs>
        <w:numPr>
          <w:ilvl w:val="0"/>
          <w:numId w:val="126"/>
        </w:numPr>
        <w:rPr>
          <w:rFonts w:ascii="Arial" w:cs="Arial" w:eastAsia="Arial" w:hAnsi="Arial"/>
          <w:sz w:val="18"/>
          <w:szCs w:val="18"/>
          <w:color w:val="32406B"/>
        </w:rPr>
      </w:pPr>
      <w:r>
        <w:rPr>
          <w:rFonts w:ascii="Arial" w:cs="Arial" w:eastAsia="Arial" w:hAnsi="Arial"/>
          <w:sz w:val="18"/>
          <w:szCs w:val="18"/>
          <w:color w:val="32406B"/>
        </w:rPr>
        <w:t>you confirm and warrant that you are either:</w:t>
      </w:r>
    </w:p>
    <w:p>
      <w:pPr>
        <w:spacing w:after="0" w:line="130" w:lineRule="exact"/>
        <w:rPr>
          <w:rFonts w:ascii="Arial" w:cs="Arial" w:eastAsia="Arial" w:hAnsi="Arial"/>
          <w:sz w:val="18"/>
          <w:szCs w:val="18"/>
          <w:color w:val="32406B"/>
        </w:rPr>
      </w:pPr>
    </w:p>
    <w:p>
      <w:pPr>
        <w:ind w:left="1540" w:hanging="439"/>
        <w:spacing w:after="0"/>
        <w:tabs>
          <w:tab w:leader="none" w:pos="1540" w:val="left"/>
        </w:tabs>
        <w:numPr>
          <w:ilvl w:val="1"/>
          <w:numId w:val="126"/>
        </w:numPr>
        <w:rPr>
          <w:rFonts w:ascii="Arial" w:cs="Arial" w:eastAsia="Arial" w:hAnsi="Arial"/>
          <w:sz w:val="17"/>
          <w:szCs w:val="17"/>
          <w:color w:val="32406B"/>
        </w:rPr>
      </w:pPr>
      <w:r>
        <w:rPr>
          <w:rFonts w:ascii="Arial" w:cs="Arial" w:eastAsia="Arial" w:hAnsi="Arial"/>
          <w:sz w:val="17"/>
          <w:szCs w:val="17"/>
          <w:color w:val="32406B"/>
        </w:rPr>
        <w:t>“sophisticated investor” under section 708(8)(a) or (b) of the Corporations Act 2001 (Cth) of Australia, or the Corporations Act;</w:t>
      </w:r>
    </w:p>
    <w:p>
      <w:pPr>
        <w:spacing w:after="0" w:line="142" w:lineRule="exact"/>
        <w:rPr>
          <w:rFonts w:ascii="Arial" w:cs="Arial" w:eastAsia="Arial" w:hAnsi="Arial"/>
          <w:sz w:val="17"/>
          <w:szCs w:val="17"/>
          <w:color w:val="32406B"/>
        </w:rPr>
      </w:pPr>
    </w:p>
    <w:p>
      <w:pPr>
        <w:ind w:left="1540" w:hanging="439"/>
        <w:spacing w:after="0" w:line="263" w:lineRule="auto"/>
        <w:tabs>
          <w:tab w:leader="none" w:pos="1540" w:val="left"/>
        </w:tabs>
        <w:numPr>
          <w:ilvl w:val="1"/>
          <w:numId w:val="126"/>
        </w:numPr>
        <w:rPr>
          <w:rFonts w:ascii="Arial" w:cs="Arial" w:eastAsia="Arial" w:hAnsi="Arial"/>
          <w:sz w:val="18"/>
          <w:szCs w:val="18"/>
          <w:color w:val="32406B"/>
        </w:rPr>
      </w:pPr>
      <w:r>
        <w:rPr>
          <w:rFonts w:ascii="Arial" w:cs="Arial" w:eastAsia="Arial" w:hAnsi="Arial"/>
          <w:sz w:val="18"/>
          <w:szCs w:val="18"/>
          <w:color w:val="32406B"/>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9" w:lineRule="exact"/>
        <w:rPr>
          <w:rFonts w:ascii="Arial" w:cs="Arial" w:eastAsia="Arial" w:hAnsi="Arial"/>
          <w:sz w:val="18"/>
          <w:szCs w:val="18"/>
          <w:color w:val="32406B"/>
        </w:rPr>
      </w:pPr>
    </w:p>
    <w:p>
      <w:pPr>
        <w:ind w:left="1540" w:hanging="439"/>
        <w:spacing w:after="0"/>
        <w:tabs>
          <w:tab w:leader="none" w:pos="1540" w:val="left"/>
        </w:tabs>
        <w:numPr>
          <w:ilvl w:val="1"/>
          <w:numId w:val="126"/>
        </w:numPr>
        <w:rPr>
          <w:rFonts w:ascii="Arial" w:cs="Arial" w:eastAsia="Arial" w:hAnsi="Arial"/>
          <w:sz w:val="18"/>
          <w:szCs w:val="18"/>
          <w:color w:val="32406B"/>
        </w:rPr>
      </w:pPr>
      <w:r>
        <w:rPr>
          <w:rFonts w:ascii="Arial" w:cs="Arial" w:eastAsia="Arial" w:hAnsi="Arial"/>
          <w:sz w:val="18"/>
          <w:szCs w:val="18"/>
          <w:color w:val="32406B"/>
        </w:rPr>
        <w:t>person associated with the company under section 708(12) of the Corporations Act; or</w:t>
      </w:r>
    </w:p>
    <w:p>
      <w:pPr>
        <w:spacing w:after="0" w:line="130" w:lineRule="exact"/>
        <w:rPr>
          <w:rFonts w:ascii="Arial" w:cs="Arial" w:eastAsia="Arial" w:hAnsi="Arial"/>
          <w:sz w:val="18"/>
          <w:szCs w:val="18"/>
          <w:color w:val="32406B"/>
        </w:rPr>
      </w:pPr>
    </w:p>
    <w:p>
      <w:pPr>
        <w:ind w:left="1540" w:hanging="439"/>
        <w:spacing w:after="0"/>
        <w:tabs>
          <w:tab w:leader="none" w:pos="1540" w:val="left"/>
        </w:tabs>
        <w:numPr>
          <w:ilvl w:val="1"/>
          <w:numId w:val="126"/>
        </w:numPr>
        <w:rPr>
          <w:rFonts w:ascii="Arial" w:cs="Arial" w:eastAsia="Arial" w:hAnsi="Arial"/>
          <w:sz w:val="18"/>
          <w:szCs w:val="18"/>
          <w:color w:val="32406B"/>
        </w:rPr>
      </w:pPr>
      <w:r>
        <w:rPr>
          <w:rFonts w:ascii="Arial" w:cs="Arial" w:eastAsia="Arial" w:hAnsi="Arial"/>
          <w:sz w:val="18"/>
          <w:szCs w:val="18"/>
          <w:color w:val="32406B"/>
        </w:rPr>
        <w:t>“professional investor” within the meaning of section 708(11)(a) or (b) of the Corporations Act;</w:t>
      </w:r>
    </w:p>
    <w:p>
      <w:pPr>
        <w:spacing w:after="0" w:line="225"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32406B"/>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52" w:lineRule="exact"/>
        <w:rPr>
          <w:sz w:val="20"/>
          <w:szCs w:val="20"/>
          <w:color w:val="auto"/>
        </w:rPr>
      </w:pPr>
    </w:p>
    <w:p>
      <w:pPr>
        <w:ind w:left="1080" w:right="320" w:hanging="358"/>
        <w:spacing w:after="0" w:line="263" w:lineRule="auto"/>
        <w:tabs>
          <w:tab w:leader="none" w:pos="1080" w:val="left"/>
        </w:tabs>
        <w:numPr>
          <w:ilvl w:val="0"/>
          <w:numId w:val="127"/>
        </w:numPr>
        <w:rPr>
          <w:rFonts w:ascii="Arial" w:cs="Arial" w:eastAsia="Arial" w:hAnsi="Arial"/>
          <w:sz w:val="18"/>
          <w:szCs w:val="18"/>
          <w:color w:val="32406B"/>
        </w:rPr>
      </w:pPr>
      <w:r>
        <w:rPr>
          <w:rFonts w:ascii="Arial" w:cs="Arial" w:eastAsia="Arial" w:hAnsi="Arial"/>
          <w:sz w:val="18"/>
          <w:szCs w:val="18"/>
          <w:color w:val="32406B"/>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b w:val="1"/>
          <w:bCs w:val="1"/>
          <w:i w:val="1"/>
          <w:iCs w:val="1"/>
          <w:color w:val="32406B"/>
        </w:rPr>
        <w:t>Canada</w:t>
      </w:r>
      <w:r>
        <w:rPr>
          <w:rFonts w:ascii="Arial" w:cs="Arial" w:eastAsia="Arial" w:hAnsi="Arial"/>
          <w:sz w:val="17"/>
          <w:szCs w:val="17"/>
          <w:i w:val="1"/>
          <w:i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The ADSs may be sold in Canada only to purchasers resident or located in the Provinces of Ontario, Québec, Alberta and British</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Columbia,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32406B"/>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207</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32406B"/>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b w:val="1"/>
          <w:bCs w:val="1"/>
          <w:i w:val="1"/>
          <w:iCs w:val="1"/>
          <w:color w:val="32406B"/>
        </w:rPr>
        <w:t>Cayman Islands</w:t>
      </w:r>
      <w:r>
        <w:rPr>
          <w:rFonts w:ascii="Arial" w:cs="Arial" w:eastAsia="Arial" w:hAnsi="Arial"/>
          <w:sz w:val="16"/>
          <w:szCs w:val="16"/>
          <w:i w:val="1"/>
          <w:i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This prospectus does not constitute an invitation or offer to the public in the Cayman Islands of the ADSs, whether by way of</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sale or subscription. The underwriters have not offered or sold, and will not offer or sell, directly or indirectly, any ADSs in the Cayman Islands.</w:t>
      </w:r>
    </w:p>
    <w:p>
      <w:pPr>
        <w:spacing w:after="0" w:line="12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32406B"/>
        </w:rPr>
        <w:t>Dubai International Financial Centre (“DIFC”)</w:t>
      </w:r>
      <w:r>
        <w:rPr>
          <w:rFonts w:ascii="Arial" w:cs="Arial" w:eastAsia="Arial" w:hAnsi="Arial"/>
          <w:sz w:val="17"/>
          <w:szCs w:val="17"/>
          <w:i w:val="1"/>
          <w:i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This prospectus relates to an Exempt Offer in accordance with the Markets Rules 2012 of the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32406B"/>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32406B"/>
        </w:rPr>
        <w:t>European Economic Area and the United Kingdom</w:t>
      </w:r>
      <w:r>
        <w:rPr>
          <w:rFonts w:ascii="Arial" w:cs="Arial" w:eastAsia="Arial" w:hAnsi="Arial"/>
          <w:sz w:val="16"/>
          <w:szCs w:val="16"/>
          <w:i w:val="1"/>
          <w:i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In relation to each Member State of the European Economic Area which has implemented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the Prospectus Directive (each, a “Relevant Member State”) an offer to the public of any shares which are the subject of the offering contemplated by this prospectus may not be made in that Relevant Member State unless the prospectus has been approved by the competent authority in such 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that Relevant Member State:</w:t>
      </w:r>
    </w:p>
    <w:p>
      <w:pPr>
        <w:spacing w:after="0" w:line="70" w:lineRule="exact"/>
        <w:rPr>
          <w:sz w:val="20"/>
          <w:szCs w:val="20"/>
          <w:color w:val="auto"/>
        </w:rPr>
      </w:pPr>
    </w:p>
    <w:p>
      <w:pPr>
        <w:ind w:left="1080" w:right="120" w:hanging="532"/>
        <w:spacing w:after="0" w:line="277" w:lineRule="auto"/>
        <w:tabs>
          <w:tab w:leader="none" w:pos="1080" w:val="left"/>
        </w:tabs>
        <w:numPr>
          <w:ilvl w:val="0"/>
          <w:numId w:val="128"/>
        </w:numPr>
        <w:rPr>
          <w:rFonts w:ascii="Arial" w:cs="Arial" w:eastAsia="Arial" w:hAnsi="Arial"/>
          <w:sz w:val="18"/>
          <w:szCs w:val="18"/>
          <w:color w:val="32406B"/>
        </w:rPr>
      </w:pPr>
      <w:r>
        <w:rPr>
          <w:rFonts w:ascii="Arial" w:cs="Arial" w:eastAsia="Arial" w:hAnsi="Arial"/>
          <w:sz w:val="18"/>
          <w:szCs w:val="18"/>
          <w:color w:val="32406B"/>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32406B"/>
        </w:rPr>
      </w:pPr>
    </w:p>
    <w:p>
      <w:pPr>
        <w:ind w:left="1080" w:hanging="532"/>
        <w:spacing w:after="0" w:line="342" w:lineRule="auto"/>
        <w:tabs>
          <w:tab w:leader="none" w:pos="1080" w:val="left"/>
        </w:tabs>
        <w:numPr>
          <w:ilvl w:val="0"/>
          <w:numId w:val="128"/>
        </w:numPr>
        <w:rPr>
          <w:rFonts w:ascii="Arial" w:cs="Arial" w:eastAsia="Arial" w:hAnsi="Arial"/>
          <w:sz w:val="16"/>
          <w:szCs w:val="16"/>
          <w:color w:val="32406B"/>
        </w:rPr>
      </w:pPr>
      <w:r>
        <w:rPr>
          <w:rFonts w:ascii="Arial" w:cs="Arial" w:eastAsia="Arial" w:hAnsi="Arial"/>
          <w:sz w:val="16"/>
          <w:szCs w:val="16"/>
          <w:color w:val="32406B"/>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29" w:lineRule="exact"/>
        <w:rPr>
          <w:rFonts w:ascii="Arial" w:cs="Arial" w:eastAsia="Arial" w:hAnsi="Arial"/>
          <w:sz w:val="16"/>
          <w:szCs w:val="16"/>
          <w:color w:val="32406B"/>
        </w:rPr>
      </w:pPr>
    </w:p>
    <w:p>
      <w:pPr>
        <w:ind w:left="1080" w:right="100" w:hanging="532"/>
        <w:spacing w:after="0" w:line="263" w:lineRule="auto"/>
        <w:tabs>
          <w:tab w:leader="none" w:pos="1080" w:val="left"/>
        </w:tabs>
        <w:numPr>
          <w:ilvl w:val="0"/>
          <w:numId w:val="128"/>
        </w:numPr>
        <w:rPr>
          <w:rFonts w:ascii="Arial" w:cs="Arial" w:eastAsia="Arial" w:hAnsi="Arial"/>
          <w:sz w:val="18"/>
          <w:szCs w:val="18"/>
          <w:color w:val="32406B"/>
        </w:rPr>
      </w:pPr>
      <w:r>
        <w:rPr>
          <w:rFonts w:ascii="Arial" w:cs="Arial" w:eastAsia="Arial" w:hAnsi="Arial"/>
          <w:sz w:val="18"/>
          <w:szCs w:val="18"/>
          <w:color w:val="32406B"/>
        </w:rPr>
        <w:t>by the underwriters 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representatives for any such offer; or</w:t>
      </w:r>
    </w:p>
    <w:p>
      <w:pPr>
        <w:spacing w:after="0" w:line="89" w:lineRule="exact"/>
        <w:rPr>
          <w:rFonts w:ascii="Arial" w:cs="Arial" w:eastAsia="Arial" w:hAnsi="Arial"/>
          <w:sz w:val="18"/>
          <w:szCs w:val="18"/>
          <w:color w:val="32406B"/>
        </w:rPr>
      </w:pPr>
    </w:p>
    <w:p>
      <w:pPr>
        <w:ind w:left="1080" w:right="80" w:hanging="532"/>
        <w:spacing w:after="0" w:line="263" w:lineRule="auto"/>
        <w:tabs>
          <w:tab w:leader="none" w:pos="1080" w:val="left"/>
        </w:tabs>
        <w:numPr>
          <w:ilvl w:val="0"/>
          <w:numId w:val="128"/>
        </w:numPr>
        <w:rPr>
          <w:rFonts w:ascii="Arial" w:cs="Arial" w:eastAsia="Arial" w:hAnsi="Arial"/>
          <w:sz w:val="18"/>
          <w:szCs w:val="18"/>
          <w:color w:val="32406B"/>
        </w:rPr>
      </w:pPr>
      <w:r>
        <w:rPr>
          <w:rFonts w:ascii="Arial" w:cs="Arial" w:eastAsia="Arial" w:hAnsi="Arial"/>
          <w:sz w:val="18"/>
          <w:szCs w:val="18"/>
          <w:color w:val="32406B"/>
        </w:rPr>
        <w:t>in any other circumstances falling within Article 3(2) of the Prospectus Directive; provided that no such offer of shares shall result in a requirement for the publication by us or any representative of a prospectus pursuant to Article 3 of the Prospectus Directive or supplement a prospectus pursuant to Article 16 of the Prospectus Directive.</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32406B"/>
        </w:rPr>
        <w:t>Any person making or intending to make any offer of shares within the EEA should only do so in circumstances in which no obligation arises for us or any of the underwriters to produce a prospectus for such offer. Neither we nor the underwriters have authorized, nor do they authorize, the making of any offer of shares through any financial intermediary, other than offers made by the underwriters which constitute the final offering of shares contemplated in this prospectus.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208</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32406B"/>
        </w:rPr>
        <w:t>For the purposes of this provision, and your representation below,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Relevant Member State by any measure implementing the Prospectus Directive in that Relevant Member State and the expression “Prospectus Directive” means Directive 2003/71/EC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7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32406B"/>
        </w:rPr>
        <w:t>Each person in a Relevant Member State who receives any communication in respect of, or who acquires any shares under, the offer of shares contemplated by this prospectus will be deemed to have represented, warranted and agreed to and with us and each underwriter that:</w:t>
      </w:r>
    </w:p>
    <w:p>
      <w:pPr>
        <w:spacing w:after="0" w:line="52" w:lineRule="exact"/>
        <w:rPr>
          <w:sz w:val="20"/>
          <w:szCs w:val="20"/>
          <w:color w:val="auto"/>
        </w:rPr>
      </w:pPr>
    </w:p>
    <w:p>
      <w:pPr>
        <w:ind w:left="1080" w:right="300" w:hanging="532"/>
        <w:spacing w:after="0" w:line="277" w:lineRule="auto"/>
        <w:tabs>
          <w:tab w:leader="none" w:pos="1080" w:val="left"/>
        </w:tabs>
        <w:numPr>
          <w:ilvl w:val="0"/>
          <w:numId w:val="129"/>
        </w:numPr>
        <w:rPr>
          <w:rFonts w:ascii="Arial" w:cs="Arial" w:eastAsia="Arial" w:hAnsi="Arial"/>
          <w:sz w:val="18"/>
          <w:szCs w:val="18"/>
          <w:color w:val="32406B"/>
        </w:rPr>
      </w:pPr>
      <w:r>
        <w:rPr>
          <w:rFonts w:ascii="Arial" w:cs="Arial" w:eastAsia="Arial" w:hAnsi="Arial"/>
          <w:sz w:val="18"/>
          <w:szCs w:val="18"/>
          <w:color w:val="32406B"/>
        </w:rPr>
        <w:t>it is a “qualified investor” within the meaning of the law in that Relevant Member State implementing Article 2(1)(e) of the Prospectus Directive; and</w:t>
      </w:r>
    </w:p>
    <w:p>
      <w:pPr>
        <w:spacing w:after="0" w:line="75" w:lineRule="exact"/>
        <w:rPr>
          <w:rFonts w:ascii="Arial" w:cs="Arial" w:eastAsia="Arial" w:hAnsi="Arial"/>
          <w:sz w:val="18"/>
          <w:szCs w:val="18"/>
          <w:color w:val="32406B"/>
        </w:rPr>
      </w:pPr>
    </w:p>
    <w:p>
      <w:pPr>
        <w:ind w:left="1080" w:hanging="532"/>
        <w:spacing w:after="0" w:line="255" w:lineRule="auto"/>
        <w:tabs>
          <w:tab w:leader="none" w:pos="1080" w:val="left"/>
        </w:tabs>
        <w:numPr>
          <w:ilvl w:val="0"/>
          <w:numId w:val="129"/>
        </w:numPr>
        <w:rPr>
          <w:rFonts w:ascii="Arial" w:cs="Arial" w:eastAsia="Arial" w:hAnsi="Arial"/>
          <w:sz w:val="18"/>
          <w:szCs w:val="18"/>
          <w:color w:val="32406B"/>
        </w:rPr>
      </w:pPr>
      <w:r>
        <w:rPr>
          <w:rFonts w:ascii="Arial" w:cs="Arial" w:eastAsia="Arial" w:hAnsi="Arial"/>
          <w:sz w:val="18"/>
          <w:szCs w:val="18"/>
          <w:color w:val="32406B"/>
        </w:rPr>
        <w:t>in the case of any shares acquired by it as a financial intermediary, as that term is used in Article 3(2) of the Prospectus Directive, (1) the shares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or (2) where shares have been acquired by it on behalf of persons in any Relevant Member State other than qualified investors, the offer of those shares to it is not treated under the Prospectus Directive as having been made to such persons.</w:t>
      </w:r>
    </w:p>
    <w:p>
      <w:pPr>
        <w:spacing w:after="0" w:line="19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32406B"/>
        </w:rPr>
        <w:t>France</w:t>
      </w:r>
      <w:r>
        <w:rPr>
          <w:rFonts w:ascii="Arial" w:cs="Arial" w:eastAsia="Arial" w:hAnsi="Arial"/>
          <w:sz w:val="17"/>
          <w:szCs w:val="17"/>
          <w:color w:val="32406B"/>
        </w:rPr>
        <w:t>. Neither this prospectus nor any other offering material relating to the ADSs described in this prospectus has been submitted to the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77"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in the Prospectus Directive;</w:t>
      </w:r>
    </w:p>
    <w:p>
      <w:pPr>
        <w:spacing w:after="0" w:line="130" w:lineRule="exact"/>
        <w:rPr>
          <w:rFonts w:ascii="Arial" w:cs="Arial" w:eastAsia="Arial" w:hAnsi="Arial"/>
          <w:sz w:val="18"/>
          <w:szCs w:val="18"/>
          <w:color w:val="32406B"/>
        </w:rPr>
      </w:pPr>
    </w:p>
    <w:p>
      <w:pPr>
        <w:jc w:val="both"/>
        <w:ind w:left="1080" w:hanging="532"/>
        <w:spacing w:after="0" w:line="286" w:lineRule="auto"/>
        <w:tabs>
          <w:tab w:leader="none" w:pos="1080" w:val="left"/>
        </w:tabs>
        <w:numPr>
          <w:ilvl w:val="0"/>
          <w:numId w:val="130"/>
        </w:numPr>
        <w:rPr>
          <w:rFonts w:ascii="Arial" w:cs="Arial" w:eastAsia="Arial" w:hAnsi="Arial"/>
          <w:sz w:val="17"/>
          <w:szCs w:val="17"/>
          <w:color w:val="32406B"/>
        </w:rPr>
      </w:pPr>
      <w:r>
        <w:rPr>
          <w:rFonts w:ascii="Arial" w:cs="Arial" w:eastAsia="Arial" w:hAnsi="Arial"/>
          <w:sz w:val="17"/>
          <w:szCs w:val="17"/>
          <w:color w:val="32406B"/>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w:t>
      </w:r>
    </w:p>
    <w:p>
      <w:pPr>
        <w:spacing w:after="0" w:line="70" w:lineRule="exact"/>
        <w:rPr>
          <w:rFonts w:ascii="Arial" w:cs="Arial" w:eastAsia="Arial" w:hAnsi="Arial"/>
          <w:sz w:val="17"/>
          <w:szCs w:val="17"/>
          <w:color w:val="32406B"/>
        </w:rPr>
      </w:pPr>
    </w:p>
    <w:p>
      <w:pPr>
        <w:ind w:left="1080" w:hanging="532"/>
        <w:spacing w:after="0"/>
        <w:tabs>
          <w:tab w:leader="none" w:pos="1080" w:val="left"/>
        </w:tabs>
        <w:numPr>
          <w:ilvl w:val="0"/>
          <w:numId w:val="130"/>
        </w:numPr>
        <w:rPr>
          <w:rFonts w:ascii="Arial" w:cs="Arial" w:eastAsia="Arial" w:hAnsi="Arial"/>
          <w:sz w:val="18"/>
          <w:szCs w:val="18"/>
          <w:color w:val="32406B"/>
        </w:rPr>
      </w:pPr>
      <w:r>
        <w:rPr>
          <w:rFonts w:ascii="Arial" w:cs="Arial" w:eastAsia="Arial" w:hAnsi="Arial"/>
          <w:sz w:val="18"/>
          <w:szCs w:val="18"/>
          <w:color w:val="32406B"/>
        </w:rPr>
        <w:t>in any other circumstances falling within Article 3(2) of the Prospectus Directive;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0"/>
        </w:numPr>
        <w:rPr>
          <w:rFonts w:ascii="Arial" w:cs="Arial" w:eastAsia="Arial" w:hAnsi="Arial"/>
          <w:sz w:val="18"/>
          <w:szCs w:val="18"/>
          <w:color w:val="32406B"/>
        </w:rPr>
      </w:pPr>
      <w:r>
        <w:rPr>
          <w:rFonts w:ascii="Arial" w:cs="Arial" w:eastAsia="Arial" w:hAnsi="Arial"/>
          <w:sz w:val="18"/>
          <w:szCs w:val="18"/>
          <w:color w:val="32406B"/>
        </w:rPr>
        <w:t>released, issued, distributed or caused to be released, issued or distributed to the public in France; 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0"/>
        </w:numPr>
        <w:rPr>
          <w:rFonts w:ascii="Arial" w:cs="Arial" w:eastAsia="Arial" w:hAnsi="Arial"/>
          <w:sz w:val="18"/>
          <w:szCs w:val="18"/>
          <w:color w:val="32406B"/>
        </w:rPr>
      </w:pPr>
      <w:r>
        <w:rPr>
          <w:rFonts w:ascii="Arial" w:cs="Arial" w:eastAsia="Arial" w:hAnsi="Arial"/>
          <w:sz w:val="18"/>
          <w:szCs w:val="18"/>
          <w:color w:val="32406B"/>
        </w:rPr>
        <w:t>used in connection with any offer for subscription or sale of the ADSs to the public in France.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209</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Such offers, sales and distributions will be made in France only:</w:t>
      </w:r>
    </w:p>
    <w:p>
      <w:pPr>
        <w:spacing w:after="0" w:line="131" w:lineRule="exact"/>
        <w:rPr>
          <w:sz w:val="20"/>
          <w:szCs w:val="20"/>
          <w:color w:val="auto"/>
        </w:rPr>
      </w:pPr>
    </w:p>
    <w:p>
      <w:pPr>
        <w:ind w:left="1080" w:right="200" w:hanging="532"/>
        <w:spacing w:after="0" w:line="263" w:lineRule="auto"/>
        <w:tabs>
          <w:tab w:leader="none" w:pos="1080" w:val="left"/>
        </w:tabs>
        <w:numPr>
          <w:ilvl w:val="0"/>
          <w:numId w:val="131"/>
        </w:numPr>
        <w:rPr>
          <w:rFonts w:ascii="Arial" w:cs="Arial" w:eastAsia="Arial" w:hAnsi="Arial"/>
          <w:sz w:val="18"/>
          <w:szCs w:val="18"/>
          <w:color w:val="32406B"/>
        </w:rPr>
      </w:pPr>
      <w:r>
        <w:rPr>
          <w:rFonts w:ascii="Arial" w:cs="Arial" w:eastAsia="Arial" w:hAnsi="Arial"/>
          <w:sz w:val="18"/>
          <w:szCs w:val="18"/>
          <w:color w:val="32406B"/>
        </w:rPr>
        <w:t>to qualified investors (</w:t>
      </w:r>
      <w:r>
        <w:rPr>
          <w:rFonts w:ascii="Arial" w:cs="Arial" w:eastAsia="Arial" w:hAnsi="Arial"/>
          <w:sz w:val="18"/>
          <w:szCs w:val="18"/>
          <w:i w:val="1"/>
          <w:iCs w:val="1"/>
          <w:color w:val="32406B"/>
        </w:rPr>
        <w:t>investisseurs qualifiés</w:t>
      </w:r>
      <w:r>
        <w:rPr>
          <w:rFonts w:ascii="Arial" w:cs="Arial" w:eastAsia="Arial" w:hAnsi="Arial"/>
          <w:sz w:val="18"/>
          <w:szCs w:val="18"/>
          <w:color w:val="32406B"/>
        </w:rPr>
        <w:t>) and/or to a restricted circle of investors (</w:t>
      </w:r>
      <w:r>
        <w:rPr>
          <w:rFonts w:ascii="Arial" w:cs="Arial" w:eastAsia="Arial" w:hAnsi="Arial"/>
          <w:sz w:val="18"/>
          <w:szCs w:val="18"/>
          <w:i w:val="1"/>
          <w:iCs w:val="1"/>
          <w:color w:val="32406B"/>
        </w:rPr>
        <w:t>cercle restreint d’investisseurs</w:t>
      </w:r>
      <w:r>
        <w:rPr>
          <w:rFonts w:ascii="Arial" w:cs="Arial" w:eastAsia="Arial" w:hAnsi="Arial"/>
          <w:sz w:val="18"/>
          <w:szCs w:val="18"/>
          <w:color w:val="32406B"/>
        </w:rPr>
        <w:t>),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131"/>
        </w:numPr>
        <w:rPr>
          <w:rFonts w:ascii="Arial" w:cs="Arial" w:eastAsia="Arial" w:hAnsi="Arial"/>
          <w:sz w:val="18"/>
          <w:szCs w:val="18"/>
          <w:color w:val="32406B"/>
        </w:rPr>
      </w:pPr>
      <w:r>
        <w:rPr>
          <w:rFonts w:ascii="Arial" w:cs="Arial" w:eastAsia="Arial" w:hAnsi="Arial"/>
          <w:sz w:val="18"/>
          <w:szCs w:val="18"/>
          <w:color w:val="32406B"/>
        </w:rPr>
        <w:t>to investment services providers authorized to engage in portfolio management on behalf of third parties; or</w:t>
      </w:r>
    </w:p>
    <w:p>
      <w:pPr>
        <w:spacing w:after="0" w:line="130" w:lineRule="exact"/>
        <w:rPr>
          <w:rFonts w:ascii="Arial" w:cs="Arial" w:eastAsia="Arial" w:hAnsi="Arial"/>
          <w:sz w:val="18"/>
          <w:szCs w:val="18"/>
          <w:color w:val="32406B"/>
        </w:rPr>
      </w:pPr>
    </w:p>
    <w:p>
      <w:pPr>
        <w:ind w:left="1080" w:right="220" w:hanging="532"/>
        <w:spacing w:after="0" w:line="263" w:lineRule="auto"/>
        <w:tabs>
          <w:tab w:leader="none" w:pos="1080" w:val="left"/>
        </w:tabs>
        <w:numPr>
          <w:ilvl w:val="0"/>
          <w:numId w:val="131"/>
        </w:numPr>
        <w:rPr>
          <w:rFonts w:ascii="Arial" w:cs="Arial" w:eastAsia="Arial" w:hAnsi="Arial"/>
          <w:sz w:val="18"/>
          <w:szCs w:val="18"/>
          <w:color w:val="32406B"/>
        </w:rPr>
      </w:pPr>
      <w:r>
        <w:rPr>
          <w:rFonts w:ascii="Arial" w:cs="Arial" w:eastAsia="Arial" w:hAnsi="Arial"/>
          <w:sz w:val="18"/>
          <w:szCs w:val="18"/>
          <w:color w:val="32406B"/>
        </w:rPr>
        <w:t>in a transaction that, in accordance with article L.411-2-II-1° -or-2° -or 3° of the French Code monétaire et financier and article 211-2 of the General Regulations (</w:t>
      </w:r>
      <w:r>
        <w:rPr>
          <w:rFonts w:ascii="Arial" w:cs="Arial" w:eastAsia="Arial" w:hAnsi="Arial"/>
          <w:sz w:val="18"/>
          <w:szCs w:val="18"/>
          <w:i w:val="1"/>
          <w:iCs w:val="1"/>
          <w:color w:val="32406B"/>
        </w:rPr>
        <w:t>Règlement Général</w:t>
      </w:r>
      <w:r>
        <w:rPr>
          <w:rFonts w:ascii="Arial" w:cs="Arial" w:eastAsia="Arial" w:hAnsi="Arial"/>
          <w:sz w:val="18"/>
          <w:szCs w:val="18"/>
          <w:color w:val="32406B"/>
        </w:rPr>
        <w:t>) of the Autorité des Marchés Financiers, does not constitute a public offer (</w:t>
      </w:r>
      <w:r>
        <w:rPr>
          <w:rFonts w:ascii="Arial" w:cs="Arial" w:eastAsia="Arial" w:hAnsi="Arial"/>
          <w:sz w:val="18"/>
          <w:szCs w:val="18"/>
          <w:i w:val="1"/>
          <w:iCs w:val="1"/>
          <w:color w:val="32406B"/>
        </w:rPr>
        <w:t>appel public à</w:t>
      </w:r>
      <w:r>
        <w:rPr>
          <w:rFonts w:ascii="Arial" w:cs="Arial" w:eastAsia="Arial" w:hAnsi="Arial"/>
          <w:sz w:val="18"/>
          <w:szCs w:val="18"/>
          <w:color w:val="32406B"/>
        </w:rPr>
        <w:t xml:space="preserve"> </w:t>
      </w:r>
      <w:r>
        <w:rPr>
          <w:rFonts w:ascii="Arial" w:cs="Arial" w:eastAsia="Arial" w:hAnsi="Arial"/>
          <w:sz w:val="18"/>
          <w:szCs w:val="18"/>
          <w:i w:val="1"/>
          <w:iCs w:val="1"/>
          <w:color w:val="32406B"/>
        </w:rPr>
        <w:t>l’épargne</w:t>
      </w:r>
      <w:r>
        <w:rPr>
          <w:rFonts w:ascii="Arial" w:cs="Arial" w:eastAsia="Arial" w:hAnsi="Arial"/>
          <w:sz w:val="18"/>
          <w:szCs w:val="18"/>
          <w:color w:val="32406B"/>
        </w:rPr>
        <w:t>).</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32406B"/>
        </w:rPr>
        <w:t>The ADSs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32406B"/>
        </w:rPr>
        <w:t>Germany</w:t>
      </w:r>
      <w:r>
        <w:rPr>
          <w:rFonts w:ascii="Arial" w:cs="Arial" w:eastAsia="Arial" w:hAnsi="Arial"/>
          <w:sz w:val="17"/>
          <w:szCs w:val="17"/>
          <w:color w:val="32406B"/>
        </w:rPr>
        <w:t>. This prospectus does not constitute a Prospectus Directive-compliant prospectus in accordance with the German Securities Prospectus</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Act (</w:t>
      </w:r>
      <w:r>
        <w:rPr>
          <w:rFonts w:ascii="Arial" w:cs="Arial" w:eastAsia="Arial" w:hAnsi="Arial"/>
          <w:sz w:val="17"/>
          <w:szCs w:val="17"/>
          <w:i w:val="1"/>
          <w:iCs w:val="1"/>
          <w:color w:val="32406B"/>
        </w:rPr>
        <w:t>Wertpapierprospektgesetz</w:t>
      </w:r>
      <w:r>
        <w:rPr>
          <w:rFonts w:ascii="Arial" w:cs="Arial" w:eastAsia="Arial" w:hAnsi="Arial"/>
          <w:sz w:val="17"/>
          <w:szCs w:val="17"/>
          <w:color w:val="32406B"/>
        </w:rPr>
        <w:t>)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t>
      </w:r>
      <w:r>
        <w:rPr>
          <w:rFonts w:ascii="Arial" w:cs="Arial" w:eastAsia="Arial" w:hAnsi="Arial"/>
          <w:sz w:val="17"/>
          <w:szCs w:val="17"/>
          <w:i w:val="1"/>
          <w:iCs w:val="1"/>
          <w:color w:val="32406B"/>
        </w:rPr>
        <w:t>Wertpapierprospekt</w:t>
      </w:r>
      <w:r>
        <w:rPr>
          <w:rFonts w:ascii="Arial" w:cs="Arial" w:eastAsia="Arial" w:hAnsi="Arial"/>
          <w:sz w:val="17"/>
          <w:szCs w:val="17"/>
          <w:color w:val="32406B"/>
        </w:rPr>
        <w:t>) within the meaning of the German Securities Prospectus Act or any other applicable laws of Germany, has been or will be published within Germany, nor has this prospectus been filed with or approved by the German Federal Financial Supervisory Authority (</w:t>
      </w:r>
      <w:r>
        <w:rPr>
          <w:rFonts w:ascii="Arial" w:cs="Arial" w:eastAsia="Arial" w:hAnsi="Arial"/>
          <w:sz w:val="17"/>
          <w:szCs w:val="17"/>
          <w:i w:val="1"/>
          <w:iCs w:val="1"/>
          <w:color w:val="32406B"/>
        </w:rPr>
        <w:t>Bundesanstalt für Finanzdienstleistungsaufsicht</w:t>
      </w:r>
      <w:r>
        <w:rPr>
          <w:rFonts w:ascii="Arial" w:cs="Arial" w:eastAsia="Arial" w:hAnsi="Arial"/>
          <w:sz w:val="17"/>
          <w:szCs w:val="17"/>
          <w:color w:val="32406B"/>
        </w:rPr>
        <w:t>) for publication within Germany.</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32406B"/>
        </w:rPr>
        <w:t>Each underwriter will represent, agree and undertake, (i) that it has not offered, sold or delivered and will not offer, sell or deliver the ADSs within Germany other than in accordance with the German Securities Prospectus Act (</w:t>
      </w:r>
      <w:r>
        <w:rPr>
          <w:rFonts w:ascii="Arial" w:cs="Arial" w:eastAsia="Arial" w:hAnsi="Arial"/>
          <w:sz w:val="18"/>
          <w:szCs w:val="18"/>
          <w:i w:val="1"/>
          <w:iCs w:val="1"/>
          <w:color w:val="32406B"/>
        </w:rPr>
        <w:t>Wertpapierprospektgesetz</w:t>
      </w:r>
      <w:r>
        <w:rPr>
          <w:rFonts w:ascii="Arial" w:cs="Arial" w:eastAsia="Arial" w:hAnsi="Arial"/>
          <w:sz w:val="18"/>
          <w:szCs w:val="18"/>
          <w:color w:val="32406B"/>
        </w:rPr>
        <w:t>)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This prospectus is strictly for use of the person who has received it. It may not be forwarded to other persons or published in Germany.</w:t>
      </w:r>
    </w:p>
    <w:p>
      <w:pPr>
        <w:spacing w:after="0" w:line="23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32406B"/>
        </w:rPr>
        <w:t>Hong Kong</w:t>
      </w:r>
      <w:r>
        <w:rPr>
          <w:rFonts w:ascii="Arial" w:cs="Arial" w:eastAsia="Arial" w:hAnsi="Arial"/>
          <w:sz w:val="16"/>
          <w:szCs w:val="16"/>
          <w:color w:val="32406B"/>
        </w:rPr>
        <w:t>. The ADSs may not be offered or sold in Hong Kong by means of any document other than (1) in circumstances which do not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constitute an offer to the public within the meaning of the Companies (Winding Up and Miscellaneous Provisions) Ordinance (Cap.32, Laws of Hong Kong), or (2) to “professional investors” within the meaning of the Securities and Futures Ordinance (Cap.571, Laws of Hong Kong) and any rules made thereunder, or (3) 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16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32406B"/>
        </w:rPr>
        <w:t>Israel</w:t>
      </w:r>
      <w:r>
        <w:rPr>
          <w:rFonts w:ascii="Arial" w:cs="Arial" w:eastAsia="Arial" w:hAnsi="Arial"/>
          <w:sz w:val="16"/>
          <w:szCs w:val="16"/>
          <w:color w:val="32406B"/>
        </w:rPr>
        <w:t>. The ADSs offered by this prospectus have not been approved or disapproved by the Israeli Securities Authority (the ISA), nor has it been</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registered for sale in Israel. The ADSs may not be offered or sold, directly or indirectly, to the public in Israel, absent the publication of a prospectus. The ISA has not issued permits, approvals or licenses in connection with the offering or publishing the prospectus; nor has it authenticated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210</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32406B"/>
        </w:rPr>
        <w:t>details included herein, confirmed their reliability or completeness, or rendered an opinion as to the quality of the ADSs being offered. Any resale in Israel, directly or indirectly, to the public of the ADSs offered by this prospectus is subject to restrictions on transferability and must be effected only in compliance with the Israeli securities laws and regulations.</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32406B"/>
        </w:rPr>
        <w:t>Italy</w:t>
      </w:r>
      <w:r>
        <w:rPr>
          <w:rFonts w:ascii="Arial" w:cs="Arial" w:eastAsia="Arial" w:hAnsi="Arial"/>
          <w:sz w:val="18"/>
          <w:szCs w:val="18"/>
          <w:color w:val="32406B"/>
        </w:rPr>
        <w:t>. The offering of ADSs has not been registered with the</w:t>
      </w:r>
      <w:r>
        <w:rPr>
          <w:rFonts w:ascii="Arial" w:cs="Arial" w:eastAsia="Arial" w:hAnsi="Arial"/>
          <w:sz w:val="18"/>
          <w:szCs w:val="18"/>
          <w:b w:val="1"/>
          <w:bCs w:val="1"/>
          <w:i w:val="1"/>
          <w:iCs w:val="1"/>
          <w:color w:val="32406B"/>
        </w:rPr>
        <w:t xml:space="preserve"> </w:t>
      </w:r>
      <w:r>
        <w:rPr>
          <w:rFonts w:ascii="Arial" w:cs="Arial" w:eastAsia="Arial" w:hAnsi="Arial"/>
          <w:sz w:val="18"/>
          <w:szCs w:val="18"/>
          <w:i w:val="1"/>
          <w:iCs w:val="1"/>
          <w:color w:val="32406B"/>
        </w:rPr>
        <w:t>Commissione Nazionale per le Società e la Borsa</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(“CONSOB”) pursuant to Italian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securities legislation and, accordingly, no ADSs may be offered, sold or delivered, nor copies of this prospectus or any other documents relating to the ADSs may not be distributed in Italy except:</w:t>
      </w:r>
    </w:p>
    <w:p>
      <w:pPr>
        <w:spacing w:after="0" w:line="89" w:lineRule="exact"/>
        <w:rPr>
          <w:sz w:val="20"/>
          <w:szCs w:val="20"/>
          <w:color w:val="auto"/>
        </w:rPr>
      </w:pPr>
    </w:p>
    <w:p>
      <w:pPr>
        <w:ind w:left="1080" w:hanging="532"/>
        <w:spacing w:after="0" w:line="291" w:lineRule="auto"/>
        <w:tabs>
          <w:tab w:leader="none" w:pos="1080" w:val="left"/>
        </w:tabs>
        <w:numPr>
          <w:ilvl w:val="0"/>
          <w:numId w:val="132"/>
        </w:numPr>
        <w:rPr>
          <w:rFonts w:ascii="Arial" w:cs="Arial" w:eastAsia="Arial" w:hAnsi="Arial"/>
          <w:sz w:val="16"/>
          <w:szCs w:val="16"/>
          <w:color w:val="32406B"/>
        </w:rPr>
      </w:pPr>
      <w:r>
        <w:rPr>
          <w:rFonts w:ascii="Arial" w:cs="Arial" w:eastAsia="Arial" w:hAnsi="Arial"/>
          <w:sz w:val="16"/>
          <w:szCs w:val="16"/>
          <w:color w:val="32406B"/>
        </w:rPr>
        <w:t>to “qualified investors,” as referred to in Article 100 of Legislative Decree No. 58 of 24 February 1998, as amended (the “Decree No. 58”) and defined in Article 26, paragraph 1, letter d) of CONSOB Regulation No. 16190 of 29 October 2007, as amended (“Regulation</w:t>
      </w:r>
    </w:p>
    <w:p>
      <w:pPr>
        <w:ind w:left="1080" w:right="840"/>
        <w:spacing w:after="0" w:line="260" w:lineRule="auto"/>
        <w:rPr>
          <w:rFonts w:ascii="Arial" w:cs="Arial" w:eastAsia="Arial" w:hAnsi="Arial"/>
          <w:sz w:val="16"/>
          <w:szCs w:val="16"/>
          <w:color w:val="32406B"/>
        </w:rPr>
      </w:pPr>
      <w:r>
        <w:rPr>
          <w:rFonts w:ascii="Arial" w:cs="Arial" w:eastAsia="Arial" w:hAnsi="Arial"/>
          <w:sz w:val="18"/>
          <w:szCs w:val="18"/>
          <w:color w:val="32406B"/>
        </w:rPr>
        <w:t>No. 16190”) pursuant to Article 34-ter, paragraph 1, letter. b) of CONSOB Regulation No. 11971 of 14 May 1999, as amended (“Regulation No. 11971”); or</w:t>
      </w:r>
    </w:p>
    <w:p>
      <w:pPr>
        <w:spacing w:after="0" w:line="90" w:lineRule="exact"/>
        <w:rPr>
          <w:rFonts w:ascii="Arial" w:cs="Arial" w:eastAsia="Arial" w:hAnsi="Arial"/>
          <w:sz w:val="16"/>
          <w:szCs w:val="16"/>
          <w:color w:val="32406B"/>
        </w:rPr>
      </w:pPr>
    </w:p>
    <w:p>
      <w:pPr>
        <w:ind w:left="1080" w:right="340" w:hanging="532"/>
        <w:spacing w:after="0" w:line="277" w:lineRule="auto"/>
        <w:tabs>
          <w:tab w:leader="none" w:pos="1080" w:val="left"/>
        </w:tabs>
        <w:numPr>
          <w:ilvl w:val="0"/>
          <w:numId w:val="132"/>
        </w:numPr>
        <w:rPr>
          <w:rFonts w:ascii="Arial" w:cs="Arial" w:eastAsia="Arial" w:hAnsi="Arial"/>
          <w:sz w:val="18"/>
          <w:szCs w:val="18"/>
          <w:color w:val="32406B"/>
        </w:rPr>
      </w:pPr>
      <w:r>
        <w:rPr>
          <w:rFonts w:ascii="Arial" w:cs="Arial" w:eastAsia="Arial" w:hAnsi="Arial"/>
          <w:sz w:val="18"/>
          <w:szCs w:val="18"/>
          <w:color w:val="32406B"/>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Any offer, sale or delivery of the ADSs or distribution of copies of this prospectus or any other documents relating to the ADSs in the Republic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Italy must be:</w:t>
      </w:r>
    </w:p>
    <w:p>
      <w:pPr>
        <w:spacing w:after="0" w:line="116" w:lineRule="exact"/>
        <w:rPr>
          <w:sz w:val="20"/>
          <w:szCs w:val="20"/>
          <w:color w:val="auto"/>
        </w:rPr>
      </w:pPr>
    </w:p>
    <w:p>
      <w:pPr>
        <w:ind w:left="1080" w:right="200" w:hanging="532"/>
        <w:spacing w:after="0" w:line="263" w:lineRule="auto"/>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made by investment firms, banks or financial intermediaries permitted to conduct such activities in the Republic of Italy in accordance with Legislative Decree No. 385 of 1 September 1993, as amended (the “Banking Law”), Decree No. 58 and Regulation No. 16190 and any other applicable laws and regulations;</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in compliance with Article 129 of the Banking Law, and the implementing guidelines of the Bank of Italy, as amended; and</w:t>
      </w:r>
    </w:p>
    <w:p>
      <w:pPr>
        <w:spacing w:after="0" w:line="130" w:lineRule="exact"/>
        <w:rPr>
          <w:rFonts w:ascii="Arial" w:cs="Arial" w:eastAsia="Arial" w:hAnsi="Arial"/>
          <w:sz w:val="18"/>
          <w:szCs w:val="18"/>
          <w:color w:val="32406B"/>
        </w:rPr>
      </w:pPr>
    </w:p>
    <w:p>
      <w:pPr>
        <w:ind w:left="1080" w:right="60" w:hanging="532"/>
        <w:spacing w:after="0" w:line="277" w:lineRule="auto"/>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32406B"/>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32406B"/>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15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32406B"/>
        </w:rPr>
        <w:t>Japan</w:t>
      </w:r>
      <w:r>
        <w:rPr>
          <w:rFonts w:ascii="Arial" w:cs="Arial" w:eastAsia="Arial" w:hAnsi="Arial"/>
          <w:sz w:val="17"/>
          <w:szCs w:val="17"/>
          <w:color w:val="32406B"/>
        </w:rPr>
        <w:t>. The ADSs have not been and will not be registered under the Financial Instruments and Exchange Law of Japan, and ADSs will not be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1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b w:val="1"/>
          <w:bCs w:val="1"/>
          <w:i w:val="1"/>
          <w:iCs w:val="1"/>
          <w:color w:val="32406B"/>
        </w:rPr>
        <w:t>Korea</w:t>
      </w:r>
      <w:r>
        <w:rPr>
          <w:rFonts w:ascii="Arial" w:cs="Arial" w:eastAsia="Arial" w:hAnsi="Arial"/>
          <w:sz w:val="18"/>
          <w:szCs w:val="18"/>
          <w:color w:val="32406B"/>
        </w:rPr>
        <w:t>. The ADSs may not be offered, sold and delivered directly or indirectly, or offered or sold to any person for reoffering or resale, directly or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indirectly, in Korea or to any resident of Korea except pursuant to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211</w:t>
      </w:r>
    </w:p>
    <w:p>
      <w:pPr>
        <w:sectPr>
          <w:pgSz w:w="11900" w:h="16838" w:orient="portrait"/>
          <w:cols w:equalWidth="0" w:num="1">
            <w:col w:w="11060"/>
          </w:cols>
          <w:pgMar w:left="320" w:top="459" w:right="5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32406B"/>
        </w:rPr>
        <w:t>applicable laws and regulations of Korea, including the Korea Securities and Exchange Act and the Foreign Exchange Transaction Law and the decrees and regulations thereunder. The ADSs have not been and will not be registered under the Financial Investment Services and Capital Markets Act of Korea and the decrees and regulations thereunder, and the ADSs have been and will be offered in Korea as a private placement under the FSCMA. Furthermore, the purchaser of the ADSs shall comply with all applicable regulatory requirements (including but not limited to government approval requirements under the Foreign Exchange Transaction Law and its subordinate decrees and regulations)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17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i w:val="1"/>
          <w:iCs w:val="1"/>
          <w:color w:val="32406B"/>
        </w:rPr>
        <w:t>Kuwait</w:t>
      </w:r>
      <w:r>
        <w:rPr>
          <w:rFonts w:ascii="Arial" w:cs="Arial" w:eastAsia="Arial" w:hAnsi="Arial"/>
          <w:sz w:val="18"/>
          <w:szCs w:val="18"/>
          <w:color w:val="32406B"/>
        </w:rPr>
        <w:t>. Unless all necessary approvals from the Kuwait Ministry of Commerce and Industry required by Law No. 31/1990 “Regulating the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32406B"/>
        </w:rPr>
        <w:t>People’s Republic of China</w:t>
      </w:r>
      <w:r>
        <w:rPr>
          <w:rFonts w:ascii="Arial" w:cs="Arial" w:eastAsia="Arial" w:hAnsi="Arial"/>
          <w:sz w:val="18"/>
          <w:szCs w:val="18"/>
          <w:color w:val="32406B"/>
        </w:rPr>
        <w:t>. This prospectus has not been and will not be circulated or distributed in the PRC, and ADSs may not be offered or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sold, and will not be offered or sold to any person for re-offering or resale, directly or indirectly, to any resident of the PRC except pursuant to applicable laws and regulations of the PRC.</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b w:val="1"/>
          <w:bCs w:val="1"/>
          <w:i w:val="1"/>
          <w:iCs w:val="1"/>
          <w:color w:val="32406B"/>
        </w:rPr>
        <w:t>Qatar</w:t>
      </w:r>
      <w:r>
        <w:rPr>
          <w:rFonts w:ascii="Arial" w:cs="Arial" w:eastAsia="Arial" w:hAnsi="Arial"/>
          <w:sz w:val="18"/>
          <w:szCs w:val="18"/>
          <w:color w:val="32406B"/>
        </w:rPr>
        <w:t>. In the State of Qatar, the offer contained herein is made on an exclusive basis to the specifically intended recipient thereof, upon that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9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6"/>
          <w:szCs w:val="16"/>
          <w:b w:val="1"/>
          <w:bCs w:val="1"/>
          <w:i w:val="1"/>
          <w:iCs w:val="1"/>
          <w:color w:val="32406B"/>
        </w:rPr>
        <w:t>Singapore</w:t>
      </w:r>
      <w:r>
        <w:rPr>
          <w:rFonts w:ascii="Arial" w:cs="Arial" w:eastAsia="Arial" w:hAnsi="Arial"/>
          <w:sz w:val="16"/>
          <w:szCs w:val="16"/>
          <w:color w:val="32406B"/>
        </w:rPr>
        <w:t>. This prospectus has not been registered as a prospectus with the Monetary Authority of Singapore. Accordingly, this prospectus and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(1) to an institutional investor under Section 274 of the Securities and Futures Act, Chapter 289 of Singapore, or SFA,</w:t>
      </w:r>
    </w:p>
    <w:p>
      <w:pPr>
        <w:spacing w:after="0" w:line="1" w:lineRule="exact"/>
        <w:rPr>
          <w:sz w:val="20"/>
          <w:szCs w:val="20"/>
          <w:color w:val="auto"/>
        </w:rPr>
      </w:pPr>
    </w:p>
    <w:p>
      <w:pPr>
        <w:ind w:left="120" w:right="300" w:hanging="4"/>
        <w:spacing w:after="0" w:line="277" w:lineRule="auto"/>
        <w:tabs>
          <w:tab w:leader="none" w:pos="375" w:val="left"/>
        </w:tabs>
        <w:numPr>
          <w:ilvl w:val="0"/>
          <w:numId w:val="134"/>
        </w:numPr>
        <w:rPr>
          <w:rFonts w:ascii="Arial" w:cs="Arial" w:eastAsia="Arial" w:hAnsi="Arial"/>
          <w:sz w:val="17"/>
          <w:szCs w:val="17"/>
          <w:color w:val="32406B"/>
        </w:rPr>
      </w:pPr>
      <w:r>
        <w:rPr>
          <w:rFonts w:ascii="Arial" w:cs="Arial" w:eastAsia="Arial" w:hAnsi="Arial"/>
          <w:sz w:val="17"/>
          <w:szCs w:val="17"/>
          <w:color w:val="32406B"/>
        </w:rPr>
        <w:t>to a relevant person or any person pursuant to Section 275(1A), and in accordance with the conditions specified in Section 275 of the SFA,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3"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32406B"/>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212</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32406B"/>
        </w:rPr>
        <w:t>pursuant to an offer that is made on terms that such shares, debentures and units of shares and debentures of that corporation or such rights and interest in that trust are acquired at a consideration of not less than US$200,000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5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b w:val="1"/>
          <w:bCs w:val="1"/>
          <w:i w:val="1"/>
          <w:iCs w:val="1"/>
          <w:color w:val="32406B"/>
        </w:rPr>
        <w:t>Switzerland</w:t>
      </w:r>
      <w:r>
        <w:rPr>
          <w:rFonts w:ascii="Arial" w:cs="Arial" w:eastAsia="Arial" w:hAnsi="Arial"/>
          <w:sz w:val="16"/>
          <w:szCs w:val="16"/>
          <w:color w:val="32406B"/>
        </w:rPr>
        <w:t>. The ADSs will not be publicly offered in Switzerland and will not be listed on the SIX Swiss Exchange, or SIX, or on any other</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32406B"/>
        </w:rPr>
        <w:t>Taiwan</w:t>
      </w:r>
      <w:r>
        <w:rPr>
          <w:rFonts w:ascii="Arial" w:cs="Arial" w:eastAsia="Arial" w:hAnsi="Arial"/>
          <w:sz w:val="18"/>
          <w:szCs w:val="18"/>
          <w:color w:val="32406B"/>
        </w:rPr>
        <w:t>. The ADSs have not been and will not be registered with the Financial Supervisory Commission of Taiwan pursuant to relevant securities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b w:val="1"/>
          <w:bCs w:val="1"/>
          <w:i w:val="1"/>
          <w:iCs w:val="1"/>
          <w:color w:val="32406B"/>
        </w:rPr>
        <w:t>United Arab Emirates</w:t>
      </w:r>
      <w:r>
        <w:rPr>
          <w:rFonts w:ascii="Arial" w:cs="Arial" w:eastAsia="Arial" w:hAnsi="Arial"/>
          <w:sz w:val="17"/>
          <w:szCs w:val="17"/>
          <w:color w:val="32406B"/>
        </w:rPr>
        <w:t>. This prospectus is not intended to constitute an offer, sale or delivery of shares or other securities under the laws of the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United Arab Emirates, or the UAE. The ADSs and the underlying shares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7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32406B"/>
        </w:rPr>
        <w:t>The offering, the ADSs, the underlying shares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and the underlying shares may not be offered or sold directly or indirectly to the public in the UAE.</w:t>
      </w:r>
    </w:p>
    <w:p>
      <w:pPr>
        <w:spacing w:after="0" w:line="184"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b w:val="1"/>
          <w:bCs w:val="1"/>
          <w:i w:val="1"/>
          <w:iCs w:val="1"/>
          <w:color w:val="32406B"/>
        </w:rPr>
        <w:t>United Kingdom</w:t>
      </w:r>
      <w:r>
        <w:rPr>
          <w:rFonts w:ascii="Arial" w:cs="Arial" w:eastAsia="Arial" w:hAnsi="Arial"/>
          <w:sz w:val="17"/>
          <w:szCs w:val="17"/>
          <w:color w:val="32406B"/>
        </w:rPr>
        <w:t>. Each underwriter has represented and agreed that: (a) it has only communicated or caused to be communicated and will only</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communicate or cause to be communicated an invitation or inducement to engage in investment activity (within the meaning of Section 21 of the Financial Services and Markets Act 2000, or the FSMA, received by it in connection with the issue or sale of the ADSs in circumstances in which Section 21(1) of the FSMA does not apply to us; and (b) it has complied and will comply with all applicable provisions of the FSMA with respect to anything done by it in relation to the ADSs in, from or otherwise involving the United Kingdom.</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213</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EXPENSES RELATING TO THIS OFFERING</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NYSE listing fee, all amounts are estimates. The Company will pay all of the expenses of this offering.</w:t>
      </w:r>
    </w:p>
    <w:p>
      <w:pPr>
        <w:sectPr>
          <w:pgSz w:w="11900" w:h="16838" w:orient="portrait"/>
          <w:cols w:equalWidth="0" w:num="1">
            <w:col w:w="10960"/>
          </w:cols>
          <w:pgMar w:left="320" w:top="459" w:right="619" w:bottom="1440" w:gutter="0" w:footer="0" w:header="0"/>
        </w:sectPr>
      </w:pPr>
    </w:p>
    <w:p>
      <w:pPr>
        <w:spacing w:after="0" w:line="202"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32406B"/>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6350</wp:posOffset>
            </wp:positionV>
            <wp:extent cx="5246370"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46370" cy="146050"/>
                    </a:xfrm>
                    <a:prstGeom prst="rect">
                      <a:avLst/>
                    </a:prstGeom>
                    <a:noFill/>
                  </pic:spPr>
                </pic:pic>
              </a:graphicData>
            </a:graphic>
          </wp:anchor>
        </w:drawing>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8"/>
          <w:szCs w:val="18"/>
          <w:color w:val="32406B"/>
        </w:rPr>
        <w:t>SEC registration fee</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32406B"/>
        </w:rPr>
        <w:t>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32406B"/>
        </w:rPr>
        <w:t>FINRA filing fee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32406B"/>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32406B"/>
        </w:rPr>
        <w:t>Legal fees and expenses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32406B"/>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32406B"/>
        </w:rPr>
        <w:t>Miscellaneous costs</w:t>
      </w:r>
    </w:p>
    <w:p>
      <w:pPr>
        <w:spacing w:after="0" w:line="1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32406B"/>
        </w:rPr>
        <w:t>Total</w:t>
      </w:r>
    </w:p>
    <w:p>
      <w:pPr>
        <w:spacing w:after="0" w:line="216"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32406B"/>
        </w:rPr>
        <w:t>214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260"/>
        <w:spacing w:after="0"/>
        <w:rPr>
          <w:sz w:val="20"/>
          <w:szCs w:val="20"/>
          <w:color w:val="auto"/>
        </w:rPr>
      </w:pPr>
      <w:r>
        <w:rPr>
          <w:rFonts w:ascii="Arial" w:cs="Arial" w:eastAsia="Arial" w:hAnsi="Arial"/>
          <w:sz w:val="14"/>
          <w:szCs w:val="14"/>
          <w:b w:val="1"/>
          <w:bCs w:val="1"/>
          <w:color w:val="32406B"/>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6350</wp:posOffset>
            </wp:positionV>
            <wp:extent cx="3257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32406B"/>
        </w:rPr>
        <w:t>US$</w:t>
      </w:r>
      <w:r>
        <w:rPr>
          <w:sz w:val="20"/>
          <w:szCs w:val="20"/>
          <w:color w:val="auto"/>
        </w:rPr>
        <w:tab/>
      </w:r>
      <w:r>
        <w:rPr>
          <w:rFonts w:ascii="Arial" w:cs="Arial" w:eastAsia="Arial" w:hAnsi="Arial"/>
          <w:sz w:val="16"/>
          <w:szCs w:val="16"/>
          <w:color w:val="32406B"/>
        </w:rPr>
        <w:t>109,380</w:t>
      </w:r>
    </w:p>
    <w:p>
      <w:pPr>
        <w:spacing w:after="0" w:line="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32406B"/>
        </w:rPr>
        <w:t>US$</w:t>
      </w:r>
      <w:r>
        <w:rPr>
          <w:sz w:val="20"/>
          <w:szCs w:val="20"/>
          <w:color w:val="auto"/>
        </w:rPr>
        <w:tab/>
      </w:r>
      <w:r>
        <w:rPr>
          <w:rFonts w:ascii="Arial" w:cs="Arial" w:eastAsia="Arial" w:hAnsi="Arial"/>
          <w:sz w:val="16"/>
          <w:szCs w:val="16"/>
          <w:color w:val="32406B"/>
        </w:rPr>
        <w:t>224,360</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32406B"/>
        </w:rPr>
        <w:t>US$</w:t>
      </w:r>
      <w:r>
        <w:rPr>
          <w:sz w:val="20"/>
          <w:szCs w:val="20"/>
          <w:color w:val="auto"/>
        </w:rPr>
        <w:tab/>
      </w:r>
      <w:r>
        <w:rPr>
          <w:rFonts w:ascii="Arial" w:cs="Arial" w:eastAsia="Arial" w:hAnsi="Arial"/>
          <w:sz w:val="16"/>
          <w:szCs w:val="16"/>
          <w:color w:val="32406B"/>
        </w:rPr>
        <w:t>158,505</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32406B"/>
        </w:rPr>
        <w:t>US$</w:t>
      </w:r>
      <w:r>
        <w:rPr>
          <w:sz w:val="20"/>
          <w:szCs w:val="20"/>
          <w:color w:val="auto"/>
        </w:rPr>
        <w:tab/>
      </w:r>
      <w:r>
        <w:rPr>
          <w:rFonts w:ascii="Arial" w:cs="Arial" w:eastAsia="Arial" w:hAnsi="Arial"/>
          <w:sz w:val="16"/>
          <w:szCs w:val="16"/>
          <w:color w:val="32406B"/>
        </w:rPr>
        <w:t>150,000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32406B"/>
        </w:rPr>
        <w:t>US$2,570,000</w:t>
      </w:r>
    </w:p>
    <w:p>
      <w:pPr>
        <w:spacing w:after="0" w:line="3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32406B"/>
        </w:rPr>
        <w:t>US$</w:t>
      </w:r>
      <w:r>
        <w:rPr>
          <w:sz w:val="20"/>
          <w:szCs w:val="20"/>
          <w:color w:val="auto"/>
        </w:rPr>
        <w:tab/>
      </w:r>
      <w:r>
        <w:rPr>
          <w:rFonts w:ascii="Arial" w:cs="Arial" w:eastAsia="Arial" w:hAnsi="Arial"/>
          <w:sz w:val="16"/>
          <w:szCs w:val="16"/>
          <w:color w:val="32406B"/>
        </w:rPr>
        <w:t>896,240</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32406B"/>
        </w:rPr>
        <w:t>US$</w:t>
      </w:r>
      <w:r>
        <w:rPr>
          <w:sz w:val="20"/>
          <w:szCs w:val="20"/>
          <w:color w:val="auto"/>
        </w:rPr>
        <w:tab/>
      </w:r>
      <w:r>
        <w:rPr>
          <w:rFonts w:ascii="Arial" w:cs="Arial" w:eastAsia="Arial" w:hAnsi="Arial"/>
          <w:sz w:val="16"/>
          <w:szCs w:val="16"/>
          <w:color w:val="32406B"/>
        </w:rPr>
        <w:t>107,914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686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32406B"/>
        </w:rPr>
        <w:t>US$4,216,399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686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6686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ectPr>
          <w:pgSz w:w="11900" w:h="16838" w:orient="portrait"/>
          <w:cols w:equalWidth="0" w:num="2">
            <w:col w:w="7920" w:space="720"/>
            <w:col w:w="2320"/>
          </w:cols>
          <w:pgMar w:left="320" w:top="459" w:right="61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32406B"/>
        </w:rPr>
        <w:t>LEGAL MATTERS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32406B"/>
        </w:rPr>
        <w:t>We are being represented by Davis Polk &amp; Wardwell LLP with respect to certain legal matters of U.S. federal securities and New York state law. Certain legal matters with respect to U.S. federal and New York State law in connection with this offering will be passed upon for the underwriters by Cleary Gottlieb Steen &amp; Hamilton LLP. The validity of the Class A ordinary shares represented by the ADSs offered in this offering and other certain legal matters as to Cayman Islands law will be passed upon for us by Maples and Calder (Hong Kong) LLP. Legal matters as to PRC law will be passed upon for us by Jia Yuan Law Offices and for the underwriters by Jingtian &amp; Gongcheng. Davis Polk &amp; Wardwell LLP may rely upon Maples and Calder (Hong Kong) LLP with respect to matters governed by Cayman Islands law and Jia Yuan Law Offices with respect to matters governed by PRC law. Cleary Gottlieb Steen &amp; Hamilton LLP may rely upon Jingtian &amp; Gongcheng with respect to matters governed by PRC law.</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215</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32406B"/>
        </w:rPr>
        <w:t>EXPERTS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The financial statements as of December 31, 2019 and 2020 and for the years then ended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32406B"/>
        </w:rPr>
        <w:t>The registered business address of PricewaterhouseCoopers Zhong Tian LLP is 6/F DBS Bank Tower, 1318, Lu Jia Zui Ring Road, Pudong New Area, Shanghai, the People’s Republic of China.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216</w:t>
      </w:r>
    </w:p>
    <w:p>
      <w:pPr>
        <w:sectPr>
          <w:pgSz w:w="11900" w:h="16838" w:orient="portrait"/>
          <w:cols w:equalWidth="0" w:num="1">
            <w:col w:w="11080"/>
          </w:cols>
          <w:pgMar w:left="320" w:top="459"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WHERE YOU CAN FIND ADDITIONAL INFORMATION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We are subject to the informational requirements of the Exchange Act.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32406B"/>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217</w:t>
      </w:r>
    </w:p>
    <w:p>
      <w:pPr>
        <w:sectPr>
          <w:pgSz w:w="11900" w:h="16838" w:orient="portrait"/>
          <w:cols w:equalWidth="0" w:num="1">
            <w:col w:w="11040"/>
          </w:cols>
          <w:pgMar w:left="320" w:top="459" w:right="5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tc>
        <w:tc>
          <w:tcPr>
            <w:tcW w:w="1620" w:type="dxa"/>
            <w:vAlign w:val="bottom"/>
          </w:tcPr>
          <w:p>
            <w:pPr>
              <w:spacing w:after="0"/>
              <w:rPr>
                <w:sz w:val="20"/>
                <w:szCs w:val="20"/>
                <w:color w:val="auto"/>
              </w:rPr>
            </w:pPr>
          </w:p>
        </w:tc>
      </w:tr>
      <w:tr>
        <w:trPr>
          <w:trHeight w:val="513"/>
        </w:trPr>
        <w:tc>
          <w:tcPr>
            <w:tcW w:w="9460" w:type="dxa"/>
            <w:vAlign w:val="bottom"/>
          </w:tcPr>
          <w:p>
            <w:pPr>
              <w:ind w:left="3280"/>
              <w:spacing w:after="0"/>
              <w:rPr>
                <w:sz w:val="20"/>
                <w:szCs w:val="20"/>
                <w:color w:val="auto"/>
              </w:rPr>
            </w:pPr>
            <w:r>
              <w:rPr>
                <w:rFonts w:ascii="Arial" w:cs="Arial" w:eastAsia="Arial" w:hAnsi="Arial"/>
                <w:sz w:val="18"/>
                <w:szCs w:val="18"/>
                <w:b w:val="1"/>
                <w:bCs w:val="1"/>
                <w:color w:val="32406B"/>
              </w:rPr>
              <w:t>INDEX TO CONSOLIDATED FINANCIAL STATEMENTS</w:t>
            </w:r>
          </w:p>
        </w:tc>
        <w:tc>
          <w:tcPr>
            <w:tcW w:w="1620" w:type="dxa"/>
            <w:vAlign w:val="bottom"/>
          </w:tcPr>
          <w:p>
            <w:pPr>
              <w:spacing w:after="0"/>
              <w:rPr>
                <w:sz w:val="24"/>
                <w:szCs w:val="24"/>
                <w:color w:val="auto"/>
              </w:rPr>
            </w:pPr>
          </w:p>
        </w:tc>
      </w:tr>
      <w:tr>
        <w:trPr>
          <w:trHeight w:val="445"/>
        </w:trPr>
        <w:tc>
          <w:tcPr>
            <w:tcW w:w="9460" w:type="dxa"/>
            <w:vAlign w:val="bottom"/>
          </w:tcPr>
          <w:p>
            <w:pPr>
              <w:ind w:left="120"/>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Report of Independent Registered Public Accounting Firm</w:t>
              </w:r>
            </w:hyperlink>
          </w:p>
        </w:tc>
        <w:tc>
          <w:tcPr>
            <w:tcW w:w="1620" w:type="dxa"/>
            <w:vAlign w:val="bottom"/>
          </w:tcPr>
          <w:p>
            <w:pPr>
              <w:jc w:val="right"/>
              <w:spacing w:after="0"/>
              <w:rPr>
                <w:sz w:val="20"/>
                <w:szCs w:val="20"/>
                <w:color w:val="auto"/>
              </w:rPr>
            </w:pPr>
            <w:r>
              <w:rPr>
                <w:rFonts w:ascii="Arial" w:cs="Arial" w:eastAsia="Arial" w:hAnsi="Arial"/>
                <w:sz w:val="18"/>
                <w:szCs w:val="18"/>
                <w:color w:val="32406B"/>
              </w:rPr>
              <w:t>F-2</w:t>
            </w:r>
          </w:p>
        </w:tc>
      </w:tr>
      <w:tr>
        <w:trPr>
          <w:trHeight w:val="216"/>
        </w:trPr>
        <w:tc>
          <w:tcPr>
            <w:tcW w:w="9460" w:type="dxa"/>
            <w:vAlign w:val="bottom"/>
          </w:tcPr>
          <w:p>
            <w:pPr>
              <w:ind w:left="120"/>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Consolidated Balance Sheets as of December 31, 2019 and 2020</w:t>
              </w:r>
            </w:hyperlink>
          </w:p>
        </w:tc>
        <w:tc>
          <w:tcPr>
            <w:tcW w:w="1620" w:type="dxa"/>
            <w:vAlign w:val="bottom"/>
          </w:tcPr>
          <w:p>
            <w:pPr>
              <w:jc w:val="right"/>
              <w:spacing w:after="0"/>
              <w:rPr>
                <w:sz w:val="20"/>
                <w:szCs w:val="20"/>
                <w:color w:val="auto"/>
              </w:rPr>
            </w:pPr>
            <w:r>
              <w:rPr>
                <w:rFonts w:ascii="Arial" w:cs="Arial" w:eastAsia="Arial" w:hAnsi="Arial"/>
                <w:sz w:val="18"/>
                <w:szCs w:val="18"/>
                <w:color w:val="32406B"/>
              </w:rPr>
              <w:t>F-3</w:t>
            </w:r>
          </w:p>
        </w:tc>
      </w:tr>
      <w:tr>
        <w:trPr>
          <w:trHeight w:val="216"/>
        </w:trPr>
        <w:tc>
          <w:tcPr>
            <w:tcW w:w="9460" w:type="dxa"/>
            <w:vAlign w:val="bottom"/>
          </w:tcPr>
          <w:p>
            <w:pPr>
              <w:ind w:left="12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Consolidated Statements of Comprehensive Loss for the years ended December 31, 2019 and 2020</w:t>
              </w:r>
            </w:hyperlink>
          </w:p>
        </w:tc>
        <w:tc>
          <w:tcPr>
            <w:tcW w:w="1620" w:type="dxa"/>
            <w:vAlign w:val="bottom"/>
          </w:tcPr>
          <w:p>
            <w:pPr>
              <w:jc w:val="right"/>
              <w:spacing w:after="0"/>
              <w:rPr>
                <w:sz w:val="20"/>
                <w:szCs w:val="20"/>
                <w:color w:val="auto"/>
              </w:rPr>
            </w:pPr>
            <w:r>
              <w:rPr>
                <w:rFonts w:ascii="Arial" w:cs="Arial" w:eastAsia="Arial" w:hAnsi="Arial"/>
                <w:sz w:val="18"/>
                <w:szCs w:val="18"/>
                <w:color w:val="32406B"/>
              </w:rPr>
              <w:t>F-6</w:t>
            </w:r>
          </w:p>
        </w:tc>
      </w:tr>
      <w:tr>
        <w:trPr>
          <w:trHeight w:val="216"/>
        </w:trPr>
        <w:tc>
          <w:tcPr>
            <w:tcW w:w="9460" w:type="dxa"/>
            <w:vAlign w:val="bottom"/>
          </w:tcPr>
          <w:p>
            <w:pPr>
              <w:ind w:left="120"/>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Consolidated Statements of Changes in Shareholders’ Deficit for the years ended December 31, 2019 and 2020</w:t>
              </w:r>
            </w:hyperlink>
          </w:p>
        </w:tc>
        <w:tc>
          <w:tcPr>
            <w:tcW w:w="1620" w:type="dxa"/>
            <w:vAlign w:val="bottom"/>
          </w:tcPr>
          <w:p>
            <w:pPr>
              <w:jc w:val="right"/>
              <w:spacing w:after="0"/>
              <w:rPr>
                <w:sz w:val="20"/>
                <w:szCs w:val="20"/>
                <w:color w:val="auto"/>
              </w:rPr>
            </w:pPr>
            <w:r>
              <w:rPr>
                <w:rFonts w:ascii="Arial" w:cs="Arial" w:eastAsia="Arial" w:hAnsi="Arial"/>
                <w:sz w:val="18"/>
                <w:szCs w:val="18"/>
                <w:color w:val="32406B"/>
              </w:rPr>
              <w:t>F-7</w:t>
            </w:r>
          </w:p>
        </w:tc>
      </w:tr>
      <w:tr>
        <w:trPr>
          <w:trHeight w:val="216"/>
        </w:trPr>
        <w:tc>
          <w:tcPr>
            <w:tcW w:w="946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Consolidated Statements of Cash Flows for the years ended December 31, 2019 and 2020</w:t>
              </w:r>
            </w:hyperlink>
          </w:p>
        </w:tc>
        <w:tc>
          <w:tcPr>
            <w:tcW w:w="1620" w:type="dxa"/>
            <w:vAlign w:val="bottom"/>
          </w:tcPr>
          <w:p>
            <w:pPr>
              <w:jc w:val="right"/>
              <w:spacing w:after="0"/>
              <w:rPr>
                <w:sz w:val="20"/>
                <w:szCs w:val="20"/>
                <w:color w:val="auto"/>
              </w:rPr>
            </w:pPr>
            <w:r>
              <w:rPr>
                <w:rFonts w:ascii="Arial" w:cs="Arial" w:eastAsia="Arial" w:hAnsi="Arial"/>
                <w:sz w:val="18"/>
                <w:szCs w:val="18"/>
                <w:color w:val="32406B"/>
              </w:rPr>
              <w:t>F-8</w:t>
            </w:r>
          </w:p>
        </w:tc>
      </w:tr>
      <w:tr>
        <w:trPr>
          <w:trHeight w:val="216"/>
        </w:trPr>
        <w:tc>
          <w:tcPr>
            <w:tcW w:w="9460" w:type="dxa"/>
            <w:vAlign w:val="bottom"/>
          </w:tcPr>
          <w:p>
            <w:pPr>
              <w:ind w:left="12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Notes to the Consolidated Financial Statements</w:t>
              </w:r>
            </w:hyperlink>
          </w:p>
        </w:tc>
        <w:tc>
          <w:tcPr>
            <w:tcW w:w="1620" w:type="dxa"/>
            <w:vAlign w:val="bottom"/>
          </w:tcPr>
          <w:p>
            <w:pPr>
              <w:jc w:val="right"/>
              <w:spacing w:after="0"/>
              <w:rPr>
                <w:sz w:val="20"/>
                <w:szCs w:val="20"/>
                <w:color w:val="auto"/>
              </w:rPr>
            </w:pPr>
            <w:r>
              <w:rPr>
                <w:rFonts w:ascii="Arial" w:cs="Arial" w:eastAsia="Arial" w:hAnsi="Arial"/>
                <w:sz w:val="18"/>
                <w:szCs w:val="18"/>
                <w:color w:val="32406B"/>
              </w:rPr>
              <w:t>F-</w:t>
            </w:r>
          </w:p>
        </w:tc>
      </w:tr>
      <w:tr>
        <w:trPr>
          <w:trHeight w:val="230"/>
        </w:trPr>
        <w:tc>
          <w:tcPr>
            <w:tcW w:w="94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32406B"/>
              </w:rPr>
              <w:t>10</w:t>
            </w:r>
          </w:p>
        </w:tc>
      </w:tr>
      <w:tr>
        <w:trPr>
          <w:trHeight w:val="365"/>
        </w:trPr>
        <w:tc>
          <w:tcPr>
            <w:tcW w:w="9460" w:type="dxa"/>
            <w:vAlign w:val="bottom"/>
          </w:tcPr>
          <w:p>
            <w:pPr>
              <w:ind w:left="5500"/>
              <w:spacing w:after="0"/>
              <w:rPr>
                <w:sz w:val="20"/>
                <w:szCs w:val="20"/>
                <w:color w:val="auto"/>
              </w:rPr>
            </w:pPr>
            <w:r>
              <w:rPr>
                <w:rFonts w:ascii="Arial" w:cs="Arial" w:eastAsia="Arial" w:hAnsi="Arial"/>
                <w:sz w:val="18"/>
                <w:szCs w:val="18"/>
                <w:color w:val="32406B"/>
              </w:rPr>
              <w:t>F-1</w:t>
            </w:r>
          </w:p>
        </w:tc>
        <w:tc>
          <w:tcPr>
            <w:tcW w:w="1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32406B"/>
        </w:rPr>
        <w:t>Report of Independent Registered Public Accounting Firm</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To the Board of Directors and Shareholders of Tuya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Opinion on the Financial Statements</w:t>
      </w:r>
    </w:p>
    <w:p>
      <w:pPr>
        <w:spacing w:after="0" w:line="121" w:lineRule="exact"/>
        <w:rPr>
          <w:sz w:val="20"/>
          <w:szCs w:val="20"/>
          <w:color w:val="auto"/>
        </w:rPr>
      </w:pPr>
    </w:p>
    <w:p>
      <w:pPr>
        <w:jc w:val="both"/>
        <w:ind w:left="120" w:right="80"/>
        <w:spacing w:after="0" w:line="296" w:lineRule="auto"/>
        <w:rPr>
          <w:sz w:val="20"/>
          <w:szCs w:val="20"/>
          <w:color w:val="auto"/>
        </w:rPr>
      </w:pPr>
      <w:r>
        <w:rPr>
          <w:rFonts w:ascii="Arial" w:cs="Arial" w:eastAsia="Arial" w:hAnsi="Arial"/>
          <w:sz w:val="16"/>
          <w:szCs w:val="16"/>
          <w:color w:val="32406B"/>
        </w:rPr>
        <w:t>We have audited the accompanying consolidated balance sheets of Tuya Inc. and its subsidiaries (the “Company”) as of December 31, 2020 and 2019, and the related consolidated statements of comprehensive loss, of changes in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Basis for Opinion</w:t>
      </w:r>
    </w:p>
    <w:p>
      <w:pPr>
        <w:spacing w:after="0" w:line="121"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32406B"/>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32406B"/>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32406B"/>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/s/ PricewaterhouseCoopers Zhong Tian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Shanghai, the People’s Republic of China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February 26, 2021</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F-2</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BALANCE SHEETS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AS OF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(All amounts in US$ thousands (“US$”), except for share and per share data, unless otherwise noted)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32406B"/>
                <w:w w:val="91"/>
              </w:rPr>
              <w:t>As of</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1"/>
              </w:rPr>
              <w:t>As of</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2019</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32406B"/>
              </w:rPr>
              <w:t>ASSETS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7"/>
                <w:szCs w:val="17"/>
                <w:b w:val="1"/>
                <w:bCs w:val="1"/>
                <w:color w:val="32406B"/>
              </w:rPr>
              <w:t>Current assets: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Cash and cash equivalents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213,258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158,792</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Restricted cash</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29</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163</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Short-term investments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16,663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20,976</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Accounts receivable, net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5,351</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12,316</w:t>
            </w: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Notes receivable</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379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9,126</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Inventories, net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23,019</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42,267</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Prepayments and other current assets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8,008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4,393</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b w:val="1"/>
                <w:bCs w:val="1"/>
                <w:color w:val="32406B"/>
              </w:rPr>
              <w:t>Total 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32406B"/>
              </w:rPr>
              <w:t>266,707</w:t>
            </w:r>
          </w:p>
        </w:tc>
        <w:tc>
          <w:tcPr>
            <w:tcW w:w="4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32406B"/>
              </w:rPr>
              <w:t>248,033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32406B"/>
              </w:rPr>
              <w:t>Non-current assets: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Property, equipment and software, net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2,840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4,374</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Operating lease right-of-use assets, net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8,658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12,267</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Long-term investments</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430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920</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Other non-current assets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769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1,729</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b w:val="1"/>
                <w:bCs w:val="1"/>
                <w:color w:val="32406B"/>
              </w:rPr>
              <w:t>Total non-current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32406B"/>
              </w:rPr>
              <w:t>12,697</w:t>
            </w:r>
          </w:p>
        </w:tc>
        <w:tc>
          <w:tcPr>
            <w:tcW w:w="4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32406B"/>
              </w:rPr>
              <w:t>19,290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32406B"/>
              </w:rPr>
              <w:t>Total assets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279,404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267,323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32406B"/>
              </w:rPr>
              <w:t>LIABILITIES, MEZZANINE EQUITY AND SHAREHOLDERS’ DEFICIT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8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32406B"/>
                <w:w w:val="97"/>
              </w:rPr>
              <w:t>Current liabilities (including amounts of the consolidated VIE without recourse to the primary beneficiary of 739</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32406B"/>
              </w:rPr>
              <w:t>and 778 as of December 31, 2019 and 2020, respectively):</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Accounts payable</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12,176</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23,159</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Advance from customers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14,051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27,078</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Deferred revenue, current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516</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3,468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Accruals and other current liabilities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19,698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31,738</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Income tax payable</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155</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159</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Lease liabilities, current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3,763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6,326</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b w:val="1"/>
                <w:bCs w:val="1"/>
                <w:color w:val="32406B"/>
              </w:rPr>
              <w:t>Total current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32406B"/>
              </w:rPr>
              <w:t>50,359</w:t>
            </w:r>
          </w:p>
        </w:tc>
        <w:tc>
          <w:tcPr>
            <w:tcW w:w="4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32406B"/>
              </w:rPr>
              <w:t>91,928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80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32406B"/>
                <w:w w:val="97"/>
              </w:rPr>
              <w:t>Non-current liabilities (including amounts of the consolidated VIE without recourse to the primary beneficiary of</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32406B"/>
              </w:rPr>
              <w:t>33 and nil as of December 31, 2019 and 2020, respectively):</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800" w:type="dxa"/>
            <w:vAlign w:val="bottom"/>
          </w:tcPr>
          <w:p>
            <w:pPr>
              <w:ind w:left="340"/>
              <w:spacing w:after="0"/>
              <w:rPr>
                <w:sz w:val="20"/>
                <w:szCs w:val="20"/>
                <w:color w:val="auto"/>
              </w:rPr>
            </w:pPr>
            <w:r>
              <w:rPr>
                <w:rFonts w:ascii="Arial" w:cs="Arial" w:eastAsia="Arial" w:hAnsi="Arial"/>
                <w:sz w:val="17"/>
                <w:szCs w:val="17"/>
                <w:color w:val="32406B"/>
              </w:rPr>
              <w:t>Lease liabilities, non-current</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5,210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5,688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Deferred revenue, non-current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261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707</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b w:val="1"/>
                <w:bCs w:val="1"/>
                <w:color w:val="32406B"/>
              </w:rPr>
              <w:t>Total non-current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32406B"/>
              </w:rPr>
              <w:t>5,471</w:t>
            </w:r>
          </w:p>
        </w:tc>
        <w:tc>
          <w:tcPr>
            <w:tcW w:w="4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32406B"/>
              </w:rPr>
              <w:t>6,395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32406B"/>
              </w:rPr>
              <w:t>Total liabilities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55,830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98,323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32406B"/>
              </w:rPr>
              <w:t>Commitments and Contingencies (Note 19)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8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BALANCE SHEETS—(Continued)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AS OF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(All amounts in US$ thousands (“US$”), except for share and per share data, unless otherwise noted)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32406B"/>
                <w:w w:val="91"/>
              </w:rPr>
              <w:t>As of</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1"/>
              </w:rPr>
              <w:t>As of</w:t>
            </w:r>
          </w:p>
        </w:tc>
      </w:tr>
      <w:tr>
        <w:trPr>
          <w:trHeight w:val="148"/>
        </w:trPr>
        <w:tc>
          <w:tcPr>
            <w:tcW w:w="88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2"/>
              </w:rPr>
              <w:t>December 31,</w:t>
            </w:r>
          </w:p>
        </w:tc>
      </w:tr>
      <w:tr>
        <w:trPr>
          <w:trHeight w:val="171"/>
        </w:trPr>
        <w:tc>
          <w:tcPr>
            <w:tcW w:w="88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2019</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2020</w:t>
            </w:r>
          </w:p>
        </w:tc>
        <w:tc>
          <w:tcPr>
            <w:tcW w:w="60" w:type="dxa"/>
            <w:vAlign w:val="bottom"/>
            <w:tcBorders>
              <w:bottom w:val="single" w:sz="8" w:color="CCEEFF"/>
            </w:tcBorders>
          </w:tcPr>
          <w:p>
            <w:pPr>
              <w:spacing w:after="0"/>
              <w:rPr>
                <w:sz w:val="14"/>
                <w:szCs w:val="14"/>
                <w:color w:val="auto"/>
              </w:rPr>
            </w:pPr>
          </w:p>
        </w:tc>
      </w:tr>
      <w:tr>
        <w:trPr>
          <w:trHeight w:val="183"/>
        </w:trPr>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32406B"/>
              </w:rPr>
              <w:t>Mezzanine equity</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5"/>
        </w:trPr>
        <w:tc>
          <w:tcPr>
            <w:tcW w:w="8800" w:type="dxa"/>
            <w:vAlign w:val="bottom"/>
          </w:tcPr>
          <w:p>
            <w:pPr>
              <w:ind w:left="340"/>
              <w:spacing w:after="0" w:line="185" w:lineRule="exact"/>
              <w:rPr>
                <w:sz w:val="20"/>
                <w:szCs w:val="20"/>
                <w:color w:val="auto"/>
              </w:rPr>
            </w:pPr>
            <w:r>
              <w:rPr>
                <w:rFonts w:ascii="Arial" w:cs="Arial" w:eastAsia="Arial" w:hAnsi="Arial"/>
                <w:sz w:val="17"/>
                <w:szCs w:val="17"/>
                <w:color w:val="32406B"/>
                <w:w w:val="96"/>
              </w:rPr>
              <w:t>Series A convertible preferred shares (US$0.00005 par value; 65,288,360 shares authorized, issued and outstanding</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8"/>
        </w:trPr>
        <w:tc>
          <w:tcPr>
            <w:tcW w:w="8800" w:type="dxa"/>
            <w:vAlign w:val="bottom"/>
          </w:tcPr>
          <w:p>
            <w:pPr>
              <w:ind w:left="500"/>
              <w:spacing w:after="0"/>
              <w:rPr>
                <w:sz w:val="20"/>
                <w:szCs w:val="20"/>
                <w:color w:val="auto"/>
              </w:rPr>
            </w:pPr>
            <w:r>
              <w:rPr>
                <w:rFonts w:ascii="Arial" w:cs="Arial" w:eastAsia="Arial" w:hAnsi="Arial"/>
                <w:sz w:val="17"/>
                <w:szCs w:val="17"/>
                <w:color w:val="32406B"/>
              </w:rPr>
              <w:t>as of December 31, 2019 and 2020, respectively)</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9,000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9,000</w:t>
            </w:r>
          </w:p>
        </w:tc>
      </w:tr>
      <w:tr>
        <w:trPr>
          <w:trHeight w:val="187"/>
        </w:trPr>
        <w:tc>
          <w:tcPr>
            <w:tcW w:w="880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32406B"/>
                <w:w w:val="97"/>
              </w:rPr>
              <w:t>Series A-1 convertible preferred shares (US$0.00005 par value; 15,959,140 shares authorized as of December 31,</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32406B"/>
              </w:rPr>
              <w:t>2019 and 2020, respectively; 12,222,267 shares issued and outstanding as of December 31, 2019 and 2020,</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0"/>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32406B"/>
              </w:rPr>
              <w:t>respectively)</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2,680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2,680</w:t>
            </w:r>
          </w:p>
        </w:tc>
      </w:tr>
      <w:tr>
        <w:trPr>
          <w:trHeight w:val="185"/>
        </w:trPr>
        <w:tc>
          <w:tcPr>
            <w:tcW w:w="8800" w:type="dxa"/>
            <w:vAlign w:val="bottom"/>
          </w:tcPr>
          <w:p>
            <w:pPr>
              <w:ind w:left="340"/>
              <w:spacing w:after="0" w:line="185" w:lineRule="exact"/>
              <w:rPr>
                <w:sz w:val="20"/>
                <w:szCs w:val="20"/>
                <w:color w:val="auto"/>
              </w:rPr>
            </w:pPr>
            <w:r>
              <w:rPr>
                <w:rFonts w:ascii="Arial" w:cs="Arial" w:eastAsia="Arial" w:hAnsi="Arial"/>
                <w:sz w:val="17"/>
                <w:szCs w:val="17"/>
                <w:color w:val="32406B"/>
                <w:w w:val="94"/>
              </w:rPr>
              <w:t>Series B convertible preferred shares (US$0.00005 par value; 90,782,550 shares authorized as of December 31, 2019</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8800" w:type="dxa"/>
            <w:vAlign w:val="bottom"/>
          </w:tcPr>
          <w:p>
            <w:pPr>
              <w:ind w:left="500"/>
              <w:spacing w:after="0"/>
              <w:rPr>
                <w:sz w:val="20"/>
                <w:szCs w:val="20"/>
                <w:color w:val="auto"/>
              </w:rPr>
            </w:pPr>
            <w:r>
              <w:rPr>
                <w:rFonts w:ascii="Arial" w:cs="Arial" w:eastAsia="Arial" w:hAnsi="Arial"/>
                <w:sz w:val="17"/>
                <w:szCs w:val="17"/>
                <w:color w:val="32406B"/>
              </w:rPr>
              <w:t>and 2020, respectively; 87,756,440 shares issued and outstanding as of December 31, 2019 and 2020,</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8800" w:type="dxa"/>
            <w:vAlign w:val="bottom"/>
          </w:tcPr>
          <w:p>
            <w:pPr>
              <w:ind w:left="500"/>
              <w:spacing w:after="0"/>
              <w:rPr>
                <w:sz w:val="20"/>
                <w:szCs w:val="20"/>
                <w:color w:val="auto"/>
              </w:rPr>
            </w:pPr>
            <w:r>
              <w:rPr>
                <w:rFonts w:ascii="Arial" w:cs="Arial" w:eastAsia="Arial" w:hAnsi="Arial"/>
                <w:sz w:val="17"/>
                <w:szCs w:val="17"/>
                <w:color w:val="32406B"/>
              </w:rPr>
              <w:t>respectively)</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32406B"/>
              </w:rPr>
              <w:t>29,000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32406B"/>
              </w:rPr>
              <w:t>29,000</w:t>
            </w:r>
          </w:p>
        </w:tc>
      </w:tr>
      <w:tr>
        <w:trPr>
          <w:trHeight w:val="187"/>
        </w:trPr>
        <w:tc>
          <w:tcPr>
            <w:tcW w:w="880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32406B"/>
                <w:w w:val="94"/>
              </w:rPr>
              <w:t>Series C convertible preferred shares (US$0.00005 par value; 60,469,840 shares authorized as of December 31, 2019</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32406B"/>
              </w:rPr>
              <w:t>and 2020, respectively; 60,468,490 shares issued and outstanding as of December 31, 2019 and 2020,</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0"/>
        </w:trPr>
        <w:tc>
          <w:tcPr>
            <w:tcW w:w="8800" w:type="dxa"/>
            <w:vAlign w:val="bottom"/>
            <w:shd w:val="clear" w:color="auto" w:fill="CCEEFF"/>
          </w:tcPr>
          <w:p>
            <w:pPr>
              <w:ind w:left="500"/>
              <w:spacing w:after="0"/>
              <w:rPr>
                <w:sz w:val="20"/>
                <w:szCs w:val="20"/>
                <w:color w:val="auto"/>
              </w:rPr>
            </w:pPr>
            <w:r>
              <w:rPr>
                <w:rFonts w:ascii="Arial" w:cs="Arial" w:eastAsia="Arial" w:hAnsi="Arial"/>
                <w:sz w:val="17"/>
                <w:szCs w:val="17"/>
                <w:color w:val="32406B"/>
              </w:rPr>
              <w:t>respectively)</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115,007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115,007</w:t>
            </w:r>
          </w:p>
        </w:tc>
      </w:tr>
      <w:tr>
        <w:trPr>
          <w:trHeight w:val="185"/>
        </w:trPr>
        <w:tc>
          <w:tcPr>
            <w:tcW w:w="8800" w:type="dxa"/>
            <w:vAlign w:val="bottom"/>
          </w:tcPr>
          <w:p>
            <w:pPr>
              <w:ind w:left="340"/>
              <w:spacing w:after="0" w:line="185" w:lineRule="exact"/>
              <w:rPr>
                <w:sz w:val="20"/>
                <w:szCs w:val="20"/>
                <w:color w:val="auto"/>
              </w:rPr>
            </w:pPr>
            <w:r>
              <w:rPr>
                <w:rFonts w:ascii="Arial" w:cs="Arial" w:eastAsia="Arial" w:hAnsi="Arial"/>
                <w:sz w:val="17"/>
                <w:szCs w:val="17"/>
                <w:color w:val="32406B"/>
                <w:w w:val="95"/>
              </w:rPr>
              <w:t>Series D convertible preferred shares (US$0.00005 par value; 75,000,000 shares authorized December 31, 2019 and</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8800" w:type="dxa"/>
            <w:vAlign w:val="bottom"/>
          </w:tcPr>
          <w:p>
            <w:pPr>
              <w:ind w:left="500"/>
              <w:spacing w:after="0"/>
              <w:rPr>
                <w:sz w:val="20"/>
                <w:szCs w:val="20"/>
                <w:color w:val="auto"/>
              </w:rPr>
            </w:pPr>
            <w:r>
              <w:rPr>
                <w:rFonts w:ascii="Arial" w:cs="Arial" w:eastAsia="Arial" w:hAnsi="Arial"/>
                <w:sz w:val="17"/>
                <w:szCs w:val="17"/>
                <w:color w:val="32406B"/>
                <w:w w:val="98"/>
              </w:rPr>
              <w:t>2020, respectively; 52,428,242 shares issued and outstanding as of December 31, 2019 and 2020, respectively)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2406B"/>
              </w:rPr>
              <w:t>177,980</w:t>
            </w:r>
          </w:p>
        </w:tc>
        <w:tc>
          <w:tcPr>
            <w:tcW w:w="4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2406B"/>
              </w:rPr>
              <w:t>177,980</w:t>
            </w:r>
          </w:p>
        </w:tc>
        <w:tc>
          <w:tcPr>
            <w:tcW w:w="60" w:type="dxa"/>
            <w:vAlign w:val="bottom"/>
          </w:tcPr>
          <w:p>
            <w:pPr>
              <w:spacing w:after="0"/>
              <w:rPr>
                <w:sz w:val="19"/>
                <w:szCs w:val="19"/>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32406B"/>
              </w:rPr>
              <w:t>Total mezzanine equity</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333,667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333,667</w:t>
            </w:r>
          </w:p>
        </w:tc>
      </w:tr>
      <w:tr>
        <w:trPr>
          <w:trHeight w:val="20"/>
        </w:trPr>
        <w:tc>
          <w:tcPr>
            <w:tcW w:w="8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F-4</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BALANCE SHEETS—(Continued)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AS OF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(All amounts in US$ thousands (“US$”), except for share and per share data, unless otherwise noted)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32406B"/>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1"/>
              </w:rPr>
              <w:t>As of</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0" w:type="dxa"/>
            <w:vAlign w:val="bottom"/>
          </w:tcPr>
          <w:p>
            <w:pPr>
              <w:spacing w:after="0"/>
              <w:rPr>
                <w:sz w:val="1"/>
                <w:szCs w:val="1"/>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2019</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32406B"/>
              </w:rPr>
              <w:t>Shareholders’ deficit:</w:t>
            </w: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800" w:type="dxa"/>
            <w:vAlign w:val="bottom"/>
          </w:tcPr>
          <w:p>
            <w:pPr>
              <w:ind w:left="340"/>
              <w:spacing w:after="0" w:line="185" w:lineRule="exact"/>
              <w:rPr>
                <w:sz w:val="20"/>
                <w:szCs w:val="20"/>
                <w:color w:val="auto"/>
              </w:rPr>
            </w:pPr>
            <w:r>
              <w:rPr>
                <w:rFonts w:ascii="Arial" w:cs="Arial" w:eastAsia="Arial" w:hAnsi="Arial"/>
                <w:sz w:val="17"/>
                <w:szCs w:val="17"/>
                <w:color w:val="32406B"/>
                <w:w w:val="93"/>
              </w:rPr>
              <w:t>Ordinary shares (US$0.00005 par value; 692,500,110 shares authorized; 221,980,000 shares issued and outstanding as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800" w:type="dxa"/>
            <w:vAlign w:val="bottom"/>
          </w:tcPr>
          <w:p>
            <w:pPr>
              <w:ind w:left="500"/>
              <w:spacing w:after="0"/>
              <w:rPr>
                <w:sz w:val="20"/>
                <w:szCs w:val="20"/>
                <w:color w:val="auto"/>
              </w:rPr>
            </w:pPr>
            <w:r>
              <w:rPr>
                <w:rFonts w:ascii="Arial" w:cs="Arial" w:eastAsia="Arial" w:hAnsi="Arial"/>
                <w:sz w:val="17"/>
                <w:szCs w:val="17"/>
                <w:color w:val="32406B"/>
              </w:rPr>
              <w:t>of December 31, 2019 and 2020, respectively)</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32406B"/>
              </w:rPr>
              <w:t>11</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32406B"/>
              </w:rPr>
              <w:t>11</w:t>
            </w:r>
          </w:p>
        </w:tc>
        <w:tc>
          <w:tcPr>
            <w:tcW w:w="0" w:type="dxa"/>
            <w:vAlign w:val="bottom"/>
          </w:tcPr>
          <w:p>
            <w:pPr>
              <w:spacing w:after="0"/>
              <w:rPr>
                <w:sz w:val="1"/>
                <w:szCs w:val="1"/>
                <w:color w:val="auto"/>
              </w:rPr>
            </w:pPr>
          </w:p>
        </w:tc>
      </w:tr>
      <w:tr>
        <w:trPr>
          <w:trHeight w:val="205"/>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w w:val="96"/>
              </w:rPr>
              <w:t>Class A ordinary shares (US$0.00005 par value; none outstanding as of December 31, 2019 and 2020, respectively)</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32406B"/>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w w:val="96"/>
              </w:rPr>
              <w:t>Class B ordinary shares (US$0.00005 par value; none outstanding as of December 31, 2019 and 2020, respectively)</w:t>
            </w:r>
          </w:p>
        </w:tc>
        <w:tc>
          <w:tcPr>
            <w:tcW w:w="1260" w:type="dxa"/>
            <w:vAlign w:val="bottom"/>
            <w:gridSpan w:val="3"/>
          </w:tcPr>
          <w:p>
            <w:pPr>
              <w:jc w:val="right"/>
              <w:ind w:right="420"/>
              <w:spacing w:after="0"/>
              <w:rPr>
                <w:sz w:val="20"/>
                <w:szCs w:val="20"/>
                <w:color w:val="auto"/>
              </w:rPr>
            </w:pPr>
            <w:r>
              <w:rPr>
                <w:rFonts w:ascii="Arial" w:cs="Arial" w:eastAsia="Arial" w:hAnsi="Arial"/>
                <w:sz w:val="17"/>
                <w:szCs w:val="17"/>
                <w:color w:val="32406B"/>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Additional paid-in capital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32406B"/>
              </w:rPr>
              <w:t>17,869</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32406B"/>
              </w:rPr>
              <w:t>27,315</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Subscription receivables from shareholders</w:t>
            </w:r>
          </w:p>
        </w:tc>
        <w:tc>
          <w:tcPr>
            <w:tcW w:w="1260" w:type="dxa"/>
            <w:vAlign w:val="bottom"/>
            <w:gridSpan w:val="3"/>
          </w:tcPr>
          <w:p>
            <w:pPr>
              <w:jc w:val="right"/>
              <w:ind w:right="360"/>
              <w:spacing w:after="0"/>
              <w:rPr>
                <w:sz w:val="20"/>
                <w:szCs w:val="20"/>
                <w:color w:val="auto"/>
              </w:rPr>
            </w:pPr>
            <w:r>
              <w:rPr>
                <w:rFonts w:ascii="Arial" w:cs="Arial" w:eastAsia="Arial" w:hAnsi="Arial"/>
                <w:sz w:val="17"/>
                <w:szCs w:val="17"/>
                <w:color w:val="32406B"/>
              </w:rPr>
              <w:t>(10)</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Accumulated other comprehensive (loss)/income</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32406B"/>
              </w:rPr>
              <w:t>(2,401)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32406B"/>
              </w:rPr>
              <w:t>481</w:t>
            </w:r>
          </w:p>
        </w:tc>
        <w:tc>
          <w:tcPr>
            <w:tcW w:w="0" w:type="dxa"/>
            <w:vAlign w:val="bottom"/>
          </w:tcPr>
          <w:p>
            <w:pPr>
              <w:spacing w:after="0"/>
              <w:rPr>
                <w:sz w:val="1"/>
                <w:szCs w:val="1"/>
                <w:color w:val="auto"/>
              </w:rPr>
            </w:pPr>
          </w:p>
        </w:tc>
      </w:tr>
      <w:tr>
        <w:trPr>
          <w:trHeight w:val="203"/>
        </w:trPr>
        <w:tc>
          <w:tcPr>
            <w:tcW w:w="8800" w:type="dxa"/>
            <w:vAlign w:val="bottom"/>
          </w:tcPr>
          <w:p>
            <w:pPr>
              <w:ind w:left="340"/>
              <w:spacing w:after="0"/>
              <w:rPr>
                <w:sz w:val="20"/>
                <w:szCs w:val="20"/>
                <w:color w:val="auto"/>
              </w:rPr>
            </w:pPr>
            <w:r>
              <w:rPr>
                <w:rFonts w:ascii="Arial" w:cs="Arial" w:eastAsia="Arial" w:hAnsi="Arial"/>
                <w:sz w:val="17"/>
                <w:szCs w:val="17"/>
                <w:color w:val="32406B"/>
              </w:rPr>
              <w:t>Accumulated deficit</w:t>
            </w:r>
          </w:p>
        </w:tc>
        <w:tc>
          <w:tcPr>
            <w:tcW w:w="1260" w:type="dxa"/>
            <w:vAlign w:val="bottom"/>
            <w:gridSpan w:val="3"/>
          </w:tcPr>
          <w:p>
            <w:pPr>
              <w:jc w:val="right"/>
              <w:ind w:right="360"/>
              <w:spacing w:after="0"/>
              <w:rPr>
                <w:sz w:val="20"/>
                <w:szCs w:val="20"/>
                <w:color w:val="auto"/>
              </w:rPr>
            </w:pPr>
            <w:r>
              <w:rPr>
                <w:rFonts w:ascii="Arial" w:cs="Arial" w:eastAsia="Arial" w:hAnsi="Arial"/>
                <w:sz w:val="17"/>
                <w:szCs w:val="17"/>
                <w:color w:val="32406B"/>
              </w:rPr>
              <w:t>(125,562)</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32406B"/>
              </w:rPr>
              <w:t>(192,474)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32406B"/>
              </w:rPr>
              <w:t>Total shareholders’ deficit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32406B"/>
              </w:rPr>
              <w:t>(110,093)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32406B"/>
              </w:rPr>
              <w:t>(164,667)</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32406B"/>
              </w:rPr>
              <w:t>Total liabilities, mezzanine equity and shareholders’ deficit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2406B"/>
              </w:rPr>
              <w:t>279,404</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2406B"/>
              </w:rPr>
              <w:t>267,323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(All amounts in US$ thousands (“US$”), except for share and per share data, unless otherwise noted)</w:t>
      </w:r>
    </w:p>
    <w:p>
      <w:pPr>
        <w:spacing w:after="0" w:line="229"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32406B"/>
        </w:rPr>
        <w:t>Year Ended December 31,</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848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32406B"/>
              </w:rPr>
              <w:t>2019</w:t>
            </w:r>
          </w:p>
        </w:tc>
        <w:tc>
          <w:tcPr>
            <w:tcW w:w="22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32406B"/>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105,789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179,874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32406B"/>
              </w:rPr>
              <w:t>Cost of revenue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32406B"/>
              </w:rPr>
              <w:t>(78,003)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32406B"/>
              </w:rPr>
              <w:t>(117,937)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Gross profit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27,786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61,937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32406B"/>
              </w:rPr>
              <w:t>Operating expenses: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Research and development expenses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(52,003)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(77,430)</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32406B"/>
              </w:rPr>
              <w:t>Sales and marketing expenses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32406B"/>
              </w:rPr>
              <w:t>(37,017)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32406B"/>
              </w:rPr>
              <w:t>(37,556)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General and administrative expenses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(12,196)</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(17,868)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32406B"/>
              </w:rPr>
              <w:t>Other operating (expenses)/incomes, net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32406B"/>
              </w:rPr>
              <w:t>(10)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32406B"/>
              </w:rPr>
              <w:t>1,071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 operating expenses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(101,226)</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(131,783)</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b w:val="1"/>
                <w:bCs w:val="1"/>
                <w:color w:val="32406B"/>
              </w:rPr>
              <w:t>Loss from operations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(73,440)</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(69,846)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income/(loss)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32406B"/>
              </w:rPr>
              <w:t>Financial income, net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32406B"/>
              </w:rPr>
              <w:t>3,326</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32406B"/>
              </w:rPr>
              <w:t>3,220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Foreign exchange loss, net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(239)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(80)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32406B"/>
              </w:rPr>
              <w:t>Loss before income tax expense</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(70,353)</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(66,706)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Income tax expense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(124)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(206)</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32406B"/>
              </w:rPr>
              <w:t>Net loss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(70,477)</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(66,912)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attributable to Tuya Inc.</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(70,477)</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(66,912)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32406B"/>
              </w:rPr>
              <w:t>Deemed dividend to convertible preferred shareholders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(3,430)</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attribute to ordinary shareholders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(73,907)</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(66,912)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32406B"/>
              </w:rPr>
              <w:t>Net loss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32406B"/>
              </w:rPr>
              <w:t>(70,477)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2406B"/>
              </w:rPr>
              <w:t>(66,912)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Other comprehensive (loss)/income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32406B"/>
              </w:rPr>
              <w:t>Foreign currency translation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32406B"/>
              </w:rPr>
              <w:t>(428)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32406B"/>
              </w:rPr>
              <w:t>2,882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comprehensive loss attributable to Tuya Inc.</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(70,905)</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(64,030)</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32406B"/>
              </w:rPr>
              <w:t>Net loss attributable to Tuya Inc.</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32406B"/>
              </w:rPr>
              <w:t>(70,477)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2406B"/>
              </w:rPr>
              <w:t>(66,912)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Deemed dividend to convertible preferred shareholders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(3,430)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32406B"/>
              </w:rPr>
              <w:t>Net loss attributable to ordinary shareholders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(73,907)</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(66,912)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Weighted average number of ordinary shares used in computing net loss per share, basic and diluted</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221,980,000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221,980,000</w:t>
            </w: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b w:val="1"/>
                <w:bCs w:val="1"/>
                <w:color w:val="32406B"/>
              </w:rPr>
              <w:t>Net loss per share attributable to ordinary shareholders—basic and diluted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32406B"/>
              </w:rPr>
              <w:t>(0.33)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32406B"/>
              </w:rPr>
              <w:t>(0.30)</w:t>
            </w:r>
          </w:p>
        </w:tc>
        <w:tc>
          <w:tcPr>
            <w:tcW w:w="0" w:type="dxa"/>
            <w:vAlign w:val="bottom"/>
          </w:tcPr>
          <w:p>
            <w:pPr>
              <w:spacing w:after="0"/>
              <w:rPr>
                <w:sz w:val="1"/>
                <w:szCs w:val="1"/>
                <w:color w:val="auto"/>
              </w:rPr>
            </w:pPr>
          </w:p>
        </w:tc>
      </w:tr>
      <w:tr>
        <w:trPr>
          <w:trHeight w:val="108"/>
        </w:trPr>
        <w:tc>
          <w:tcPr>
            <w:tcW w:w="8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Share-based compensation expenses were included in:</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32406B"/>
              </w:rPr>
              <w:t>Research and development expenses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32406B"/>
              </w:rPr>
              <w:t>1,218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32406B"/>
              </w:rPr>
              <w:t>2,596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Sales and marketing expenses</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1,109</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1,529</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32406B"/>
              </w:rPr>
              <w:t>General and administrative expenses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32406B"/>
              </w:rPr>
              <w:t>2,893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32406B"/>
              </w:rPr>
              <w:t>5,321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F-6</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CHANGES IN SHAREHOLDERS’ DEFICIT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(All amounts in US$ thousands (“US$”), except for share and per share data, unless otherwise noted)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920" w:type="dxa"/>
            <w:vAlign w:val="bottom"/>
            <w:gridSpan w:val="4"/>
          </w:tcPr>
          <w:p>
            <w:pPr>
              <w:ind w:left="340"/>
              <w:spacing w:after="0"/>
              <w:rPr>
                <w:sz w:val="20"/>
                <w:szCs w:val="20"/>
                <w:color w:val="auto"/>
              </w:rPr>
            </w:pPr>
            <w:r>
              <w:rPr>
                <w:rFonts w:ascii="Arial" w:cs="Arial" w:eastAsia="Arial" w:hAnsi="Arial"/>
                <w:sz w:val="14"/>
                <w:szCs w:val="14"/>
                <w:b w:val="1"/>
                <w:bCs w:val="1"/>
                <w:color w:val="32406B"/>
              </w:rPr>
              <w:t>Ordinary shares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9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32406B"/>
              </w:rPr>
              <w:t>(US$0.00005 par value)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93"/>
              </w:rPr>
              <w:t>Accumulated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32406B"/>
              </w:rPr>
              <w:t>Number</w:t>
            </w: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32406B"/>
              </w:rPr>
              <w:t>Additional</w:t>
            </w:r>
          </w:p>
        </w:tc>
        <w:tc>
          <w:tcPr>
            <w:tcW w:w="10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32406B"/>
                <w:w w:val="95"/>
              </w:rPr>
              <w:t>Receivables</w:t>
            </w:r>
          </w:p>
        </w:tc>
        <w:tc>
          <w:tcPr>
            <w:tcW w:w="11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32406B"/>
              </w:rPr>
              <w:t>other</w:t>
            </w: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32406B"/>
                <w:w w:val="90"/>
              </w:rPr>
              <w:t>Accumulated</w:t>
            </w:r>
          </w:p>
        </w:tc>
        <w:tc>
          <w:tcPr>
            <w:tcW w:w="9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32406B"/>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0"/>
              </w:rPr>
              <w:t>of</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32406B"/>
                <w:w w:val="90"/>
              </w:rPr>
              <w:t>Amount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5"/>
              </w:rPr>
              <w:t>paid-in</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6"/>
              </w:rPr>
              <w:t>from</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2406B"/>
                <w:w w:val="87"/>
              </w:rPr>
              <w:t>comprehensive</w:t>
            </w: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1"/>
              </w:rPr>
              <w:t>shareholders’</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87"/>
              </w:rPr>
              <w:t>shares issued</w:t>
            </w:r>
          </w:p>
        </w:tc>
        <w:tc>
          <w:tcPr>
            <w:tcW w:w="740" w:type="dxa"/>
            <w:vAlign w:val="bottom"/>
            <w:gridSpan w:val="2"/>
            <w:vMerge w:val="continue"/>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94"/>
              </w:rPr>
              <w:t>capital</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90"/>
              </w:rPr>
              <w:t>shareholders</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88"/>
              </w:rPr>
              <w:t>(loss)/income</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6"/>
              </w:rPr>
              <w:t>deficit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2"/>
              </w:rPr>
              <w:t>deficit</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32406B"/>
              </w:rPr>
              <w:t>US$</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5"/>
              </w:rPr>
              <w:t>US$</w:t>
            </w:r>
          </w:p>
        </w:tc>
        <w:tc>
          <w:tcPr>
            <w:tcW w:w="2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87"/>
              </w:rPr>
              <w:t>US$</w:t>
            </w:r>
          </w:p>
        </w:tc>
        <w:tc>
          <w:tcPr>
            <w:tcW w:w="2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5"/>
              </w:rPr>
              <w:t>US$</w:t>
            </w:r>
          </w:p>
        </w:tc>
        <w:tc>
          <w:tcPr>
            <w:tcW w:w="2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87"/>
              </w:rPr>
              <w:t>US$</w:t>
            </w:r>
          </w:p>
        </w:tc>
        <w:tc>
          <w:tcPr>
            <w:tcW w:w="2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Balance as of January 1, 2019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91"/>
              </w:rPr>
              <w:t>221,980,000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16,079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(1,973)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(55,085)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(40,978)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32406B"/>
              </w:rPr>
              <w:t>Net loss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32406B"/>
              </w:rPr>
              <w:t>(70,477)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32406B"/>
              </w:rPr>
              <w:t>(70,477)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32406B"/>
              </w:rPr>
              <w:t>Foreign currency translation adjustment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(428)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(428)</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32406B"/>
              </w:rPr>
              <w:t>Deemed dividend to convertible preferred</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32406B"/>
              </w:rPr>
              <w:t>shareholders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32406B"/>
              </w:rPr>
              <w:t>(3,430)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32406B"/>
              </w:rPr>
              <w:t>(3,430)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32406B"/>
              </w:rPr>
              <w:t>Share-based compensation</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5,220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5,220</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b w:val="1"/>
                <w:bCs w:val="1"/>
                <w:color w:val="32406B"/>
              </w:rPr>
              <w:t>Balance as of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1"/>
              </w:rPr>
              <w:t>221,980,000</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11</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17,869</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(2,401)</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(125,562)</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(110,093)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32406B"/>
              </w:rPr>
              <w:t>Net loss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(66,912)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(66,912)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32406B"/>
              </w:rPr>
              <w:t>Subscription contributions from shareholders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10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10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32406B"/>
              </w:rPr>
              <w:t>Foreign currency translation adjustment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2,882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2,882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32406B"/>
              </w:rPr>
              <w:t>Share-based compensation</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32406B"/>
              </w:rPr>
              <w:t>9,446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9,446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Balance as of December 31, 2020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91"/>
              </w:rPr>
              <w:t>221,980,000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27,315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481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(192,474)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(164,667)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F-7</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(All amounts in US$ thousands (“US$”), except for share and per share data, unless otherwise noted)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89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32406B"/>
              </w:rPr>
              <w:t>2019</w:t>
            </w:r>
          </w:p>
        </w:tc>
        <w:tc>
          <w:tcPr>
            <w:tcW w:w="4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Cash flows from operating activities: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32406B"/>
              </w:rPr>
              <w:t>Net loss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32406B"/>
              </w:rPr>
              <w:t>(70,477)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(66,912)</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Adjustments to reconcile net loss to net cash generated from operating activities: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Share-based compensation</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32406B"/>
              </w:rPr>
              <w:t>5,220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9,446</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Depreciation and amortization of property, equipment and software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758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1,662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Amortization of right-of-use assets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32406B"/>
              </w:rPr>
              <w:t>2,640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4,022</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Allowance for doubtful receivables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366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278</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Inventory write-downs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32406B"/>
              </w:rPr>
              <w:t>291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539</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Loss on disposal of property, equipment and software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Gain on disposal of a long-term investment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(147)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Loss on foreign currency exchange rates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239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80</w:t>
            </w: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32406B"/>
              </w:rPr>
              <w:t>Cash flows from operating activities: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Changes in operating assets and liabilities: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Accounts receivable</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32406B"/>
              </w:rPr>
              <w:t>(4,010)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(7,243)</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Notes receivable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2,627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(8,747)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Inventories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32406B"/>
              </w:rPr>
              <w:t>(11,037)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(19,787)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Prepayments and other current assets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(1,749)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3,615</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Other non-current assets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32406B"/>
              </w:rPr>
              <w:t>(549)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(778)</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Accounts payable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7,498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10,983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Advance from customers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32406B"/>
              </w:rPr>
              <w:t>1,493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13,027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Deferred revenue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554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3,398</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Income tax payable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32406B"/>
              </w:rPr>
              <w:t>73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4</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Accruals and other payables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11,811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11,939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Lease liabilities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32406B"/>
              </w:rPr>
              <w:t>(2,312)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(4,590)</w:t>
            </w:r>
          </w:p>
        </w:tc>
      </w:tr>
      <w:tr>
        <w:trPr>
          <w:trHeight w:val="27"/>
        </w:trPr>
        <w:tc>
          <w:tcPr>
            <w:tcW w:w="89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used in operating activities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32406B"/>
              </w:rPr>
              <w:t>(56,563)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(49,211)</w:t>
            </w: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32406B"/>
              </w:rPr>
              <w:t>Cash flows from investing activities:</w:t>
            </w: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Payment for short-term investments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(270,417)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(196,806)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Proceeds from disposal of short-term investments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32406B"/>
              </w:rPr>
              <w:t>281,456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192,493</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Purchase of property, equipment and software</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(3,201)</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Proceeds from disposal of property, equipment and software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32406B"/>
              </w:rPr>
              <w:t>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5</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Payment for long-term investments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(66)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(564)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32406B"/>
              </w:rPr>
              <w:t>Proceeds from disposal of a long-term investment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221</w:t>
            </w:r>
          </w:p>
        </w:tc>
      </w:tr>
      <w:tr>
        <w:trPr>
          <w:trHeight w:val="27"/>
        </w:trPr>
        <w:tc>
          <w:tcPr>
            <w:tcW w:w="89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generated from/(used in) investing activities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32406B"/>
              </w:rPr>
              <w:t>8,491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(7,852)</w:t>
            </w:r>
          </w:p>
        </w:tc>
      </w:tr>
      <w:tr>
        <w:trPr>
          <w:trHeight w:val="372"/>
        </w:trPr>
        <w:tc>
          <w:tcPr>
            <w:tcW w:w="8900" w:type="dxa"/>
            <w:vAlign w:val="bottom"/>
          </w:tcPr>
          <w:p>
            <w:pPr>
              <w:ind w:left="5380"/>
              <w:spacing w:after="0"/>
              <w:rPr>
                <w:sz w:val="20"/>
                <w:szCs w:val="20"/>
                <w:color w:val="auto"/>
              </w:rPr>
            </w:pPr>
            <w:r>
              <w:rPr>
                <w:rFonts w:ascii="Arial" w:cs="Arial" w:eastAsia="Arial" w:hAnsi="Arial"/>
                <w:sz w:val="18"/>
                <w:szCs w:val="18"/>
                <w:color w:val="32406B"/>
              </w:rPr>
              <w:t>F-8</w:t>
            </w:r>
          </w:p>
        </w:tc>
        <w:tc>
          <w:tcPr>
            <w:tcW w:w="7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CASH FLOWS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2019 AND 2020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(All amounts in US$ thousands (“US$”), except for share and per share data, unless otherwise noted)</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ind w:left="20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8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32406B"/>
              </w:rPr>
              <w:t>2019</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Cash flows from financing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Proceeds from issuance of convertible preferred shares, net of issuance costs</w:t>
            </w:r>
          </w:p>
        </w:tc>
        <w:tc>
          <w:tcPr>
            <w:tcW w:w="1300" w:type="dxa"/>
            <w:vAlign w:val="bottom"/>
            <w:gridSpan w:val="4"/>
          </w:tcPr>
          <w:p>
            <w:pPr>
              <w:jc w:val="right"/>
              <w:ind w:right="440"/>
              <w:spacing w:after="0"/>
              <w:rPr>
                <w:sz w:val="20"/>
                <w:szCs w:val="20"/>
                <w:color w:val="auto"/>
              </w:rPr>
            </w:pPr>
            <w:r>
              <w:rPr>
                <w:rFonts w:ascii="Arial" w:cs="Arial" w:eastAsia="Arial" w:hAnsi="Arial"/>
                <w:sz w:val="18"/>
                <w:szCs w:val="18"/>
                <w:color w:val="32406B"/>
              </w:rPr>
              <w:t>177,980</w:t>
            </w:r>
          </w:p>
        </w:tc>
        <w:tc>
          <w:tcPr>
            <w:tcW w:w="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Payment for repurchase of convertible preferred shares</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32406B"/>
              </w:rPr>
              <w:t>(3,750)</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Payments of deferred offering costs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32406B"/>
              </w:rPr>
              <w:t>(182)</w:t>
            </w:r>
          </w:p>
        </w:tc>
        <w:tc>
          <w:tcPr>
            <w:tcW w:w="6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Subscription contributions from shareholders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10</w:t>
            </w:r>
          </w:p>
        </w:tc>
        <w:tc>
          <w:tcPr>
            <w:tcW w:w="60" w:type="dxa"/>
            <w:vAlign w:val="bottom"/>
            <w:shd w:val="clear" w:color="auto" w:fill="CCEEFF"/>
          </w:tcPr>
          <w:p>
            <w:pPr>
              <w:spacing w:after="0"/>
              <w:rPr>
                <w:sz w:val="18"/>
                <w:szCs w:val="18"/>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b w:val="1"/>
                <w:bCs w:val="1"/>
                <w:color w:val="32406B"/>
              </w:rPr>
              <w:t>Net cash generated from/(used in) financing activities</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174,230</w:t>
            </w: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(172)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Effect of exchange rate changes on cash and cash equivalents, restricted cash</w:t>
            </w: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32406B"/>
              </w:rPr>
              <w:t>(481)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2,903</w:t>
            </w:r>
          </w:p>
        </w:tc>
        <w:tc>
          <w:tcPr>
            <w:tcW w:w="6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32406B"/>
              </w:rPr>
              <w:t>Net increase/(decrease) in cash and cash equivalents, restricted cash</w:t>
            </w:r>
          </w:p>
        </w:tc>
        <w:tc>
          <w:tcPr>
            <w:tcW w:w="10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2406B"/>
              </w:rPr>
              <w:t>125,677</w:t>
            </w:r>
          </w:p>
        </w:tc>
        <w:tc>
          <w:tcPr>
            <w:tcW w:w="44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2406B"/>
              </w:rPr>
              <w:t>(54,332)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Cash and cash equivalents, restricted cash at the beginning of year</w:t>
            </w:r>
          </w:p>
        </w:tc>
        <w:tc>
          <w:tcPr>
            <w:tcW w:w="13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32406B"/>
              </w:rPr>
              <w:t>87,610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213,287</w:t>
            </w:r>
          </w:p>
        </w:tc>
        <w:tc>
          <w:tcPr>
            <w:tcW w:w="6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32406B"/>
              </w:rPr>
              <w:t>Cash and cash equivalents, restricted cash at the end of year</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213,287</w:t>
            </w:r>
          </w:p>
        </w:tc>
        <w:tc>
          <w:tcPr>
            <w:tcW w:w="4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158,955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Supplemental cash flow disclosures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32406B"/>
              </w:rPr>
              <w:t>Cash paid for income tax</w:t>
            </w: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32406B"/>
              </w:rPr>
              <w:t>(197)</w:t>
            </w:r>
          </w:p>
        </w:tc>
        <w:tc>
          <w:tcPr>
            <w:tcW w:w="860" w:type="dxa"/>
            <w:vAlign w:val="bottom"/>
            <w:gridSpan w:val="3"/>
          </w:tcPr>
          <w:p>
            <w:pPr>
              <w:jc w:val="right"/>
              <w:spacing w:after="0"/>
              <w:rPr>
                <w:sz w:val="20"/>
                <w:szCs w:val="20"/>
                <w:color w:val="auto"/>
              </w:rPr>
            </w:pPr>
            <w:r>
              <w:rPr>
                <w:rFonts w:ascii="Arial" w:cs="Arial" w:eastAsia="Arial" w:hAnsi="Arial"/>
                <w:sz w:val="18"/>
                <w:szCs w:val="18"/>
                <w:color w:val="32406B"/>
              </w:rPr>
              <w:t>(210)</w:t>
            </w:r>
          </w:p>
        </w:tc>
        <w:tc>
          <w:tcPr>
            <w:tcW w:w="60" w:type="dxa"/>
            <w:vAlign w:val="bottom"/>
          </w:tcPr>
          <w:p>
            <w:pPr>
              <w:spacing w:after="0"/>
              <w:rPr>
                <w:sz w:val="20"/>
                <w:szCs w:val="20"/>
                <w:color w:val="auto"/>
              </w:rPr>
            </w:pPr>
          </w:p>
        </w:tc>
      </w:tr>
      <w:tr>
        <w:trPr>
          <w:trHeight w:val="354"/>
        </w:trPr>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32406B"/>
                <w:w w:val="91"/>
              </w:rPr>
              <w:t>As of</w:t>
            </w:r>
          </w:p>
        </w:tc>
        <w:tc>
          <w:tcPr>
            <w:tcW w:w="20" w:type="dxa"/>
            <w:vAlign w:val="bottom"/>
          </w:tcPr>
          <w:p>
            <w:pPr>
              <w:spacing w:after="0"/>
              <w:rPr>
                <w:sz w:val="24"/>
                <w:szCs w:val="2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32406B"/>
                <w:w w:val="91"/>
              </w:rPr>
              <w:t>As of</w:t>
            </w:r>
          </w:p>
        </w:tc>
      </w:tr>
      <w:tr>
        <w:trPr>
          <w:trHeight w:val="148"/>
        </w:trPr>
        <w:tc>
          <w:tcPr>
            <w:tcW w:w="8800" w:type="dxa"/>
            <w:vAlign w:val="bottom"/>
          </w:tcPr>
          <w:p>
            <w:pPr>
              <w:spacing w:after="0"/>
              <w:rPr>
                <w:sz w:val="12"/>
                <w:szCs w:val="12"/>
                <w:color w:val="auto"/>
              </w:rPr>
            </w:pPr>
          </w:p>
        </w:tc>
        <w:tc>
          <w:tcPr>
            <w:tcW w:w="13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32406B"/>
                <w:w w:val="92"/>
              </w:rPr>
              <w:t>December 31,</w:t>
            </w:r>
          </w:p>
        </w:tc>
      </w:tr>
      <w:tr>
        <w:trPr>
          <w:trHeight w:val="171"/>
        </w:trPr>
        <w:tc>
          <w:tcPr>
            <w:tcW w:w="88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32406B"/>
                <w:w w:val="89"/>
              </w:rPr>
              <w:t>2019</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32406B"/>
                <w:w w:val="89"/>
              </w:rPr>
              <w:t>2020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213,258</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158,792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32406B"/>
              </w:rPr>
              <w:t>Restricted cash</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163</w:t>
            </w:r>
          </w:p>
        </w:tc>
        <w:tc>
          <w:tcPr>
            <w:tcW w:w="6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cash, cash equivalents and restricted cash shown in the statement of cash flows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213,287</w:t>
            </w:r>
          </w:p>
        </w:tc>
        <w:tc>
          <w:tcPr>
            <w:tcW w:w="4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32406B"/>
              </w:rPr>
              <w:t>158,955</w:t>
            </w:r>
          </w:p>
        </w:tc>
      </w:tr>
      <w:tr>
        <w:trPr>
          <w:trHeight w:val="20"/>
        </w:trPr>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F-9</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TUYA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THE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(All amounts in US$ thousands (“US$”), except for share and per share data, unless otherwise noted)</w:t>
      </w:r>
    </w:p>
    <w:p>
      <w:pPr>
        <w:spacing w:after="0" w:line="225" w:lineRule="exact"/>
        <w:rPr>
          <w:sz w:val="20"/>
          <w:szCs w:val="20"/>
          <w:color w:val="auto"/>
        </w:rPr>
      </w:pPr>
    </w:p>
    <w:p>
      <w:pPr>
        <w:ind w:left="300" w:hanging="184"/>
        <w:spacing w:after="0"/>
        <w:tabs>
          <w:tab w:leader="none" w:pos="300" w:val="left"/>
        </w:tabs>
        <w:numPr>
          <w:ilvl w:val="0"/>
          <w:numId w:val="135"/>
        </w:numPr>
        <w:rPr>
          <w:rFonts w:ascii="Arial" w:cs="Arial" w:eastAsia="Arial" w:hAnsi="Arial"/>
          <w:sz w:val="18"/>
          <w:szCs w:val="18"/>
          <w:b w:val="1"/>
          <w:bCs w:val="1"/>
          <w:color w:val="32406B"/>
        </w:rPr>
      </w:pPr>
      <w:r>
        <w:rPr>
          <w:rFonts w:ascii="Arial" w:cs="Arial" w:eastAsia="Arial" w:hAnsi="Arial"/>
          <w:sz w:val="18"/>
          <w:szCs w:val="18"/>
          <w:b w:val="1"/>
          <w:bCs w:val="1"/>
          <w:color w:val="32406B"/>
        </w:rPr>
        <w:t>Organization and principal activities</w:t>
      </w:r>
    </w:p>
    <w:p>
      <w:pPr>
        <w:spacing w:after="0" w:line="121" w:lineRule="exact"/>
        <w:rPr>
          <w:rFonts w:ascii="Arial" w:cs="Arial" w:eastAsia="Arial" w:hAnsi="Arial"/>
          <w:sz w:val="18"/>
          <w:szCs w:val="18"/>
          <w:b w:val="1"/>
          <w:bCs w:val="1"/>
          <w:color w:val="32406B"/>
        </w:rPr>
      </w:pPr>
    </w:p>
    <w:p>
      <w:pPr>
        <w:ind w:left="820" w:hanging="264"/>
        <w:spacing w:after="0"/>
        <w:tabs>
          <w:tab w:leader="none" w:pos="820" w:val="left"/>
        </w:tabs>
        <w:numPr>
          <w:ilvl w:val="1"/>
          <w:numId w:val="135"/>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Principal activities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32406B"/>
        </w:rPr>
        <w:t>Tuya Inc. (the “Company”) was incorporated under the laws of the Cayman Islands on August 28, 2014, as an exempted company with limited liability. The Company and its subsidiaries and consolidated variable interest entity (“VIE”) (collectively referred to as the “Group”) are principally engaged in offering PaaS (Platform-as-a-Service) to business customers developing IoT (Internet of Things) devices, including brands and their OEMs (original equipment manufacturer). Also, the Group offers Industry SaaS (Software-as-a-Service) and cloud-based value-added services to its customers. The Group also sells finished smart devices powered by Tuya purchased from qualified OEMs (the “Smart device distribution”).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 History of the Group</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32406B"/>
        </w:rPr>
        <w:t>Prior to the incorporation of Tuya Inc. in August 2014, the Group commenced its initial operations through Hangzhou Tuya Technology Co., Ltd. (“Hangzhou Tuya Technology”), which was established on June 16, 2014 by Xueji Wang and one founding individual. After a series of agreements, Hangzhou Tuya Technology was owned by Xueji Wang and other four founding individuals (collectively, the “Founders”) together with two unrelated investors of Series Angel financing (the “Non-Founder VIE Investors”) by August 2014. In December 2014, Hangzhou Tuya Information Technology Co., Ltd. (“the WFOE”) was established after the incorporation of Tuya Inc. The Group then entered into a series of contractual arrangements among the WFOE, Hangzhou Tuya Technology and Hangzhou Tuya Technology’s shareholders in December 2014, and thereafter Hangzhou Tuya Technology became the variable interest entity of the Group (the “VIE”). The VIE was controlled by Xueji Wang before and after this transaction. After the completion of this transaction, the Group’s consolidated financial statements include the financial statements of the Company, its subsidiaries and the consolidated VIE. In 2019, the VIE agreements were amended and restated, which amended the VIE’s shareholders list and equity interest of each shareholder as a result of the change in registered share capital of the VIE and exit of Non-Founder VIE Investors as the VIE’s shareholders. All rights and obligations, clause, and terms regarding VIE accounting and consolidation basis remained the same. The VIE continues to be under Xueji Wang’s control during the periods presented.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As of December 31, 2019 and 2020, the Company’s principal subsidiaries and consolidated VIE are as follows: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32406B"/>
                <w:w w:val="88"/>
              </w:rPr>
              <w:t>Percentage</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32406B"/>
                <w:w w:val="92"/>
              </w:rPr>
              <w:t>Date of</w:t>
            </w: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32406B"/>
                <w:w w:val="87"/>
              </w:rPr>
              <w:t>Place of</w:t>
            </w: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32406B"/>
                <w:w w:val="91"/>
              </w:rPr>
              <w:t>of direct</w:t>
            </w:r>
          </w:p>
        </w:tc>
        <w:tc>
          <w:tcPr>
            <w:tcW w:w="3120" w:type="dxa"/>
            <w:vAlign w:val="bottom"/>
            <w:vMerge w:val="restart"/>
          </w:tcPr>
          <w:p>
            <w:pPr>
              <w:ind w:left="1240"/>
              <w:spacing w:after="0"/>
              <w:rPr>
                <w:sz w:val="20"/>
                <w:szCs w:val="20"/>
                <w:color w:val="auto"/>
              </w:rPr>
            </w:pPr>
            <w:r>
              <w:rPr>
                <w:rFonts w:ascii="Arial" w:cs="Arial" w:eastAsia="Arial" w:hAnsi="Arial"/>
                <w:sz w:val="16"/>
                <w:szCs w:val="16"/>
                <w:b w:val="1"/>
                <w:bCs w:val="1"/>
                <w:color w:val="32406B"/>
              </w:rPr>
              <w:t>Principal</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32406B"/>
                <w:w w:val="94"/>
              </w:rPr>
              <w:t>or indirect</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6"/>
                <w:szCs w:val="16"/>
                <w:b w:val="1"/>
                <w:bCs w:val="1"/>
                <w:color w:val="32406B"/>
              </w:rPr>
              <w:t>Name of subsidiaries</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32406B"/>
                <w:w w:val="91"/>
              </w:rPr>
              <w:t>incorporation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32406B"/>
                <w:w w:val="93"/>
              </w:rPr>
              <w:t>incorporation</w:t>
            </w: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32406B"/>
                <w:w w:val="89"/>
              </w:rPr>
              <w:t>ownership</w:t>
            </w:r>
          </w:p>
        </w:tc>
        <w:tc>
          <w:tcPr>
            <w:tcW w:w="3120" w:type="dxa"/>
            <w:vAlign w:val="bottom"/>
          </w:tcPr>
          <w:p>
            <w:pPr>
              <w:ind w:left="1260"/>
              <w:spacing w:after="0"/>
              <w:rPr>
                <w:sz w:val="20"/>
                <w:szCs w:val="20"/>
                <w:color w:val="auto"/>
              </w:rPr>
            </w:pPr>
            <w:r>
              <w:rPr>
                <w:rFonts w:ascii="Arial" w:cs="Arial" w:eastAsia="Arial" w:hAnsi="Arial"/>
                <w:sz w:val="16"/>
                <w:szCs w:val="16"/>
                <w:b w:val="1"/>
                <w:bCs w:val="1"/>
                <w:color w:val="32406B"/>
              </w:rPr>
              <w:t>activities</w:t>
            </w:r>
          </w:p>
        </w:tc>
        <w:tc>
          <w:tcPr>
            <w:tcW w:w="0" w:type="dxa"/>
            <w:vAlign w:val="bottom"/>
          </w:tcPr>
          <w:p>
            <w:pPr>
              <w:spacing w:after="0"/>
              <w:rPr>
                <w:sz w:val="1"/>
                <w:szCs w:val="1"/>
                <w:color w:val="auto"/>
              </w:rPr>
            </w:pPr>
          </w:p>
        </w:tc>
      </w:tr>
      <w:tr>
        <w:trPr>
          <w:trHeight w:val="202"/>
        </w:trPr>
        <w:tc>
          <w:tcPr>
            <w:tcW w:w="14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32406B"/>
              </w:rPr>
              <w:t>Investment holding and business</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Tuya (HK) Limited</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September 12, 2014</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2"/>
              </w:rPr>
              <w:t>Hong Kong, China</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100%</w:t>
            </w: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32406B"/>
              </w:rPr>
              <w:t>development</w:t>
            </w:r>
          </w:p>
        </w:tc>
        <w:tc>
          <w:tcPr>
            <w:tcW w:w="0" w:type="dxa"/>
            <w:vAlign w:val="bottom"/>
          </w:tcPr>
          <w:p>
            <w:pPr>
              <w:spacing w:after="0"/>
              <w:rPr>
                <w:sz w:val="1"/>
                <w:szCs w:val="1"/>
                <w:color w:val="auto"/>
              </w:rPr>
            </w:pPr>
          </w:p>
        </w:tc>
      </w:tr>
      <w:tr>
        <w:trPr>
          <w:trHeight w:val="202"/>
        </w:trPr>
        <w:tc>
          <w:tcPr>
            <w:tcW w:w="3240" w:type="dxa"/>
            <w:vAlign w:val="bottom"/>
            <w:gridSpan w:val="2"/>
          </w:tcPr>
          <w:p>
            <w:pPr>
              <w:spacing w:after="0" w:line="201" w:lineRule="exact"/>
              <w:rPr>
                <w:sz w:val="20"/>
                <w:szCs w:val="20"/>
                <w:color w:val="auto"/>
              </w:rPr>
            </w:pPr>
            <w:r>
              <w:rPr>
                <w:rFonts w:ascii="Arial" w:cs="Arial" w:eastAsia="Arial" w:hAnsi="Arial"/>
                <w:sz w:val="18"/>
                <w:szCs w:val="18"/>
                <w:color w:val="32406B"/>
              </w:rPr>
              <w:t>Hangzhou Tuya Information Technology</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32406B"/>
                <w:w w:val="95"/>
              </w:rPr>
              <w:t>Sales of IoT PaaS, Smart devices, SaaS</w:t>
            </w:r>
          </w:p>
        </w:tc>
        <w:tc>
          <w:tcPr>
            <w:tcW w:w="0" w:type="dxa"/>
            <w:vAlign w:val="bottom"/>
          </w:tcPr>
          <w:p>
            <w:pPr>
              <w:spacing w:after="0"/>
              <w:rPr>
                <w:sz w:val="1"/>
                <w:szCs w:val="1"/>
                <w:color w:val="auto"/>
              </w:rPr>
            </w:pPr>
          </w:p>
        </w:tc>
      </w:tr>
      <w:tr>
        <w:trPr>
          <w:trHeight w:val="230"/>
        </w:trPr>
        <w:tc>
          <w:tcPr>
            <w:tcW w:w="3240" w:type="dxa"/>
            <w:vAlign w:val="bottom"/>
            <w:gridSpan w:val="2"/>
          </w:tcPr>
          <w:p>
            <w:pPr>
              <w:ind w:left="180"/>
              <w:spacing w:after="0"/>
              <w:rPr>
                <w:sz w:val="20"/>
                <w:szCs w:val="20"/>
                <w:color w:val="auto"/>
              </w:rPr>
            </w:pPr>
            <w:r>
              <w:rPr>
                <w:rFonts w:ascii="Arial" w:cs="Arial" w:eastAsia="Arial" w:hAnsi="Arial"/>
                <w:sz w:val="18"/>
                <w:szCs w:val="18"/>
                <w:color w:val="32406B"/>
              </w:rPr>
              <w:t>Co., Ltd.</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32406B"/>
              </w:rPr>
              <w:t>December 5, 2014</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32406B"/>
                <w:w w:val="90"/>
              </w:rPr>
              <w:t>Hangzhou, China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32406B"/>
              </w:rPr>
              <w:t>100%</w:t>
            </w:r>
          </w:p>
        </w:tc>
        <w:tc>
          <w:tcPr>
            <w:tcW w:w="3120" w:type="dxa"/>
            <w:vAlign w:val="bottom"/>
          </w:tcPr>
          <w:p>
            <w:pPr>
              <w:spacing w:after="0"/>
              <w:rPr>
                <w:sz w:val="20"/>
                <w:szCs w:val="20"/>
                <w:color w:val="auto"/>
              </w:rPr>
            </w:pPr>
            <w:r>
              <w:rPr>
                <w:rFonts w:ascii="Arial" w:cs="Arial" w:eastAsia="Arial" w:hAnsi="Arial"/>
                <w:sz w:val="18"/>
                <w:szCs w:val="18"/>
                <w:color w:val="32406B"/>
                <w:w w:val="90"/>
              </w:rPr>
              <w:t>and Others and research and development</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32406B"/>
                <w:w w:val="92"/>
              </w:rPr>
              <w:t>Delaware, United</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Tuya Smart Inc.</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July 19, 2019</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86"/>
              </w:rPr>
              <w:t>States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100%</w:t>
            </w: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32406B"/>
              </w:rPr>
              <w:t>Business development</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32406B"/>
                <w:w w:val="95"/>
              </w:rPr>
              <w:t>California, United</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32406B"/>
              </w:rPr>
              <w:t>Tuya Global Inc.</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32406B"/>
              </w:rPr>
              <w:t>July 22, 2015</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32406B"/>
                <w:w w:val="86"/>
              </w:rPr>
              <w:t>States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32406B"/>
              </w:rPr>
              <w:t>100%</w:t>
            </w:r>
          </w:p>
        </w:tc>
        <w:tc>
          <w:tcPr>
            <w:tcW w:w="3120" w:type="dxa"/>
            <w:vAlign w:val="bottom"/>
          </w:tcPr>
          <w:p>
            <w:pPr>
              <w:spacing w:after="0"/>
              <w:rPr>
                <w:sz w:val="20"/>
                <w:szCs w:val="20"/>
                <w:color w:val="auto"/>
              </w:rPr>
            </w:pPr>
            <w:r>
              <w:rPr>
                <w:rFonts w:ascii="Arial" w:cs="Arial" w:eastAsia="Arial" w:hAnsi="Arial"/>
                <w:sz w:val="18"/>
                <w:szCs w:val="18"/>
                <w:color w:val="32406B"/>
              </w:rPr>
              <w:t>Business development</w:t>
            </w:r>
          </w:p>
        </w:tc>
        <w:tc>
          <w:tcPr>
            <w:tcW w:w="0" w:type="dxa"/>
            <w:vAlign w:val="bottom"/>
          </w:tcPr>
          <w:p>
            <w:pPr>
              <w:spacing w:after="0"/>
              <w:rPr>
                <w:sz w:val="1"/>
                <w:szCs w:val="1"/>
                <w:color w:val="auto"/>
              </w:rPr>
            </w:pPr>
          </w:p>
        </w:tc>
      </w:tr>
      <w:tr>
        <w:trPr>
          <w:trHeight w:val="365"/>
        </w:trPr>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32406B"/>
              </w:rPr>
              <w:t>F-10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32406B"/>
                <w:w w:val="88"/>
              </w:rPr>
              <w:t>Percentage</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32406B"/>
                <w:w w:val="92"/>
              </w:rPr>
              <w:t>Date of</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32406B"/>
                <w:w w:val="87"/>
              </w:rPr>
              <w:t>Place of</w:t>
            </w: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32406B"/>
                <w:w w:val="91"/>
              </w:rPr>
              <w:t>of direct</w:t>
            </w:r>
          </w:p>
        </w:tc>
        <w:tc>
          <w:tcPr>
            <w:tcW w:w="3140" w:type="dxa"/>
            <w:vAlign w:val="bottom"/>
            <w:vMerge w:val="restart"/>
          </w:tcPr>
          <w:p>
            <w:pPr>
              <w:jc w:val="center"/>
              <w:spacing w:after="0"/>
              <w:rPr>
                <w:sz w:val="20"/>
                <w:szCs w:val="20"/>
                <w:color w:val="auto"/>
              </w:rPr>
            </w:pPr>
            <w:r>
              <w:rPr>
                <w:rFonts w:ascii="Arial" w:cs="Arial" w:eastAsia="Arial" w:hAnsi="Arial"/>
                <w:sz w:val="16"/>
                <w:szCs w:val="16"/>
                <w:b w:val="1"/>
                <w:bCs w:val="1"/>
                <w:color w:val="32406B"/>
                <w:w w:val="94"/>
              </w:rPr>
              <w:t>Principal</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32406B"/>
                <w:w w:val="94"/>
              </w:rPr>
              <w:t>or indirect</w:t>
            </w: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32406B"/>
                <w:w w:val="88"/>
              </w:rPr>
              <w:t>Name of subsidiaries</w:t>
            </w:r>
          </w:p>
        </w:tc>
        <w:tc>
          <w:tcPr>
            <w:tcW w:w="182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32406B"/>
                <w:w w:val="91"/>
              </w:rPr>
              <w:t>incorporation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32406B"/>
                <w:w w:val="93"/>
              </w:rPr>
              <w:t>incorporation</w:t>
            </w: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32406B"/>
                <w:w w:val="89"/>
              </w:rPr>
              <w:t>ownership</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32406B"/>
                <w:w w:val="90"/>
              </w:rPr>
              <w:t>activities</w:t>
            </w:r>
          </w:p>
        </w:tc>
        <w:tc>
          <w:tcPr>
            <w:tcW w:w="0" w:type="dxa"/>
            <w:vAlign w:val="bottom"/>
          </w:tcPr>
          <w:p>
            <w:pPr>
              <w:spacing w:after="0"/>
              <w:rPr>
                <w:sz w:val="1"/>
                <w:szCs w:val="1"/>
                <w:color w:val="auto"/>
              </w:rPr>
            </w:pPr>
          </w:p>
        </w:tc>
      </w:tr>
      <w:tr>
        <w:trPr>
          <w:trHeight w:val="20"/>
        </w:trPr>
        <w:tc>
          <w:tcPr>
            <w:tcW w:w="32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32406B"/>
              </w:rPr>
              <w:t>Tuyasmart (India) Private Limited</w:t>
            </w:r>
          </w:p>
        </w:tc>
        <w:tc>
          <w:tcPr>
            <w:tcW w:w="1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gridSpan w:val="3"/>
            <w:vMerge w:val="continue"/>
            <w:shd w:val="clear" w:color="auto" w:fill="CCEEFF"/>
          </w:tcPr>
          <w:p>
            <w:pPr>
              <w:spacing w:after="0"/>
              <w:rPr>
                <w:sz w:val="17"/>
                <w:szCs w:val="17"/>
                <w:color w:val="auto"/>
              </w:rPr>
            </w:pPr>
          </w:p>
        </w:tc>
        <w:tc>
          <w:tcPr>
            <w:tcW w:w="1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January 31, 2019</w:t>
            </w:r>
          </w:p>
        </w:tc>
        <w:tc>
          <w:tcPr>
            <w:tcW w:w="100" w:type="dxa"/>
            <w:vAlign w:val="bottom"/>
            <w:vMerge w:val="continue"/>
            <w:shd w:val="clear" w:color="auto" w:fill="CCEEFF"/>
          </w:tcPr>
          <w:p>
            <w:pPr>
              <w:spacing w:after="0"/>
              <w:rPr>
                <w:sz w:val="17"/>
                <w:szCs w:val="17"/>
                <w:color w:val="auto"/>
              </w:rPr>
            </w:pPr>
          </w:p>
        </w:tc>
        <w:tc>
          <w:tcPr>
            <w:tcW w:w="1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32406B"/>
                <w:w w:val="90"/>
              </w:rPr>
              <w:t>Gurgaon, India</w:t>
            </w:r>
          </w:p>
        </w:tc>
        <w:tc>
          <w:tcPr>
            <w:tcW w:w="10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32406B"/>
              </w:rPr>
              <w:t>100%</w:t>
            </w:r>
          </w:p>
        </w:tc>
        <w:tc>
          <w:tcPr>
            <w:tcW w:w="3140" w:type="dxa"/>
            <w:vAlign w:val="bottom"/>
            <w:shd w:val="clear" w:color="auto" w:fill="CCEEFF"/>
          </w:tcPr>
          <w:p>
            <w:pPr>
              <w:spacing w:after="0" w:line="203" w:lineRule="exact"/>
              <w:rPr>
                <w:sz w:val="20"/>
                <w:szCs w:val="20"/>
                <w:color w:val="auto"/>
              </w:rPr>
            </w:pPr>
            <w:r>
              <w:rPr>
                <w:rFonts w:ascii="Arial" w:cs="Arial" w:eastAsia="Arial" w:hAnsi="Arial"/>
                <w:sz w:val="18"/>
                <w:szCs w:val="18"/>
                <w:color w:val="32406B"/>
              </w:rPr>
              <w:t>Business development</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32406B"/>
              </w:rPr>
              <w:t>Tuyasmart (Colombia) S.A.S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32406B"/>
              </w:rPr>
              <w:t>July 2, 2019</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32406B"/>
                <w:w w:val="94"/>
              </w:rPr>
              <w:t>Medellin, Colombia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32406B"/>
              </w:rPr>
              <w:t>100%</w:t>
            </w:r>
          </w:p>
        </w:tc>
        <w:tc>
          <w:tcPr>
            <w:tcW w:w="3140" w:type="dxa"/>
            <w:vAlign w:val="bottom"/>
          </w:tcPr>
          <w:p>
            <w:pPr>
              <w:spacing w:after="0"/>
              <w:rPr>
                <w:sz w:val="20"/>
                <w:szCs w:val="20"/>
                <w:color w:val="auto"/>
              </w:rPr>
            </w:pPr>
            <w:r>
              <w:rPr>
                <w:rFonts w:ascii="Arial" w:cs="Arial" w:eastAsia="Arial" w:hAnsi="Arial"/>
                <w:sz w:val="18"/>
                <w:szCs w:val="18"/>
                <w:color w:val="32406B"/>
              </w:rPr>
              <w:t>Business development</w:t>
            </w:r>
          </w:p>
        </w:tc>
        <w:tc>
          <w:tcPr>
            <w:tcW w:w="0" w:type="dxa"/>
            <w:vAlign w:val="bottom"/>
          </w:tcPr>
          <w:p>
            <w:pPr>
              <w:spacing w:after="0"/>
              <w:rPr>
                <w:sz w:val="1"/>
                <w:szCs w:val="1"/>
                <w:color w:val="auto"/>
              </w:rPr>
            </w:pPr>
          </w:p>
        </w:tc>
      </w:tr>
      <w:tr>
        <w:trPr>
          <w:trHeight w:val="216"/>
        </w:trPr>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Tuya GmbH</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May 13, 2019</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1"/>
              </w:rPr>
              <w:t>Hamburg, Germany</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100%</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32406B"/>
              </w:rPr>
              <w:t>Business development</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32406B"/>
              </w:rPr>
              <w:t>Tuya Japan Co., Ltd.</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32406B"/>
              </w:rPr>
              <w:t>January 23, 2019</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32406B"/>
                <w:w w:val="88"/>
              </w:rPr>
              <w:t>Tokyo, Japan</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32406B"/>
              </w:rPr>
              <w:t>100%</w:t>
            </w:r>
          </w:p>
        </w:tc>
        <w:tc>
          <w:tcPr>
            <w:tcW w:w="3140" w:type="dxa"/>
            <w:vAlign w:val="bottom"/>
          </w:tcPr>
          <w:p>
            <w:pPr>
              <w:spacing w:after="0"/>
              <w:rPr>
                <w:sz w:val="20"/>
                <w:szCs w:val="20"/>
                <w:color w:val="auto"/>
              </w:rPr>
            </w:pPr>
            <w:r>
              <w:rPr>
                <w:rFonts w:ascii="Arial" w:cs="Arial" w:eastAsia="Arial" w:hAnsi="Arial"/>
                <w:sz w:val="18"/>
                <w:szCs w:val="18"/>
                <w:color w:val="32406B"/>
              </w:rPr>
              <w:t>Business development</w:t>
            </w:r>
          </w:p>
        </w:tc>
        <w:tc>
          <w:tcPr>
            <w:tcW w:w="0" w:type="dxa"/>
            <w:vAlign w:val="bottom"/>
          </w:tcPr>
          <w:p>
            <w:pPr>
              <w:spacing w:after="0"/>
              <w:rPr>
                <w:sz w:val="1"/>
                <w:szCs w:val="1"/>
                <w:color w:val="auto"/>
              </w:rPr>
            </w:pPr>
          </w:p>
        </w:tc>
      </w:tr>
      <w:tr>
        <w:trPr>
          <w:trHeight w:val="216"/>
        </w:trPr>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32406B"/>
                <w:w w:val="97"/>
              </w:rPr>
              <w:t>Zhejiang Tuya Smart Electronics Co., Ltd.</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May 9, 2020</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32406B"/>
                <w:w w:val="90"/>
              </w:rPr>
              <w:t>Hangzhou, China</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100%</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32406B"/>
              </w:rPr>
              <w:t>Sales of Smart devices</w:t>
            </w:r>
          </w:p>
        </w:tc>
        <w:tc>
          <w:tcPr>
            <w:tcW w:w="0" w:type="dxa"/>
            <w:vAlign w:val="bottom"/>
          </w:tcPr>
          <w:p>
            <w:pPr>
              <w:spacing w:after="0"/>
              <w:rPr>
                <w:sz w:val="1"/>
                <w:szCs w:val="1"/>
                <w:color w:val="auto"/>
              </w:rPr>
            </w:pPr>
          </w:p>
        </w:tc>
      </w:tr>
      <w:tr>
        <w:trPr>
          <w:trHeight w:val="342"/>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32406B"/>
                <w:w w:val="90"/>
              </w:rPr>
              <w:t>Percentage</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32406B"/>
                <w:w w:val="92"/>
              </w:rPr>
              <w:t>Date of</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32406B"/>
                <w:w w:val="89"/>
              </w:rPr>
              <w:t>Place of</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2"/>
              </w:rPr>
              <w:t>of direct or</w:t>
            </w: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4"/>
              </w:rPr>
              <w:t>Principal</w:t>
            </w:r>
          </w:p>
        </w:tc>
        <w:tc>
          <w:tcPr>
            <w:tcW w:w="0" w:type="dxa"/>
            <w:vAlign w:val="bottom"/>
          </w:tcPr>
          <w:p>
            <w:pPr>
              <w:spacing w:after="0"/>
              <w:rPr>
                <w:sz w:val="1"/>
                <w:szCs w:val="1"/>
                <w:color w:val="auto"/>
              </w:rPr>
            </w:pPr>
          </w:p>
        </w:tc>
      </w:tr>
      <w:tr>
        <w:trPr>
          <w:trHeight w:val="144"/>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 of VIE</w:t>
            </w:r>
          </w:p>
        </w:tc>
        <w:tc>
          <w:tcPr>
            <w:tcW w:w="196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32406B"/>
                <w:w w:val="94"/>
              </w:rPr>
              <w:t>indirect</w:t>
            </w:r>
          </w:p>
        </w:tc>
        <w:tc>
          <w:tcPr>
            <w:tcW w:w="3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gridSpan w:val="3"/>
            <w:vMerge w:val="continue"/>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5"/>
              </w:rPr>
              <w:t>incorporation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3"/>
              </w:rPr>
              <w:t>incorporation</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32406B"/>
                <w:w w:val="91"/>
              </w:rPr>
              <w:t>ownership</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32406B"/>
                <w:w w:val="93"/>
              </w:rPr>
              <w:t>Activities</w:t>
            </w:r>
          </w:p>
        </w:tc>
        <w:tc>
          <w:tcPr>
            <w:tcW w:w="0" w:type="dxa"/>
            <w:vAlign w:val="bottom"/>
          </w:tcPr>
          <w:p>
            <w:pPr>
              <w:spacing w:after="0"/>
              <w:rPr>
                <w:sz w:val="1"/>
                <w:szCs w:val="1"/>
                <w:color w:val="auto"/>
              </w:rPr>
            </w:pP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32406B"/>
              </w:rPr>
              <w:t>Hangzhou Tuya Technology Co., Ltd.</w:t>
            </w:r>
          </w:p>
        </w:tc>
        <w:tc>
          <w:tcPr>
            <w:tcW w:w="1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June 16, 2014</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32406B"/>
                <w:w w:val="90"/>
              </w:rPr>
              <w:t>Hangzhou, China</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32406B"/>
              </w:rPr>
              <w:t>100%</w:t>
            </w:r>
          </w:p>
        </w:tc>
        <w:tc>
          <w:tcPr>
            <w:tcW w:w="3140" w:type="dxa"/>
            <w:vAlign w:val="bottom"/>
            <w:shd w:val="clear" w:color="auto" w:fill="CCEEFF"/>
          </w:tcPr>
          <w:p>
            <w:pPr>
              <w:spacing w:after="0" w:line="203" w:lineRule="exact"/>
              <w:rPr>
                <w:sz w:val="20"/>
                <w:szCs w:val="20"/>
                <w:color w:val="auto"/>
              </w:rPr>
            </w:pPr>
            <w:r>
              <w:rPr>
                <w:rFonts w:ascii="Arial" w:cs="Arial" w:eastAsia="Arial" w:hAnsi="Arial"/>
                <w:sz w:val="18"/>
                <w:szCs w:val="18"/>
                <w:color w:val="32406B"/>
              </w:rPr>
              <w:t>No substantial business</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 VIE arrangements</w:t>
      </w:r>
    </w:p>
    <w:p>
      <w:pPr>
        <w:spacing w:after="0" w:line="117" w:lineRule="exact"/>
        <w:rPr>
          <w:sz w:val="20"/>
          <w:szCs w:val="20"/>
          <w:color w:val="auto"/>
        </w:rPr>
      </w:pPr>
    </w:p>
    <w:p>
      <w:pPr>
        <w:ind w:left="120" w:right="200" w:firstLine="440"/>
        <w:spacing w:after="0" w:line="269" w:lineRule="auto"/>
        <w:rPr>
          <w:sz w:val="20"/>
          <w:szCs w:val="20"/>
          <w:color w:val="auto"/>
        </w:rPr>
      </w:pPr>
      <w:r>
        <w:rPr>
          <w:rFonts w:ascii="Arial" w:cs="Arial" w:eastAsia="Arial" w:hAnsi="Arial"/>
          <w:sz w:val="17"/>
          <w:szCs w:val="17"/>
          <w:color w:val="32406B"/>
        </w:rPr>
        <w:t>In order to comply with the People’s Republic of China (“PRC”) laws and regulations which prohibit or restrict foreign investments into companies involved in restricted businesses, the Group may provide certain restricted services for its future business in the PRC through a PRC domestic company, whose equity interests are held by certain management members of the Company or onshore nominees of certain investors of the Company (“Nominee Shareholders”). The Company obtained control over the PRC domestic company by entering into a series of Contractual Arrangements with the PRC domestic company and its respective Nominee Shareholders. These contractual agreements cannot be unilaterally terminated by the Nominee Shareholders or the PRC domestic company. As a result, the Company maintains the ability to control the PRC domestic company and is entitled to substantially all of the economic benefits from the PRC domestic company. Management concluded that the PRC domestic company is a VIE of the Company, of which the Company is the ultimate primary beneficiary. As such, the Group consolidated the financial results of the PRC domestic company and its subsidiaries in the Group’s consolidated financial statements. The principal terms of the agreements entered into amongst the VIE, its respective shareholders and the WFOE are further described below.</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Contractual Agreements with VIE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Exclusive Option Agreements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32406B"/>
        </w:rPr>
        <w:t>Under the exclusive option agreements entered into among the VIE (Hangzhou Tuya Technology Co., Ltd.), WFOE (Hangzhou Tuya Information Technology Co., Ltd.) and Nominee Shareholders of the VIE at the consideration of RMB1.00 from WFOE to each of the Nominee Shareholders of the VIE, Nominee Shareholders of the VIE granted WFOE the exclusive and irrevocable right to purchase or to designate entities at their discretion to purchase part or all of the equity interests in the VIE from each of the Nominee Shareholders at any time at RMB1.00. If in the case that the purchase price is lower than the minimum price the PRC laws and regulations allows, it should be subject to the lowest price permitted by PRC laws and regulations. Nominee Shareholders of the VIE also granted WFOE the exclusive and irrevocable right to purchase or to designate entities at their discretion to purchase part or all of the assets of the VIE from the Nominee Shareholders, in the case that the PRC laws and regulations allows, at any time for a purchase price subject to the lowest price permitted by PRC laws and regulations. WFOE or its designated representatives have sole discretion as to when to exercise such options, either in part or in full. The VIE and its Nominee Shareholders have agreed that without WFOE’s prior written consent, their respective Nominee Shareholders cannot sell, transfer, mortgage or dispose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F-11</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32406B"/>
        </w:rPr>
        <w:t>of or create any encumbrance on any of the VIE’ equity interests. Also, as agreed, without the prior written consent of WFOE, the VIE cannot declare any dividend or change capitalization structure of the VIE, cannot incur, inherit, guarantee, or suffer the existence of any debt, except for payables incurred in the ordinary course of business other than through loans, and cannot enter into any loan, credit, merge, consolidation, acquisition or investment agreements. Furthermore, the Nominee Shareholders have agreed that any proceeds from profits, interests, dividends, or liquidation in the VIE should be promptly paid to WFOE or one or more person(s) at their discretion. This agreement became effective upon execution by the Parties, and will remain in effect until all equity interests held by shareholders of the VIE have been transferred or assigned to WFOE and/or any other person designated by WFOE in accordance with this agreement.</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Powers of Attorney</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32406B"/>
        </w:rPr>
        <w:t>Pursuant to powers of attorney, each equity holder of the VIE appointed the WFOE as their attorney-in-fact to exercise all shareholder rights under PRC law and the relevant articles of association, including but not limited to, attending shareholders’ meetings, exercising all the shareholder’s rights and shareholder’s voting rights under the relevant PRC laws and the VIE’s Articles of Association, including but not limited to the sale, transfer, pledge, or disposition in part or in whole, as well as designating and appointing the legal representative, directors, supervisors, chief executive officer, and other senior management members of the VIE. Each power of attorney will remain in force during the period that each grantor remain as the shareholder of the VIE.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Exclusive Business Cooperation Agreement</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32406B"/>
        </w:rPr>
        <w:t>Pursuant to the Exclusive Business Cooperation Agreement, WFOE has agreed to provide to the VIE with comprehensive technical support, consulting services and other services, including but not limited to software licensing legally owned by WFOE; development, maintenance and update of software involved in VIE’s business; design, installation, daily management, maintenance and updating of network system, hardware and database design; technical support and training for employees of VIE; assisting VIE in consultancy, collection and research of technology and market information; providing business management consultation, marketing and promotion services, customer order management, customer services, leasing of equipment or properties and other related services. The VIE shall pay to WFOE service fees determined by WFOE in its sole discretion. WFOE has the right to determine the level of service fees paid and therefore receives substantially all of the economic benefits of its consolidated affiliated Chinese entity in the form of service fees. WFOE, as appropriate, will exclusively own any intellectual property rights arising from the performance of these agreements. The aforementioned agreement will terminate automatically when WFOE terminates it by written notice.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Equity Interest Pledge Agreements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32406B"/>
        </w:rPr>
        <w:t>Pursuant to the equity interest pledge agreements among WFOE, VIE and the equity holders of VIE, the equity holders of the VIE shall pledge all of their equity interests in the VIE to WFOE as collateral for performance of the above agreements and payment of the secured indebtedness, which shall refer to all the direct, indirect and derivative losses and losses of anticipated profits, suffered by pledgee, incurred as a result of any event of default (as defined in the Equity Interest Pledge Agreement) under this agreement. WFOE is entitled to have any dividends based on the pledged equity interest in the VIE. The equity holders of the VIE may subscribe for capital increase in the VIE only with prior written consent of WFOE. Any equity interest obtained by the VIE as a result of nominee shareholders’ subscription of the increased registered capital of the Company shall also be deemed as Equity Interest. In the event that VIE is required by PRC law to be liquidated or dissolved, any interest distributed to WFOE upon VIE’s dissolution or liquidation shall, upon the request of WFOE, be (1) deposited into an account designate and supervised by WFOE and used to secure the Contract Obligations and pay the Secured Indebtedness prior and in preference to make any other payment; or (2) unconditionally donated to WFOE or any other person designated by WFOE to the extent permitted under applicable PRC laws. The equity interest pledge agreements will expire only when the pledgors have completed all their obligations under the above agreements.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F-12</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Spousal Consents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32406B"/>
        </w:rPr>
        <w:t>Pursuant to the Spousal Consents, the spouses of shareholders of the VIE unconditionally and irrevocably agreed that the equity interests in the VIE held by and registered in the name of their spouse will be disposed of pursuant to the equity interest pledge agreements, the exclusive option agreements, and powers of attorney. Each of their spouses agreed not to assert any rights over the equity interests in the VIE held by their respective spouses. In addition, in the event that any spouse obtains any equity interests in the VIE held by their spouse for any reason, they agreed to be bound by similar obligations and agreed to enter into similar contractual agreements.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disclosures present summarized financial information of the VIE entity as of and for the respective periods.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32406B"/>
                <w:w w:val="91"/>
              </w:rPr>
              <w:t>As of</w:t>
            </w:r>
          </w:p>
        </w:tc>
        <w:tc>
          <w:tcPr>
            <w:tcW w:w="14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1"/>
              </w:rPr>
              <w:t>As of</w:t>
            </w:r>
          </w:p>
        </w:tc>
      </w:tr>
      <w:tr>
        <w:trPr>
          <w:trHeight w:val="148"/>
        </w:trPr>
        <w:tc>
          <w:tcPr>
            <w:tcW w:w="7440" w:type="dxa"/>
            <w:vAlign w:val="bottom"/>
          </w:tcPr>
          <w:p>
            <w:pPr>
              <w:spacing w:after="0"/>
              <w:rPr>
                <w:sz w:val="12"/>
                <w:szCs w:val="12"/>
                <w:color w:val="auto"/>
              </w:rPr>
            </w:pPr>
          </w:p>
        </w:tc>
        <w:tc>
          <w:tcPr>
            <w:tcW w:w="1800" w:type="dxa"/>
            <w:vAlign w:val="bottom"/>
            <w:gridSpan w:val="5"/>
          </w:tcPr>
          <w:p>
            <w:pPr>
              <w:jc w:val="center"/>
              <w:ind w:right="96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8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32406B"/>
                <w:w w:val="92"/>
              </w:rPr>
              <w:t>December 31,</w:t>
            </w:r>
          </w:p>
        </w:tc>
      </w:tr>
      <w:tr>
        <w:trPr>
          <w:trHeight w:val="171"/>
        </w:trPr>
        <w:tc>
          <w:tcPr>
            <w:tcW w:w="7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2406B"/>
                <w:w w:val="89"/>
              </w:rPr>
              <w:t>2019</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2406B"/>
                <w:w w:val="89"/>
              </w:rPr>
              <w:t>2020</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w:t>
            </w:r>
          </w:p>
        </w:tc>
        <w:tc>
          <w:tcPr>
            <w:tcW w:w="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32406B"/>
              </w:rPr>
              <w:t>Short-term investments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32406B"/>
              </w:rPr>
              <w:t>29</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32406B"/>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32406B"/>
              </w:rPr>
              <w:t>Prepayments and other current assets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3</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32406B"/>
              </w:rPr>
              <w:t>Long-term investments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32406B"/>
              </w:rPr>
              <w:t>430</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32406B"/>
              </w:rPr>
              <w:t>383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32406B"/>
              </w:rPr>
              <w:t>Property, equipment and software, net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2</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32406B"/>
              </w:rPr>
              <w:t>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32406B"/>
              </w:rPr>
              <w:t>Operating lease right-of-use assets, net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32406B"/>
              </w:rPr>
              <w:t>78</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32406B"/>
              </w:rPr>
              <w:t>37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32406B"/>
              </w:rPr>
              <w:t>Other non-current assets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7</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32406B"/>
              </w:rPr>
              <w:t>8</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32406B"/>
              </w:rPr>
              <w:t>Total assets</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549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rPr>
              <w:t>431</w:t>
            </w:r>
          </w:p>
        </w:tc>
        <w:tc>
          <w:tcPr>
            <w:tcW w:w="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32406B"/>
              </w:rPr>
              <w:t>Amounts due to the Group companies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705</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32406B"/>
              </w:rPr>
              <w:t>753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32406B"/>
              </w:rPr>
              <w:t>Lease liabilities, current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32406B"/>
              </w:rPr>
              <w:t>34</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32406B"/>
              </w:rPr>
              <w:t>25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32406B"/>
              </w:rPr>
              <w:t>Lease liabilities, non-current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33</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32406B"/>
              </w:rPr>
              <w:t>Total liabilities</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772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rPr>
              <w:t>778</w:t>
            </w:r>
          </w:p>
        </w:tc>
        <w:tc>
          <w:tcPr>
            <w:tcW w:w="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8"/>
          </w:tcPr>
          <w:p>
            <w:pPr>
              <w:ind w:left="36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32406B"/>
              </w:rPr>
              <w:t>2019</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32406B"/>
              </w:rPr>
              <w:t>2020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Total revenues</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32406B"/>
              </w:rPr>
              <w:t>31</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32406B"/>
              </w:rPr>
              <w:t>Net loss</w:t>
            </w:r>
          </w:p>
        </w:tc>
        <w:tc>
          <w:tcPr>
            <w:tcW w:w="1800" w:type="dxa"/>
            <w:vAlign w:val="bottom"/>
            <w:gridSpan w:val="5"/>
          </w:tcPr>
          <w:p>
            <w:pPr>
              <w:jc w:val="right"/>
              <w:ind w:right="840"/>
              <w:spacing w:after="0"/>
              <w:rPr>
                <w:sz w:val="20"/>
                <w:szCs w:val="20"/>
                <w:color w:val="auto"/>
              </w:rPr>
            </w:pPr>
            <w:r>
              <w:rPr>
                <w:rFonts w:ascii="Arial" w:cs="Arial" w:eastAsia="Arial" w:hAnsi="Arial"/>
                <w:sz w:val="18"/>
                <w:szCs w:val="18"/>
                <w:color w:val="32406B"/>
              </w:rPr>
              <w:t>(232)</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32406B"/>
              </w:rPr>
              <w:t>(104)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32406B"/>
              </w:rPr>
              <w:t>Net cash generated from/(used in) operating activities</w:t>
            </w:r>
          </w:p>
        </w:tc>
        <w:tc>
          <w:tcPr>
            <w:tcW w:w="1800" w:type="dxa"/>
            <w:vAlign w:val="bottom"/>
            <w:gridSpan w:val="5"/>
            <w:shd w:val="clear" w:color="auto" w:fill="CCEEFF"/>
          </w:tcPr>
          <w:p>
            <w:pPr>
              <w:jc w:val="right"/>
              <w:ind w:right="900"/>
              <w:spacing w:after="0"/>
              <w:rPr>
                <w:sz w:val="20"/>
                <w:szCs w:val="20"/>
                <w:color w:val="auto"/>
              </w:rPr>
            </w:pPr>
            <w:r>
              <w:rPr>
                <w:rFonts w:ascii="Arial" w:cs="Arial" w:eastAsia="Arial" w:hAnsi="Arial"/>
                <w:sz w:val="18"/>
                <w:szCs w:val="18"/>
                <w:color w:val="32406B"/>
              </w:rPr>
              <w:t>58</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32406B"/>
              </w:rPr>
              <w:t>(256)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32406B"/>
              </w:rPr>
              <w:t>Net cash (used in)/generated from investing activities</w:t>
            </w:r>
          </w:p>
        </w:tc>
        <w:tc>
          <w:tcPr>
            <w:tcW w:w="1800" w:type="dxa"/>
            <w:vAlign w:val="bottom"/>
            <w:gridSpan w:val="5"/>
          </w:tcPr>
          <w:p>
            <w:pPr>
              <w:jc w:val="right"/>
              <w:ind w:right="840"/>
              <w:spacing w:after="0"/>
              <w:rPr>
                <w:sz w:val="20"/>
                <w:szCs w:val="20"/>
                <w:color w:val="auto"/>
              </w:rPr>
            </w:pPr>
            <w:r>
              <w:rPr>
                <w:rFonts w:ascii="Arial" w:cs="Arial" w:eastAsia="Arial" w:hAnsi="Arial"/>
                <w:sz w:val="18"/>
                <w:szCs w:val="18"/>
                <w:color w:val="32406B"/>
              </w:rPr>
              <w:t>(66)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32406B"/>
              </w:rPr>
              <w:t>257</w:t>
            </w:r>
          </w:p>
        </w:tc>
        <w:tc>
          <w:tcPr>
            <w:tcW w:w="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32406B"/>
              </w:rPr>
              <w:t>Net (decrease)/increase in cash and cash equivalents</w:t>
            </w:r>
          </w:p>
        </w:tc>
        <w:tc>
          <w:tcPr>
            <w:tcW w:w="1800" w:type="dxa"/>
            <w:vAlign w:val="bottom"/>
            <w:gridSpan w:val="5"/>
            <w:shd w:val="clear" w:color="auto" w:fill="CCEEFF"/>
          </w:tcPr>
          <w:p>
            <w:pPr>
              <w:jc w:val="right"/>
              <w:ind w:right="840"/>
              <w:spacing w:after="0"/>
              <w:rPr>
                <w:sz w:val="20"/>
                <w:szCs w:val="20"/>
                <w:color w:val="auto"/>
              </w:rPr>
            </w:pPr>
            <w:r>
              <w:rPr>
                <w:rFonts w:ascii="Arial" w:cs="Arial" w:eastAsia="Arial" w:hAnsi="Arial"/>
                <w:sz w:val="18"/>
                <w:szCs w:val="18"/>
                <w:color w:val="32406B"/>
              </w:rPr>
              <w:t>(8)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32406B"/>
        </w:rPr>
        <w:t>In accordance with the aforementioned agreements, the Company has power to direct activities of the VIE, and can have assets transferred out of the VIE. Therefore the Company considers that there is no asset in the VIE that can be used only to settle obligations of the VIE, except for registered capital amounting to US$223 and US$347, as of December 31, 2019 and 2020, respectively. As the VIE was formed as a limited liability company under the PRC Company Law, the creditors do not have recourse to the general credit of the Company for all the liabilities of the VIE.</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There is currently no contractual arrangement that would require the Company to provide additional financial support to the VIE. As the Group is conducting certain businesses in the PRC through the VIE, the Group may provide additional financial support on a discretionary basis in the future, which could expose the Group to a loss.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There is no variable interest entity where the Company has variable interest but is not the primary beneficiary.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32406B"/>
        </w:rPr>
        <w:t>F-13</w:t>
      </w:r>
    </w:p>
    <w:p>
      <w:pPr>
        <w:sectPr>
          <w:pgSz w:w="11900" w:h="16838" w:orient="portrait"/>
          <w:cols w:equalWidth="0" w:num="1">
            <w:col w:w="11040"/>
          </w:cols>
          <w:pgMar w:left="320" w:top="459" w:right="5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32406B"/>
        </w:rPr>
        <w:t>The Group believes that the contractual arrangements among the VIE shareholders, the VIE and the WFOE comply with PRC law and are legally enforceable. However, uncertainties in the PRC legal system could limit the Company’s ability to enforce these contractual arrangements and if the shareholders of the VIE were to reduce their interest in the Company, their interests may diverge from that of the Company and that may potentially increase the risk that they would seek to act contrary to the contractual terms.</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32406B"/>
        </w:rPr>
        <w:t>The Company’s ability to control the VIE also depends on the voting rights proxy and the effect of the share pledge under the Share Pledge Agreement and the WFOE has to vote on all matters requiring shareholders’ approval in the VIE. As noted above, the Company believes this voting right proxy is legally enforceable but may not be as effective as direct equity ownership.</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Risks in relation to contractual arrangements between the Company’s PRC subsidiaries and its affiliated Chinese entities: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The Group believes that its contractual arrangements with its consolidated VIE is in compliance with current PRC laws and legally enforceable. However, in the event that the affiliated Chinese entities and their respective shareholders fail to perform their contractual obligations, the Company may have to rely on the PRC legal system to enforce its rights. The PRC legal system is based on written statutes. Prior court decisions may be cited for reference but have limited precedential value. Since 1979, PRC legislation and regulations have significantly enhanced the foreign investments in China. However, since the PRC legal system is still evolving, the interpretations of many laws, regulations and rules are not always uniform and enforcement of these laws, regulations and rules involve uncertainties, which may limit remedies available to us. In addition, any litigation in China may be protracted and result in substantial costs and diversion of resources and management attention. Due to the uncertainties with respect to the PRC legal system, the PRC government authorities may ultimately take a view contrary to the opinion of its PRC legal counsel with respect to the enforceability of the contractual arrangements.</w:t>
      </w:r>
    </w:p>
    <w:p>
      <w:pPr>
        <w:spacing w:after="0" w:line="73"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32406B"/>
        </w:rPr>
        <w:t>There are, however, substantial uncertainties regarding the interpretation and application of current or future PRC laws and regulations. Accordingly, the Company cannot be assured that the PRC government authorities will not ultimately take a view that is contrary to the Company’s belief and the opinion of its PRC legal counsel. In March 2019, the draft Foreign Investment Law was submitted to the National People’s Congress for review and was approved on March 15, 2019, which came into effect from January 1, 2020. The new Foreign Investment Law of the PRC repealed simultaneously the Wholly Foreign-owned Enterprise Law of the PRC, Sino-foreign Equity Joint Venture Law of the PRC and Sino-foreign Cooperative Joint Ventures Law of the PRC. Therefore, the general regulations for companies’ set up and operation in the PRC including the foreign-invested companies shall comply with the Company Law of the PRC unless provided in the PRC Foreign Investment Laws. In December 2019, the Implementing Regulation of the Foreign Investment Law has been promulgated by the State Council which has come into force as of January 1, 2020. The Foreign Investment Law does not touch upon the relevant concepts and regulatory regimes that were historically suggested for the regulation of VIE structures, and thus this regulatory topic remains unclear under the Foreign Investment Law. Since the Foreign Investment Law is new, there are substantial uncertainties exist with respect to its implementation and interpretation and it is also possible that the VIE entity will be deemed as foreign invested enterprises and be subject to restrictions in the future. Such restrictions may cause interruptions to its operations, products and services and may incur additional compliance cost, which may in turn materially and adversely affect its business, financial condition and results of operations.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 COVID-19 impact and liquidity</w:t>
      </w:r>
    </w:p>
    <w:p>
      <w:pPr>
        <w:spacing w:after="0" w:line="11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32406B"/>
        </w:rPr>
        <w:t>The outbreak of the COVID-19 pandemic has adversely impacted the Group’s financial positions, results of operations and cashflows in the first quarter 2020. In the second quarter of 2020 the Group’s OEM customers began to resume operations and clear the backlogs since restrictions in China continued to be eased, and the Group recorded a continuous growth in its sales of IoT PaaS in the third and fourth quarters of 2020. Though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F-14</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32406B"/>
        </w:rPr>
        <w:t>duration of and the extent to which this outbreak impacts the Group’s results will depend on future developments, which are highly uncertain and cannot be predicted at this time. Based on the assessment on the Group’s liquidity and financial positions, the Group believes that its current cash and cash equivalents and subsequent ordinary shares financing with total consideration of approximately US$200 million (see Note 21—Subsequent Events) will be sufficient to enable it to meet its anticipated working capital requirements and capital expenditures for at least the next 12 months from the date these consolidated financial statements are available to be issued.</w:t>
      </w:r>
    </w:p>
    <w:p>
      <w:pPr>
        <w:spacing w:after="0" w:line="292" w:lineRule="exact"/>
        <w:rPr>
          <w:sz w:val="20"/>
          <w:szCs w:val="20"/>
          <w:color w:val="auto"/>
        </w:rPr>
      </w:pPr>
    </w:p>
    <w:p>
      <w:pPr>
        <w:ind w:left="300" w:hanging="184"/>
        <w:spacing w:after="0"/>
        <w:tabs>
          <w:tab w:leader="none" w:pos="300" w:val="left"/>
        </w:tabs>
        <w:numPr>
          <w:ilvl w:val="0"/>
          <w:numId w:val="136"/>
        </w:numPr>
        <w:rPr>
          <w:rFonts w:ascii="Arial" w:cs="Arial" w:eastAsia="Arial" w:hAnsi="Arial"/>
          <w:sz w:val="18"/>
          <w:szCs w:val="18"/>
          <w:b w:val="1"/>
          <w:bCs w:val="1"/>
          <w:color w:val="32406B"/>
        </w:rPr>
      </w:pPr>
      <w:r>
        <w:rPr>
          <w:rFonts w:ascii="Arial" w:cs="Arial" w:eastAsia="Arial" w:hAnsi="Arial"/>
          <w:sz w:val="18"/>
          <w:szCs w:val="18"/>
          <w:b w:val="1"/>
          <w:bCs w:val="1"/>
          <w:color w:val="32406B"/>
        </w:rPr>
        <w:t>Principal Accounting Policies</w:t>
      </w:r>
    </w:p>
    <w:p>
      <w:pPr>
        <w:spacing w:after="0" w:line="121" w:lineRule="exact"/>
        <w:rPr>
          <w:rFonts w:ascii="Arial" w:cs="Arial" w:eastAsia="Arial" w:hAnsi="Arial"/>
          <w:sz w:val="18"/>
          <w:szCs w:val="18"/>
          <w:b w:val="1"/>
          <w:bCs w:val="1"/>
          <w:color w:val="32406B"/>
        </w:rPr>
      </w:pPr>
    </w:p>
    <w:p>
      <w:pPr>
        <w:ind w:left="820" w:hanging="264"/>
        <w:spacing w:after="0"/>
        <w:tabs>
          <w:tab w:leader="none" w:pos="820" w:val="left"/>
        </w:tabs>
        <w:numPr>
          <w:ilvl w:val="1"/>
          <w:numId w:val="136"/>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Basis of preparation</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32406B"/>
        </w:rPr>
        <w:t>The accompanying consolidated financial statements have been prepared in accordance with accounting principles generally accepted in the United States of America (“US GAAP”).</w:t>
      </w:r>
    </w:p>
    <w:p>
      <w:pPr>
        <w:spacing w:after="0" w:line="6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32406B"/>
        </w:rPr>
        <w:t>Principal accounting policies followed by the Group in the preparation of the accompanying consolidated financial statements are summarized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 Basis of Consolidation</w:t>
      </w:r>
    </w:p>
    <w:p>
      <w:pPr>
        <w:spacing w:after="0" w:line="117"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32406B"/>
        </w:rPr>
        <w:t>The Group’s consolidated financial statements include the financial statements of the Company, its subsidiaries and the VIE for which the Company is the primary beneficiary. All transactions and balances among the Company, its subsidiaries, and the VIE have been eliminated upon consolidation.</w:t>
      </w:r>
    </w:p>
    <w:p>
      <w:pPr>
        <w:spacing w:after="0" w:line="76"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32406B"/>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spacing w:after="0" w:line="4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32406B"/>
        </w:rPr>
        <w:t>The Company applies the guidance codified in Accounting Standard Codification 810, Consolidations (“ASC 810”) on accounting for the VIE, which requires certain variable interest entities to be consolidated by the primary beneficiary of the entity in which it has a controlling financial interest. 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 Use of Estimates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The preparation of the Group’s consolidated financial statements in conformity with U.S. GAAP requires management to make estimates and assumptions that affect the reported amounts of assets and liabilities, long-lived assets and liabilities at the balance sheet date, and the reported revenues and expenses during the reporting periods in the consolidated financial statements and accompanying notes. Significant accounting estimates reflected in the Group’s consolidated financial statements include, but are not limited to reserve for excess and obsolete inventories, allowance for doubtful accounts, product warranties, internal-use software development costs, valuation allowance for deferred tax assets, the carrying value of operating lease right-of-use assets, stand-alone selling prices (SSP) for each distinct performance obligation, the valuation of ordinary shares and share-based compensation. Estimates are based on historical experiences and on various assumptions that the Group believes are reasonable under current circumstances. As of December 31, 2020, the Group considered the economic implications of the COVID-19 on its significant judgments and estimates. Given that changes in circumstances, facts and experience may cause the Group to revise its estimates, actual results could differ materially from those estimates.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F-15</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 Functional Currency and Foreign Currency Translation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32406B"/>
        </w:rPr>
        <w:t xml:space="preserve">The Group uses United States dollar as its reporting currency. The functional currency of the Company and its subsidiaries incorporated in Cayman Islands and Hong Kong is United States dollar, while the functional currency of the Group’s other subsidiaries and VIE is their respective local currency as determined based on the criteria of ASC 830, </w:t>
      </w:r>
      <w:r>
        <w:rPr>
          <w:rFonts w:ascii="Arial" w:cs="Arial" w:eastAsia="Arial" w:hAnsi="Arial"/>
          <w:sz w:val="18"/>
          <w:szCs w:val="18"/>
          <w:i w:val="1"/>
          <w:iCs w:val="1"/>
          <w:color w:val="32406B"/>
        </w:rPr>
        <w:t>Foreign Currency Matters</w:t>
      </w:r>
      <w:r>
        <w:rPr>
          <w:rFonts w:ascii="Arial" w:cs="Arial" w:eastAsia="Arial" w:hAnsi="Arial"/>
          <w:sz w:val="18"/>
          <w:szCs w:val="18"/>
          <w:color w:val="32406B"/>
        </w:rPr>
        <w:t>.</w:t>
      </w:r>
    </w:p>
    <w:p>
      <w:pPr>
        <w:spacing w:after="0" w:line="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32406B"/>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included in the Consolidated Statements of Comprehensive Loss as foreign exchange related gains or loss.</w:t>
      </w:r>
    </w:p>
    <w:p>
      <w:pPr>
        <w:spacing w:after="0" w:line="7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32406B"/>
        </w:rPr>
        <w:t>The financial statements of the Group’s entities using functional currency other than US$ are translated from the functional currency to the reporting currency, US$. Assets and liabilities of the Group’s subsidiaries incorporated in PRC are translated into US$ at fiscal year-end exchange rates, while income and expense items are translated at average exchange rates prevailing during each period presented, representing the index rates stipulated by the People’s Bank of China. Translation adjustments arising from these are reported as foreign currency translation adjustments and are shown as a separate component of shareholders’ equity on the Consolidated Financial Statements.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 Fair Value Measurements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32406B"/>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32406B"/>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include:</w:t>
      </w:r>
    </w:p>
    <w:p>
      <w:pPr>
        <w:spacing w:after="0" w:line="71" w:lineRule="exact"/>
        <w:rPr>
          <w:sz w:val="20"/>
          <w:szCs w:val="20"/>
          <w:color w:val="auto"/>
        </w:rPr>
      </w:pPr>
    </w:p>
    <w:p>
      <w:pPr>
        <w:ind w:left="980" w:hanging="432"/>
        <w:spacing w:after="0"/>
        <w:tabs>
          <w:tab w:leader="none" w:pos="980" w:val="left"/>
        </w:tabs>
        <w:numPr>
          <w:ilvl w:val="0"/>
          <w:numId w:val="137"/>
        </w:numPr>
        <w:rPr>
          <w:rFonts w:ascii="Arial" w:cs="Arial" w:eastAsia="Arial" w:hAnsi="Arial"/>
          <w:sz w:val="18"/>
          <w:szCs w:val="18"/>
          <w:color w:val="32406B"/>
        </w:rPr>
      </w:pPr>
      <w:r>
        <w:rPr>
          <w:rFonts w:ascii="Arial" w:cs="Arial" w:eastAsia="Arial" w:hAnsi="Arial"/>
          <w:sz w:val="18"/>
          <w:szCs w:val="18"/>
          <w:color w:val="32406B"/>
        </w:rPr>
        <w:t>Level 1: Quoted prices (unadjusted) in active markets for identical assets or liabilities.</w:t>
      </w:r>
    </w:p>
    <w:p>
      <w:pPr>
        <w:spacing w:after="0" w:line="130" w:lineRule="exact"/>
        <w:rPr>
          <w:rFonts w:ascii="Arial" w:cs="Arial" w:eastAsia="Arial" w:hAnsi="Arial"/>
          <w:sz w:val="18"/>
          <w:szCs w:val="18"/>
          <w:color w:val="32406B"/>
        </w:rPr>
      </w:pPr>
    </w:p>
    <w:p>
      <w:pPr>
        <w:ind w:left="980" w:hanging="432"/>
        <w:spacing w:after="0"/>
        <w:tabs>
          <w:tab w:leader="none" w:pos="980" w:val="left"/>
        </w:tabs>
        <w:numPr>
          <w:ilvl w:val="0"/>
          <w:numId w:val="137"/>
        </w:numPr>
        <w:rPr>
          <w:rFonts w:ascii="Arial" w:cs="Arial" w:eastAsia="Arial" w:hAnsi="Arial"/>
          <w:sz w:val="18"/>
          <w:szCs w:val="18"/>
          <w:color w:val="32406B"/>
        </w:rPr>
      </w:pPr>
      <w:r>
        <w:rPr>
          <w:rFonts w:ascii="Arial" w:cs="Arial" w:eastAsia="Arial" w:hAnsi="Arial"/>
          <w:sz w:val="18"/>
          <w:szCs w:val="18"/>
          <w:color w:val="32406B"/>
        </w:rPr>
        <w:t>Level 2: Observable, market-based inputs, other than quoted prices, in active markets for identical assets or liabilities.</w:t>
      </w:r>
    </w:p>
    <w:p>
      <w:pPr>
        <w:spacing w:after="0" w:line="130" w:lineRule="exact"/>
        <w:rPr>
          <w:rFonts w:ascii="Arial" w:cs="Arial" w:eastAsia="Arial" w:hAnsi="Arial"/>
          <w:sz w:val="18"/>
          <w:szCs w:val="18"/>
          <w:color w:val="32406B"/>
        </w:rPr>
      </w:pPr>
    </w:p>
    <w:p>
      <w:pPr>
        <w:ind w:left="980" w:right="720" w:hanging="432"/>
        <w:spacing w:after="0" w:line="277" w:lineRule="auto"/>
        <w:tabs>
          <w:tab w:leader="none" w:pos="980" w:val="left"/>
        </w:tabs>
        <w:numPr>
          <w:ilvl w:val="0"/>
          <w:numId w:val="137"/>
        </w:numPr>
        <w:rPr>
          <w:rFonts w:ascii="Arial" w:cs="Arial" w:eastAsia="Arial" w:hAnsi="Arial"/>
          <w:sz w:val="18"/>
          <w:szCs w:val="18"/>
          <w:color w:val="32406B"/>
        </w:rPr>
      </w:pPr>
      <w:r>
        <w:rPr>
          <w:rFonts w:ascii="Arial" w:cs="Arial" w:eastAsia="Arial" w:hAnsi="Arial"/>
          <w:sz w:val="18"/>
          <w:szCs w:val="18"/>
          <w:color w:val="32406B"/>
        </w:rPr>
        <w:t>Level 3: Unobservable inputs to the valuation methodology that are significant to the measurement of the fair value of the assets or liabilities.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32406B"/>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32406B"/>
        </w:rPr>
        <w:t>Financial assets and liabilities of the Group mainly consist of cash and cash equivalents, restricted cash, short-term investments, account receivables, notes receivable, certain other current assets, long-term investments, trade payables and certain accruals and other liabilities. As of December 31, 2019, except for short-term investments, the carrying values of these financial instruments approximated their fair values due to their short-term maturity. As of December 31, 2020, except for short-term investments and equity securities with readily determinable fair value included in long-term investments, the carrying values of these financial instruments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F-16</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32406B"/>
        </w:rPr>
        <w:t>approximated their fair values due to their short-term maturity. The Group reports short-term investments at fair value and discloses the fair value of these investments based on level 2 measurement. The Group reports equity securities with readily determinable fair value included in long-term investments at fair value and discloses the fair value of these investments based on level 2 measurement.</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32406B"/>
        </w:rPr>
        <w:t>The following table sets forth the Group’s assets and liabilities that are measured at fair value on a recurring basis and are categorized using the fair value hierarchy:</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32406B"/>
                <w:w w:val="97"/>
              </w:rPr>
              <w:t>Fair value</w:t>
            </w:r>
          </w:p>
        </w:tc>
        <w:tc>
          <w:tcPr>
            <w:tcW w:w="410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32406B"/>
                <w:w w:val="96"/>
              </w:rPr>
              <w:t>Fair value measurement at reporting date using</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32406B"/>
                <w:w w:val="98"/>
              </w:rPr>
              <w:t>Quoted Prices in Active</w:t>
            </w:r>
          </w:p>
        </w:tc>
        <w:tc>
          <w:tcPr>
            <w:tcW w:w="190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32406B"/>
                <w:w w:val="93"/>
              </w:rPr>
              <w:t>Significant Other</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32406B"/>
                <w:w w:val="85"/>
              </w:rPr>
              <w:t>as of</w:t>
            </w:r>
          </w:p>
        </w:tc>
        <w:tc>
          <w:tcPr>
            <w:tcW w:w="2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32406B"/>
                <w:w w:val="96"/>
              </w:rPr>
              <w:t>Markets for Identical</w:t>
            </w:r>
          </w:p>
        </w:tc>
        <w:tc>
          <w:tcPr>
            <w:tcW w:w="1900" w:type="dxa"/>
            <w:vAlign w:val="bottom"/>
            <w:gridSpan w:val="2"/>
            <w:vMerge w:val="continue"/>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32406B"/>
                <w:w w:val="92"/>
              </w:rPr>
              <w:t>Unobservable</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32406B"/>
                <w:w w:val="90"/>
              </w:rPr>
              <w:t>Description</w:t>
            </w:r>
          </w:p>
        </w:tc>
        <w:tc>
          <w:tcPr>
            <w:tcW w:w="2800" w:type="dxa"/>
            <w:vAlign w:val="bottom"/>
            <w:vMerge w:val="restart"/>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2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32406B"/>
                <w:w w:val="87"/>
              </w:rPr>
              <w:t>Assets</w:t>
            </w: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32406B"/>
                <w:w w:val="93"/>
              </w:rPr>
              <w:t>Observable Inputs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5"/>
              </w:rPr>
              <w:t>Inputs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89"/>
              </w:rPr>
              <w:t>2019</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32406B"/>
                <w:w w:val="94"/>
              </w:rPr>
              <w:t>(Level 1)</w:t>
            </w:r>
          </w:p>
        </w:tc>
        <w:tc>
          <w:tcPr>
            <w:tcW w:w="190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32406B"/>
                <w:w w:val="94"/>
              </w:rPr>
              <w:t>(Level 2)</w:t>
            </w:r>
          </w:p>
        </w:tc>
        <w:tc>
          <w:tcPr>
            <w:tcW w:w="9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32406B"/>
                <w:w w:val="94"/>
              </w:rPr>
              <w:t>(Level 3)</w:t>
            </w:r>
          </w:p>
        </w:tc>
        <w:tc>
          <w:tcPr>
            <w:tcW w:w="0" w:type="dxa"/>
            <w:vAlign w:val="bottom"/>
          </w:tcPr>
          <w:p>
            <w:pPr>
              <w:spacing w:after="0"/>
              <w:rPr>
                <w:sz w:val="1"/>
                <w:szCs w:val="1"/>
                <w:color w:val="auto"/>
              </w:rPr>
            </w:pPr>
          </w:p>
        </w:tc>
      </w:tr>
      <w:tr>
        <w:trPr>
          <w:trHeight w:val="189"/>
        </w:trPr>
        <w:tc>
          <w:tcPr>
            <w:tcW w:w="3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32406B"/>
              </w:rPr>
              <w:t>Assets:</w:t>
            </w: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32406B"/>
              </w:rPr>
              <w:t>Short-term investments</w:t>
            </w:r>
          </w:p>
        </w:tc>
        <w:tc>
          <w:tcPr>
            <w:tcW w:w="840" w:type="dxa"/>
            <w:vAlign w:val="bottom"/>
          </w:tcPr>
          <w:p>
            <w:pPr>
              <w:jc w:val="right"/>
              <w:spacing w:after="0"/>
              <w:rPr>
                <w:sz w:val="20"/>
                <w:szCs w:val="20"/>
                <w:color w:val="auto"/>
              </w:rPr>
            </w:pPr>
            <w:r>
              <w:rPr>
                <w:rFonts w:ascii="Arial" w:cs="Arial" w:eastAsia="Arial" w:hAnsi="Arial"/>
                <w:sz w:val="18"/>
                <w:szCs w:val="18"/>
                <w:color w:val="32406B"/>
              </w:rPr>
              <w:t>16,663</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gridSpan w:val="2"/>
          </w:tcPr>
          <w:p>
            <w:pPr>
              <w:ind w:left="1260"/>
              <w:spacing w:after="0"/>
              <w:rPr>
                <w:sz w:val="20"/>
                <w:szCs w:val="20"/>
                <w:color w:val="auto"/>
              </w:rPr>
            </w:pPr>
            <w:r>
              <w:rPr>
                <w:rFonts w:ascii="Arial" w:cs="Arial" w:eastAsia="Arial" w:hAnsi="Arial"/>
                <w:sz w:val="18"/>
                <w:szCs w:val="18"/>
                <w:color w:val="32406B"/>
              </w:rPr>
              <w:t>—</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32406B"/>
              </w:rPr>
              <w:t>16,663</w:t>
            </w:r>
          </w:p>
        </w:tc>
        <w:tc>
          <w:tcPr>
            <w:tcW w:w="900" w:type="dxa"/>
            <w:vAlign w:val="bottom"/>
            <w:gridSpan w:val="2"/>
          </w:tcPr>
          <w:p>
            <w:pPr>
              <w:ind w:left="6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32406B"/>
                <w:w w:val="97"/>
              </w:rPr>
              <w:t>Fair value</w:t>
            </w:r>
          </w:p>
        </w:tc>
        <w:tc>
          <w:tcPr>
            <w:tcW w:w="410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32406B"/>
                <w:w w:val="96"/>
              </w:rPr>
              <w:t>Fair value measurement at reporting date using</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32406B"/>
                <w:w w:val="98"/>
              </w:rPr>
              <w:t>Quoted Prices in Active</w:t>
            </w:r>
          </w:p>
        </w:tc>
        <w:tc>
          <w:tcPr>
            <w:tcW w:w="190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32406B"/>
                <w:w w:val="93"/>
              </w:rPr>
              <w:t>Significant Other</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32406B"/>
                <w:w w:val="85"/>
              </w:rPr>
              <w:t>as of</w:t>
            </w:r>
          </w:p>
        </w:tc>
        <w:tc>
          <w:tcPr>
            <w:tcW w:w="2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32406B"/>
                <w:w w:val="96"/>
              </w:rPr>
              <w:t>Markets for Identical</w:t>
            </w:r>
          </w:p>
        </w:tc>
        <w:tc>
          <w:tcPr>
            <w:tcW w:w="1900" w:type="dxa"/>
            <w:vAlign w:val="bottom"/>
            <w:gridSpan w:val="2"/>
            <w:vMerge w:val="continue"/>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32406B"/>
                <w:w w:val="92"/>
              </w:rPr>
              <w:t>Unobservable</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32406B"/>
                <w:w w:val="90"/>
              </w:rPr>
              <w:t>Description</w:t>
            </w:r>
          </w:p>
        </w:tc>
        <w:tc>
          <w:tcPr>
            <w:tcW w:w="2800" w:type="dxa"/>
            <w:vAlign w:val="bottom"/>
            <w:vMerge w:val="restart"/>
          </w:tcPr>
          <w:p>
            <w:pPr>
              <w:spacing w:after="0"/>
              <w:rPr>
                <w:sz w:val="12"/>
                <w:szCs w:val="12"/>
                <w:color w:val="auto"/>
              </w:rPr>
            </w:pP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2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32406B"/>
                <w:w w:val="87"/>
              </w:rPr>
              <w:t>Assets</w:t>
            </w:r>
          </w:p>
        </w:tc>
        <w:tc>
          <w:tcPr>
            <w:tcW w:w="19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32406B"/>
                <w:w w:val="93"/>
              </w:rPr>
              <w:t>Observable Inputs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5"/>
              </w:rPr>
              <w:t>Inputs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89"/>
              </w:rPr>
              <w:t>2020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32406B"/>
                <w:w w:val="94"/>
              </w:rPr>
              <w:t>(Level 1)</w:t>
            </w:r>
          </w:p>
        </w:tc>
        <w:tc>
          <w:tcPr>
            <w:tcW w:w="190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32406B"/>
                <w:w w:val="94"/>
              </w:rPr>
              <w:t>(Level 2)</w:t>
            </w:r>
          </w:p>
        </w:tc>
        <w:tc>
          <w:tcPr>
            <w:tcW w:w="9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32406B"/>
                <w:w w:val="94"/>
              </w:rPr>
              <w:t>(Level 3)</w:t>
            </w:r>
          </w:p>
        </w:tc>
        <w:tc>
          <w:tcPr>
            <w:tcW w:w="0" w:type="dxa"/>
            <w:vAlign w:val="bottom"/>
          </w:tcPr>
          <w:p>
            <w:pPr>
              <w:spacing w:after="0"/>
              <w:rPr>
                <w:sz w:val="1"/>
                <w:szCs w:val="1"/>
                <w:color w:val="auto"/>
              </w:rPr>
            </w:pPr>
          </w:p>
        </w:tc>
      </w:tr>
      <w:tr>
        <w:trPr>
          <w:trHeight w:val="189"/>
        </w:trPr>
        <w:tc>
          <w:tcPr>
            <w:tcW w:w="3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32406B"/>
              </w:rPr>
              <w:t>Assets:</w:t>
            </w: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32406B"/>
              </w:rPr>
              <w:t>Short-term investments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32406B"/>
              </w:rPr>
              <w:t>20,976</w:t>
            </w:r>
          </w:p>
        </w:tc>
        <w:tc>
          <w:tcPr>
            <w:tcW w:w="740" w:type="dxa"/>
            <w:vAlign w:val="bottom"/>
          </w:tcPr>
          <w:p>
            <w:pPr>
              <w:spacing w:after="0"/>
              <w:rPr>
                <w:sz w:val="18"/>
                <w:szCs w:val="18"/>
                <w:color w:val="auto"/>
              </w:rPr>
            </w:pPr>
          </w:p>
        </w:tc>
        <w:tc>
          <w:tcPr>
            <w:tcW w:w="2200" w:type="dxa"/>
            <w:vAlign w:val="bottom"/>
            <w:gridSpan w:val="2"/>
          </w:tcPr>
          <w:p>
            <w:pPr>
              <w:ind w:left="1260"/>
              <w:spacing w:after="0"/>
              <w:rPr>
                <w:sz w:val="20"/>
                <w:szCs w:val="20"/>
                <w:color w:val="auto"/>
              </w:rPr>
            </w:pPr>
            <w:r>
              <w:rPr>
                <w:rFonts w:ascii="Arial" w:cs="Arial" w:eastAsia="Arial" w:hAnsi="Arial"/>
                <w:sz w:val="18"/>
                <w:szCs w:val="18"/>
                <w:color w:val="32406B"/>
              </w:rPr>
              <w:t>—</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32406B"/>
              </w:rPr>
              <w:t>20,976</w:t>
            </w:r>
          </w:p>
        </w:tc>
        <w:tc>
          <w:tcPr>
            <w:tcW w:w="900" w:type="dxa"/>
            <w:vAlign w:val="bottom"/>
            <w:gridSpan w:val="2"/>
          </w:tcPr>
          <w:p>
            <w:pPr>
              <w:ind w:left="6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Long-term investments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564</w:t>
            </w:r>
          </w:p>
        </w:tc>
        <w:tc>
          <w:tcPr>
            <w:tcW w:w="7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32406B"/>
              </w:rPr>
              <w:t>—</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32406B"/>
              </w:rPr>
              <w:t>564</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21,540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32406B"/>
                <w:w w:val="88"/>
              </w:rPr>
              <w:t>—</w:t>
            </w:r>
          </w:p>
        </w:tc>
        <w:tc>
          <w:tcPr>
            <w:tcW w:w="7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21,540</w:t>
            </w:r>
          </w:p>
        </w:tc>
        <w:tc>
          <w:tcPr>
            <w:tcW w:w="76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32406B"/>
                <w:w w:val="88"/>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 Cash and Cash Equivalents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32406B"/>
        </w:rPr>
        <w:t>Cash and cash equivalents include cash in bank and time deposits placed with banks or other financial institutions which have original maturities of three months or less at the time of purchase and are readily convertible to known amounts of cash.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 Restricted Cash</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32406B"/>
        </w:rPr>
        <w:t>Restricted cash represents cash that cannot be withdrawn without the permission of third parties. The Group’s restricted cash is substantially cash balance on deposit required by its business partners and commercial banks. Restricted cash for the year ended December 31, 2019 was related</w:t>
      </w:r>
    </w:p>
    <w:p>
      <w:pPr>
        <w:ind w:left="120" w:right="280"/>
        <w:spacing w:after="0" w:line="253" w:lineRule="auto"/>
        <w:rPr>
          <w:sz w:val="20"/>
          <w:szCs w:val="20"/>
          <w:color w:val="auto"/>
        </w:rPr>
      </w:pPr>
      <w:r>
        <w:rPr>
          <w:rFonts w:ascii="Arial" w:cs="Arial" w:eastAsia="Arial" w:hAnsi="Arial"/>
          <w:sz w:val="18"/>
          <w:szCs w:val="18"/>
          <w:color w:val="32406B"/>
        </w:rPr>
        <w:t>to one deposit of letter of guarantee, and was released from the restriction during 2020. The restricted cash balance for the year ended December 31, 2020 is related to cash preservation for an ongoing dispute between the Company and one of its customers in associated with smart devices sold to this customer. It was released from the restriction in February 2021 due to the alignment reached under the dispute between the Company and the customer.</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 Short-term Investments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32406B"/>
        </w:rPr>
        <w:t>Short-term investments are comprised of time deposits placed with banks with original maturities longer than three months but less than one year, structured deposits and wealth management products issued by banks which contains fixed or variable interest with original maturities within one year. Such investments are generally not permitted to be redeemed early or are subject to penalties for redemption prior to maturities. These investments are stated at fair value. Changes in the fair value are reflected in financial income, net in the Consolidation Statements of Comprehensive Loss.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F-17</w:t>
      </w:r>
    </w:p>
    <w:p>
      <w:pPr>
        <w:sectPr>
          <w:pgSz w:w="11900" w:h="16838" w:orient="portrait"/>
          <w:cols w:equalWidth="0" w:num="1">
            <w:col w:w="11060"/>
          </w:cols>
          <w:pgMar w:left="320" w:top="459" w:right="5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 Accounts Receivable, net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32406B"/>
        </w:rPr>
        <w:t>Accounts receivable are presented net of allowance for doubtful accounts. The Group maintains an allowance for doubtful accounts which reflects its best estimate of amounts that potentially will not be collected. The Group determines the allowance for doubtful accounts by taking into consideration various factors including but not limited to historical collection experience and creditworthiness of the customers. Accounts receivable balances are written off after all collection efforts have been exhausted.</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32406B"/>
        </w:rPr>
        <w:t>Notes receivable are primarily bank acceptance notes. The Group accepts bank acceptance notes from customers for products sold or services performed in the ordinary course of business. Bank acceptance notes are negotiable instruments with cash settlement from commercial banks within 6 months. Upon receipt of the bank acceptance notes, the Group’s accounts receivable from the customer is derecognized. The bank acceptance notes can also be endorsed to suppliers as settlement of accounts payable. Bank acceptance notes of US$12.4 million and US$1.4 million were endorsed to suppliers for the years ended December 31, 2019 and 2020, respectively. As of December 31, 2019 and 2020, the endorsed bank acceptance notes but yet due were US$3,570 and nil, respectively.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(j) Inventories, net</w:t>
      </w:r>
    </w:p>
    <w:p>
      <w:pPr>
        <w:spacing w:after="0" w:line="117"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32406B"/>
        </w:rPr>
        <w:t>Inventories are comprised of finished goods, work in process, raw materials and low value consumables and spare parts. Inventories are stated at the lower of cost and net realizable value. Cost of inventory is determined using the weighted average cost method. Adjustments are recorded to write down the cost of inventory to the estimated net realizable value due to slow-moving and obsolete inventories, which is dependent upon factors such as historical and forecasted consumer demand, and promotional environment. The Group takes ownership, risks and rewards of the products purchased.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(k) Operating Lease</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32406B"/>
        </w:rPr>
        <w:t>The Group adopted ASC 842, Leases, on January 1, 2019 on modified retrospective basis. The Group determines if an arrangement is a lease at inception. Operating leases are primarily for office and warehouse and are included in Operating lease right-of-use assets, net, Operating lease liabilities, current and Operating lease liabilities, non-current on its Consolidated Balance Sheets. Operating lease right-of-use assets represent the Group’s right to use an underlying asset for the lease term and Operating lease liabilities represent obligation to make lease payment arising from the lease. The operating lease right-of-use assets and liabilities are recognized at lease commencement date based on the present value of lease payment over the lease term. As most of the Group’s leases do not provide an implicit rate, the Group uses its incremental borrowing rate based on the information available at lease commencement date in determining the present value of lease payments. The Operating lease right-of-use assets also includes any lease payments made and excludes lease incentives. The Group’s lease term may include options to extend or terminate the lease. Renewal options are considered within the Operating lease right-of-use assets and liabilities when it is reasonably certain that the Group will exercise that option. Lease expense for lease payments is recognized on a straight-line basis over the lease term.</w:t>
      </w:r>
    </w:p>
    <w:p>
      <w:pPr>
        <w:spacing w:after="0" w:line="16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32406B"/>
        </w:rPr>
        <w:t>For operating lease with a term of one year or less, the Group has elected not to recognize a lease liability or lease right of use asset on its Consolidated Balance Sheets. Instead, it recognizes the lease payment as expense on a straight-line basis over the lease term. Short-term lease costs are immaterial to its Consolidated Statements of Comprehensive Loss. The Group has operating lease agreements with insignificant non-lease components and have elected the practical expedient to combine and account for lease and non-lease components as single lease component.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(l) Internal-Use Software Development Costs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32406B"/>
        </w:rPr>
        <w:t>The Group recognizes its internal-use software development costs related to its IoT cloud platform functions, including related website, software and mobile applications in accordance with ASC 350-50 “Website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F-18</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32406B"/>
        </w:rPr>
        <w:t>development costs” and ASC 350-40 “Internal-use software”. Costs related to preliminary project activities and post-implementation operating activities are expensed as incurred. Cost capitalized for developing IoT cloud platform functions were not material for the periods presented.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 Property, Equipment and Software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32406B"/>
        </w:rPr>
        <w:t>Property, equipment and software are stated at historical cost less accumulated depreciation, amortization and impairment loss, if any. Depreciation and amortization is computed using the straight-line method over the following estimated useful lives, taking into account any estimated residual value:</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Leasehold improvements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Computers and electronic equipment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Office equipment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Software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32406B"/>
        </w:rPr>
        <w:t>the shorter of their useful lives and the lease terms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32406B"/>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2406B"/>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2406B"/>
        </w:rPr>
        <w:t>3 years</w:t>
      </w:r>
    </w:p>
    <w:p>
      <w:pPr>
        <w:spacing w:after="0" w:line="200" w:lineRule="exact"/>
        <w:rPr>
          <w:sz w:val="20"/>
          <w:szCs w:val="20"/>
          <w:color w:val="auto"/>
        </w:rPr>
      </w:pPr>
    </w:p>
    <w:p>
      <w:pPr>
        <w:sectPr>
          <w:pgSz w:w="11900" w:h="16838" w:orient="portrait"/>
          <w:cols w:equalWidth="0" w:num="2">
            <w:col w:w="5100" w:space="720"/>
            <w:col w:w="5300"/>
          </w:cols>
          <w:pgMar w:left="320" w:top="459" w:right="459" w:bottom="1440" w:gutter="0" w:footer="0" w:header="0"/>
          <w:type w:val="continuous"/>
        </w:sectPr>
      </w:pPr>
    </w:p>
    <w:p>
      <w:pPr>
        <w:spacing w:after="0" w:line="1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32406B"/>
        </w:rPr>
        <w:t>Repairs and maintenance costs are charged to expenses as incurred, whereas the costs of renewals and improvements that extend the useful lives of property, equipment and software are capitalized as additions to the related assets. The Group recognized the gain or loss on the disposal of property, equipment and software in the Consolidated Statements of Comprehensive Loss.</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32406B"/>
        </w:rPr>
        <w:t>Construction in progress represents assets under construction. Construction in progress is transferred to property, equipment and software and depreciation or amortization commences when an asset is ready for its intended use.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(n) Long-term Investments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32406B"/>
        </w:rPr>
        <w:t>Long-term investments represent the Group’s equity security investments in the periods presented. Equity securities without readily determinable fair values are measured and recorded using a measurement alternative that measures the securities at cost minus impairment, if any, plus or minus changes resulting from qualifying observable price changes. Equity securities with readily determinable fair values are measured and recorded at fair value on a recurring basis with changes in fair value, whether realized or unrealized, recorded in financial income in the Consolidated Statements of Comprehensive Loss.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 Impairment of Long-lived Assets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32406B"/>
        </w:rPr>
        <w:t>For other long-lived assets including property, equipment and software and other non-current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 No impairment charges were recognized for the years ended December 31, 2019 and 2020.</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 Mezzanine Equity</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32406B"/>
        </w:rPr>
        <w:t>Mezzanine equity represents the Series A, Series A-1, Series B, Series C and Series D convertible preferred shares (collectively, the “Preferred Shares”) issued by the Company. Preferred Shares are contingently redeemable upon the occurrence of an event that is outside of the Company’s control. Therefore, the Group classifies the Preferred Shares as mezzanine equity. See Note 15—Convertible Preferred Shares.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F-19</w:t>
      </w:r>
    </w:p>
    <w:p>
      <w:pPr>
        <w:sectPr>
          <w:pgSz w:w="11900" w:h="16838" w:orient="portrait"/>
          <w:cols w:equalWidth="0" w:num="1">
            <w:col w:w="11120"/>
          </w:cols>
          <w:pgMar w:left="320" w:top="459" w:right="45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(q) Value Added Taxes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32406B"/>
        </w:rPr>
        <w:t>The Group’s subsidiaries and VIE in the PRC are subject to value-added taxes (“VAT”) on its products and services, less any deductible VAT the Group has already paid or borne. They are also subject to surcharges on VAT payments in accordance with PRC law. VAT is not included in the revenue recognized for the Group.</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32406B"/>
        </w:rPr>
        <w:t>Hangzhou Tuya Information Technology Co., Ltd. and Zhejiang Tuya Smart Electronics Co., Ltd. obtained their software copy certificate in July and December 2020, respectively, and are applicable for the VAT refund-upon-collection policy, which entitles Hangzhou Tuya Information Technology Co., Ltd. and Zhejiang Tuya Smart Electronics Co., Ltd. to receive relevant refund for the part VAT in excess of 3% of its actual tax burden upon completion of relevant VAT refund filling process. The VAT refund received is recorded in other operating (expenses)/incomes, net in the Consolidated Statements of Comprehensive Loss. For the years ended December 31, 2019 and 2020, the Company VAT refund received was nil and US$303, respectively.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 Revenue Recognition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32406B"/>
        </w:rPr>
        <w:t>The Group accounts for revenue in accordance with Accounting Standards Codification (ASC) Topic 606, Revenue From Contracts With Customers (ASC 606) for all periods presented.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Group assesses its revenue arrangements against specific criteria in order to determine if it is acting as principal or agent. Revenue arrangements with multiple performance obligations are divided into separate distinct goods or services. The Group allocates the transaction price to each performance obligation based on the relative standalone selling price of the goods or services provided.</w:t>
      </w:r>
    </w:p>
    <w:p>
      <w:pPr>
        <w:spacing w:after="0" w:line="8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Revenue is recorded net of value-added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Group’s revenue was disaggregated by its major revenue streams in the years presented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1920" w:type="dxa"/>
            <w:vAlign w:val="bottom"/>
            <w:gridSpan w:val="5"/>
          </w:tcPr>
          <w:p>
            <w:pPr>
              <w:ind w:left="14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82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32406B"/>
              </w:rPr>
              <w:t>2019</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32406B"/>
              </w:rPr>
              <w:t>IoT PaaS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76,365</w:t>
            </w:r>
          </w:p>
        </w:tc>
        <w:tc>
          <w:tcPr>
            <w:tcW w:w="3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151,677</w:t>
            </w:r>
          </w:p>
        </w:tc>
        <w:tc>
          <w:tcPr>
            <w:tcW w:w="6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32406B"/>
              </w:rPr>
              <w:t>Smart device distribution</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32406B"/>
              </w:rPr>
              <w:t>27,474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32406B"/>
              </w:rPr>
              <w:t>22,071</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32406B"/>
              </w:rPr>
              <w:t>SaaS and others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1,950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6,126</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32406B"/>
              </w:rPr>
              <w:t>Total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105,789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179,874</w:t>
            </w:r>
          </w:p>
        </w:tc>
        <w:tc>
          <w:tcPr>
            <w:tcW w:w="6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 Revenue from IoT PaaS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32406B"/>
        </w:rPr>
        <w:t>The Group’s IoT PaaS combines cloud-based connectivity and basic IoT services, edge capabilities (including modules and IoT operating system embedded), device optimization solutions, and app development. Customers are charged based on the number of IoT PaaS product to be deployed on smart devices. The Group determined there are two distinct performance obligations in the delivery of IoT PaaS including (1) IoT PaaS product with edge capabilities, device optimization solutions and app development and; (2) cloud-based connectivity and basic IoT services provided to customers and end consumers. The Group allocates the transaction price to each performance obligation based on their relative standalone selling price. The standalone selling price for IoT PaaS is estimated based on the competitor’s pricing for similar products in the market, adjusted for entity-specific factors. As the standalone selling price of the cloud-based connectivity and basic IoT services is not directly observable, it is estimated by the Group by using an expected cost plus a margin approach. Key areas of judgment include the selection of relevant cloud and other costs necessary to satisfy the performance obligation and estimated profit margins. For the delivery of IoT PaaS product, revenue is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F-20</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32406B"/>
        </w:rPr>
        <w:t>recognized when IoT PaaS products are accepted by customers, which is the point that control of the product is transferred to the customers. A receivable is recognized when the IoT PaaS products are delivered and accepted by customers as this is the point in time that the consideration is unconditional. For cloud-based connectivity and basic IoT services, revenue is deferred and subsequently recognized from the end consumer’s activation to the end of the estimated IoT PaaS product’s life cycle on a straight-line basis. Based on the Group’s historical information, activation occurs, on average, an estimated 6 months after the IoT PaaS products are delivered to customers. The length of life cycle of the IoT PaaS products is estimated based on the historical data in previous years and by referencing the life cycle of different smart devices (e.g. lighting, security and monitoring devices) which ranged from 1.5 to 2 years.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Customers have a general right of return of the unqualified IoT PaaS products. Historically, the rate of return has not been material.</w:t>
      </w:r>
    </w:p>
    <w:p>
      <w:pPr>
        <w:spacing w:after="0" w:line="22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32406B"/>
        </w:rPr>
        <w:t>The Group started a membership program (the “2019 Membership Program”) in the fourth quarter of 2019. In the 2019 Membership Program, customers pay a fixed fee in exchange for IoT PaaS discount, VIP technical support, valued added services (“VAS” i.e. customized app development), and free participation in promotional activities. The promise to provide for technical support related services, the promotion related services and VAS are considered immaterial promises in the contract and are not considered distinct performance obligations. The membership fee is refundable if the volume requirements are met when the membership period ends. The Group historically generally refunds the membership fees even if the volume requirements are not met. Therefore, the Group does not expect being able to keep any of the membership fees and such fees are recorded as a refund liability under the 2019 Membership Program.</w:t>
      </w:r>
    </w:p>
    <w:p>
      <w:pPr>
        <w:spacing w:after="0" w:line="17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32406B"/>
        </w:rPr>
        <w:t>The Group launched a new membership program (the “2020 Membership Program”) in the fourth quarter of 2020 and no longer offered 2019 Membership Program ever since. In the 2020 Membership Program, customers pay a non-refundable fixed fee in exchange for member-exclusive IoT PaaS discounts within the membership period of typically 12 months. The Group records the upfront fixed membership fee as a deferred revenue and recognizes revenue on a straight-line basis typically over the 12-month membership period in which customers entitle to the membership.</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II. Revenue from smart device distribution</w:t>
      </w:r>
    </w:p>
    <w:p>
      <w:pPr>
        <w:spacing w:after="0" w:line="11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6"/>
          <w:szCs w:val="16"/>
          <w:color w:val="32406B"/>
        </w:rPr>
        <w:t>In certain circumstances, the Group offers select brands, primarily customers who prefer not to deal with multiple OEMs, an option to purchase directly from the Group finished smart devices where IoT PaaS is deployed. After the brands place purchase orders directly with the Group, the Group then sources the appropriate smart devices from OEMs based on the type of devices, hardware specifications and other metrics. The Group determines that there are two distinct performance obligations for its smart device distribution including the (1) smart devices embedded with IoT PaaS; and</w:t>
      </w:r>
    </w:p>
    <w:p>
      <w:pPr>
        <w:spacing w:after="0" w:line="1" w:lineRule="exact"/>
        <w:rPr>
          <w:sz w:val="20"/>
          <w:szCs w:val="20"/>
          <w:color w:val="auto"/>
        </w:rPr>
      </w:pPr>
    </w:p>
    <w:p>
      <w:pPr>
        <w:ind w:left="120" w:right="440" w:hanging="4"/>
        <w:spacing w:after="0" w:line="260" w:lineRule="auto"/>
        <w:tabs>
          <w:tab w:leader="none" w:pos="375" w:val="left"/>
        </w:tabs>
        <w:numPr>
          <w:ilvl w:val="0"/>
          <w:numId w:val="138"/>
        </w:numPr>
        <w:rPr>
          <w:rFonts w:ascii="Arial" w:cs="Arial" w:eastAsia="Arial" w:hAnsi="Arial"/>
          <w:sz w:val="18"/>
          <w:szCs w:val="18"/>
          <w:color w:val="32406B"/>
        </w:rPr>
      </w:pPr>
      <w:r>
        <w:rPr>
          <w:rFonts w:ascii="Arial" w:cs="Arial" w:eastAsia="Arial" w:hAnsi="Arial"/>
          <w:sz w:val="18"/>
          <w:szCs w:val="18"/>
          <w:color w:val="32406B"/>
        </w:rPr>
        <w:t>cloud-based connectivity and basic IoT services. The transaction price allocation and revenue recognition are the same as the revenue from IoT PaaS.</w:t>
      </w:r>
    </w:p>
    <w:p>
      <w:pPr>
        <w:spacing w:after="0" w:line="18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32406B"/>
        </w:rPr>
        <w:t>The Group presents the revenue generated from its smart device distribution on a gross basis as the Group has control of the smart devices before they are transferred to the brand customers. In making this determination, the Group concludes it met the principles of control and also that it is the primary obligor to the brand customers, are subject to inventory risk and have latitude in establishing prices.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III. Revenue from SaaS and others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32406B"/>
        </w:rPr>
        <w:t>SaaS and other revenue mainly include industry SaaS, customized software development and configuration, and other VAS to both business customers and the end consumers.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32406B"/>
        </w:rPr>
        <w:t>Industry SaaS is a vertical-focused software solution that enables businesses to easily and securely deploy, connect, and manage large numbers of smart devices for which the Group generally charges an annual subscription fee. These services include software authorization and standard SaaS platform maintenances and technical support.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F-21</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32406B"/>
        </w:rPr>
        <w:t>Customized software development and configuration mainly relate to contracts for the specific IT needs of the brands. The contracts generally include fixed milestone payments determined based on expected labor hours to complete the milestone.</w:t>
      </w:r>
    </w:p>
    <w:p>
      <w:pPr>
        <w:spacing w:after="0" w:line="170"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32406B"/>
        </w:rPr>
        <w:t>VAS primarily includes complementary services that are provided to brands and OEMs such as app launch, AI-powered virtual voice assistants, and data analytics and others. Such arrangements with the customers are short term and the performance obligations are satisfied at one point in time. VAS also include cloud-based services for the end customers such as IoT data storage, push messaging, object detection and digital content.</w:t>
      </w:r>
    </w:p>
    <w:p>
      <w:pPr>
        <w:spacing w:after="0" w:line="14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32406B"/>
        </w:rPr>
        <w:t>There are different kinds of contracts included in the SaaS and others, and each contract may contain multiple elements. The Group identifies the distinct performance allocations and allocates transaction price to each distinct performance obligation based on relative estimated standalone selling price. Revenue is recognized when the performance obligations are satisfied, which is either over a period of time or at one point in time.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Remaining performance obligations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32406B"/>
        </w:rPr>
        <w:t>The remaining performance obligations primarily relate to the Group’s provision of i) cloud-based connectivity and basic IoT services; ii) membership services; and iii) SaaS and others, and all three of them are included in deferred revenue.</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32406B"/>
        </w:rPr>
        <w:t>The amounts allocated to the cloud-based connectivity and basic IoT services are deferred and recognized on a straight-line basis over the estimated IoT PaaS product’s life cycle. The Group apportions deferred revenue between current and non-current based upon cloud-based connectivity and basic IoT services to be provided over the life cycle of smart devices. Deferred revenue relating to the Group’s cloud services that have an expiration date of less than 12 months are classified as current, otherwise non-current.</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32406B"/>
        </w:rPr>
        <w:t>Starting from the fourth quarter of 2020, there are i) upfront fixed membership fee received and recorded as part of the deferred revenue, it is recognized as revenue on a straight-line basis typically over the 12-month membership period in which customers are entitled to the membership; and ii) amounts related to providing Industry SaaS (included in SaaS and others), in general, the Company charges annual subscription fee, which is deferred and recognized on a straight-line basis typically over the 12-month service period.</w:t>
      </w:r>
    </w:p>
    <w:p>
      <w:pPr>
        <w:spacing w:after="0" w:line="18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32406B"/>
        </w:rPr>
        <w:t>As of December 31, 2019 and 2020, the aggregate amount of transaction price allocated to the remaining performance obligations was US$777 and US$4,175 respectively, of which US$516 and US$3,468 were recorded in current deferred revenue while US$261 and US$707 were recorded in non-current deferred revenue respectively.</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The Group’s contract liability, including both deferred revenue and the advance from customers, is US$14,828 and US$31,253 as of December 31, 2019 and 2020 respectively.</w:t>
      </w:r>
    </w:p>
    <w:p>
      <w:pPr>
        <w:spacing w:after="0" w:line="170"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32406B"/>
        </w:rPr>
        <w:t>The Group applies the practical expedient to omit disclosure of information about the transaction price allocated to remaining performance obligations and when revenue will be recognized, for the related contract has a duration of one year or less. The remaining amounts recorded in non-current deferred revenue of US$261 and US$707 as of December 31, 2019 and 2020, respectively, would likely be recognized within 18 to 24 months.</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32406B"/>
        </w:rPr>
        <w:t>The Group provides warranty for IoT PaaS and smart device distribution mainly for one year. The Group accrues a warranty reserve for all IoT PaaS and smart device distribution, which include the Group’s best estimate of the projected costs to repair or replace items under warranties. These estimates are based on actual claims incurred to date and an estimate of the nature, frequency and costs of future claims. These estimates are inherently uncertain given the Group’s relatively short history of sales, and changes to the historical or projected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F-22</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32406B"/>
        </w:rPr>
        <w:t>warranty experience may cause material changes to the warranty reserve when the Group accumulates more actual data and experience in the future. The warranty reserve expected to be incurred is included within accruals and other liabilities in the Consolidated Balance Sheets.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 Advance from Customers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32406B"/>
        </w:rPr>
        <w:t>Amounts recorded in the advance from customers account represent cash payments made upfront by the Group’s customers under each sales contract. These amounts are not yet reclassed to deferred revenue account is because the Group has not started to fulfil any of its performance obligations identified under the contract at the time. The amounts in the advance from customers are reclassified to either revenue or deferred revenue when the Group commences fulfillment of its performance obligation, depending on whether respective revenue is to be recognized at point in time or over a period of time. If the Group fulfils its performance obligation at one point in time, the related amount in the advance from customers will be reclassified and recognized as revenue; whereas for the performance obligation that the Group starts to provide over a period of time, the amount in the advance from customers will be reclassified to deferred revenue.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 Cost of Revenues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32406B"/>
        </w:rPr>
        <w:t>Cost of revenue consists primarily of purchase price of materials, manufacturing charges from outsourced factories, estimated warranty costs, inventories write-downs, payroll cost of production support personnel and third-party cloud infrastructure expenses that are directly attributable to the sales of products or services rendered. Inbound shipping charges to receive raw materials from suppliers are included in the inventories and recognized as cost of revenues upon sale of products and render of services.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 Research and Development Expenses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32406B"/>
        </w:rPr>
        <w:t>Research and development expenses consist primarily of payroll cost including share-based compensation expenses for research and development personnel, third-party cloud infrastructure expenses incurred for research and development purposes, rental expenses and depreciation and other expenses in associated with research and development functions. The Group accounts for internal use software development costs in accordance with guidance on intangible assets and internal use software. See Note 2(l)—Internal-Use Software Development Costs.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(v) Sales and Marketing Expenses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32406B"/>
        </w:rPr>
        <w:t>Sales and marketing expenses consist primarily of payroll cost including share-based compensation expenses for sales and marketing personnel, promotion and marketing expenses, rental expenses and depreciation and other expenses in associated with sales and marketing functions. Advertising expenses consist primarily of costs for the promotion of the Group’s corporate image and product marketing. The Group expenses all advertising costs as incurred and classifies these costs under Sales and Marketing Expenses. For the years ended December 31, 2019 and 2020, advertising and marketing costs totaled US$10,374 and US$6,300, respectively.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(w) General and Administrative Expenses</w:t>
      </w:r>
    </w:p>
    <w:p>
      <w:pPr>
        <w:spacing w:after="0" w:line="117"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32406B"/>
        </w:rPr>
        <w:t>General and administrative expenses consist primarily of payroll cost including share-based compensation expenses for corporate personnel, general office expenses, rental expenses and depreciation and other expenses in associated with general and administrative functions.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(x) Government Grants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32406B"/>
        </w:rPr>
        <w:t>Government grants are recognized as Other operating (expenses)/incomes, net, or as a reduction of specific costs and expenses for which the grants are intended to compensate. Such amounts are recognized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F-23</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32406B"/>
        </w:rPr>
        <w:t>Consolidated Statements of Comprehensive Loss upon receipts as all conditions attached to the grants are fulfilled. Government grants included as other operating (expenses)/incomes, net in the Consolidated Statements of Comprehensive Loss amounted to US$102 and US$1,299 for the years ended December 31, 2019 and 2020,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(y) Employee Social Security and Welfare Benefits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32406B"/>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32406B"/>
        </w:rPr>
        <w:t>The PRC government is responsible for the medical benefits and the pension liability to be paid to these employees and the Group’s obligations are limited to the amounts contributed and no legal obligation beyond the contributions made. Employee social security and welfare benefits included as expenses in the Consolidated Statements of Comprehensive Loss amounted to US$13,091 and US$14,715 for the years ended December 31, 2019 and 2020, respectively.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(z) Income Taxes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32406B"/>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6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32406B"/>
        </w:rPr>
        <w:t>The Group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32406B"/>
        </w:rPr>
        <w:t>The Group’s tax positions are subject to income tax audits by multiple tax jurisdiction throughout the world. The Group recognizes a tax benefit associated with an uncertain tax position when, in its judgment, it is more likely than not that the position will be sustained upon examination by a taxing authority. For a tax position that meets the-more-likely-than-not recognition threshold, the Group initially and subsequently measures the tax benefit as the largest amount that the Group judges to have a greater than 50% likelihood of being realized upon ultimate settlement with a taxing authority. The Group’s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Group’s effective tax rate includes the net impact of changes in the liability for unrecognized tax</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F-24</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32406B"/>
        </w:rPr>
        <w:t>benefits and subsequent adjustments as considered appropriate by management. The Group classifies interest and penalties recognized on the liability for unrecognized tax benefits as income tax expense. For the years ended December 31, 2019 and 2020, there were no uncertain tax position liabilities.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(aa) Share-based Compensation</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32406B"/>
        </w:rPr>
        <w:t>The Company grants restricted shares to the Founders (also as key member of the management) and share options of the Company to eligible employees and nonemployees. The Company accounts for these share-based awards in accordance with ASC 718 Compensation—Stock Compensation.</w:t>
      </w:r>
    </w:p>
    <w:p>
      <w:pPr>
        <w:spacing w:after="0" w:line="12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32406B"/>
        </w:rPr>
        <w:t>The Founders and employees’ share-based awards are measured at the grant date fair value of the awards and recognized as expenses using a straight-line method over the requisite service period, which is the vesting period. For share-based awards granted with only service conditions to its PRC employees, the Group allows accelerated full vesting upon occurrence of a Change in Control (including defined in the Group’s Equity Incentive Plan), cumulative share-based compensation expenses for the share-based awards should be recorded upon the completion of the Change in Control.</w:t>
      </w:r>
    </w:p>
    <w:p>
      <w:pPr>
        <w:spacing w:after="0" w:line="15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32406B"/>
        </w:rPr>
        <w:t>For nonemployees’ share-based awards, the Group adopted ASU 2018-07 “Improvements to Nonemployee Share-Based Payment Accounting” for the periods presented. In accordance with ASU 2018-07, it clarifies that equity-classified nonemployee share-based awards are measured at the grant date. The definition of the term grant date is amended to generally state the date at which a grantor and a grantee reach a mutual understanding of the key terms and conditions of a share-based payment award. Nonemployee share-based awards are measured at the grant date fair value of the awards and recognized as expenses using a straight-line method over the requisite service period, which is the vesting period.</w:t>
      </w:r>
    </w:p>
    <w:p>
      <w:pPr>
        <w:spacing w:after="0" w:line="16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32406B"/>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32406B"/>
        </w:rPr>
        <w:t>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actual and projected employee and nonemployee share option exercise behavior, risk-free interest rates and expected dividend yield. Binomial option-pricing model incorporates the assumptions about grantees’ future exercise patterns. The fair value of these awards was determined by management with the assistance from an independent valuation firm using management’s estimates and assumptions.</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32406B"/>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In accordance with ASU 2016-09, the Group made an entity-wide accounting policy election to account for forfeitures when they occur.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(ab) Loss per Share</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32406B"/>
        </w:rPr>
        <w:t>Basic loss per share is computed by dividing net loss attributable to ordinary shareholders by the weighted average number of ordinary shares outstanding during the period using the two-class method. Under the two-class method, the net loss is allocated between ordinary shares and other participating securities based on their participating rights. Net loss is not allocated to other participating securities if based on their contractual terms they are not obligated to share in the loss.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F-25</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32406B"/>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ordinary shares issuable upon the conversion of the share-based awards, using the treasury stock method.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(ac) Comprehensive Loss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32406B"/>
        </w:rPr>
        <w:t>Comprehensive loss is defined as the changes in equity of the Group during a period from transactions and other events and circumstances excluding transactions resulting from investments from shareholders and distributions to shareholders. Comprehensive loss for the periods presented includes net loss and foreign currency translation adjustments.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(ad) Segment Reporting</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Operating segments are defined as components of an enterprise engaging in businesses activities for which separate financial information is available that is regularly evaluated by the Group’s chief operating decision maker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As the Group’s long-lived assets are substantially located in the PRC and substantially all the Group’s revenue are derived from within the PRC, no geographical segments are presented. Hence, the Group has only one operating segment and one reportable segment.</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(ae) Recently Issued Accounting Pronouncements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32406B"/>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 The Group adopts the following standards based on extended transition period provided to private companies or early adopts as necessary as permitted by the respective standards.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New and Amended Standards Adopted by the Group</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32406B"/>
        </w:rPr>
        <w:t>In February 2016, the FASB issued ASU 2016-02, Leases (Topic 842), which requires that a lessee should recognize the assets and liabilities that arise from operating leases. A lessee should recognize in the balance sheet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If a lessee makes this election, it should recognize lease expenses for such lease generally on a straight-line basis over the lease term. The new leases standard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Lessors are not afforded a similar practical expedient. The amendments in this Update are effective for fiscal years beginning after December 15, 2018, including interim periods within those fiscal years for public entities. For all other entities, the amendments in this Update are effective for fiscal years beginning after December 15, 2019, and interim periods within fiscal years beginning after December 15, 2020. Early application of the amendments in this Update is permitted for all entities. Entities are required to adopt the new leases standard using a modified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F-26</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32406B"/>
        </w:rPr>
        <w:t>retrospective transition method. Under that transition method, an entity initially applies the new leases standard (subject to specific transition requirements and optional practical expedients) at the beginning of the earliest period presented in the financial statements. The Company adopted this new guidance for the year ended December 31, 2019 and interim periods in the year ended December 31, 2019. In July 2018, the FASB issued ASU 2018-11, which provides another transition method in addition to the existing transition method by allowing entities to initially apply the new leases standard at the adoption date and recognize a cumulative-effect adjustment to the opening balance of retained earnings in the period of adoption consistent with preparers’ requests. This ASU also addresses stakeholders’ concerns about the requirement for lessors to separate components of a contract by providing lessors with a practical expedient, by class of underlying asset, to not separate non-lease components from the associated lease component, similar to the expedient provided for lessees. However, the lessor practical expedient is limited to circumstances in which the non-lease component or components otherwise would be accounted for under the new revenue guidance and both (1) the timing and pattern of transfer are the same for the non-lease component(s) and associated lease component and (2) the lease component, if accounted for separately, would be classified as an operating lease. The Group elected to early adopt ASC 842, Leases, on January 1, 2019 on modified retrospective basis and has elected not to recast comparative periods. Upon the adoption of the new lease standard, on January 1, 2019, the Group recognized operating lease assets of US$2,775 and total operating lease liabilities of US$2,762 (including current liabilities of US$1,230) on the Consolidated Balance Sheets. There was no impact to Accumulated deficit at adoption.</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32406B"/>
        </w:rPr>
        <w:t>In June 2018, the FASB issued ASU 2018-07, Compensation—Stock Compensation (Topic 718)—Improvements to Nonemployee Share-Based Payment Accounting, to align the accounting for share-based payment awards issued to nonemployees with the guidance applicable to grants to employees and remove requirement to reassess classification of nonemployee awards under other literature upon vesting. ASU 2018-07 is effective for fiscal years beginning after December 15, 2019, and interim periods within fiscal years beginning after December 15, 2020, with early adoption permitted but no earlier than the entity’s adoption of ASC 606. The Company adopted ASU 2018-07 on January 1, 2019. Based on ASU 2018-07, entities will generally apply the same guidance to both employee and nonemployee share-based awards, which nonemployee share-based payment equity awards are measured at the grant-date fair value of the equity instruments, similar to employee share-based payment equity awards. The impact of the adoption is not material.</w:t>
      </w:r>
    </w:p>
    <w:p>
      <w:pPr>
        <w:spacing w:after="0" w:line="19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32406B"/>
        </w:rPr>
        <w:t>In August 2018, the FASB issued ASU 2018-13, Fair Value Measurement (Topic 820): Disclosure Framework—Changes to the Disclosure Requirements for Fair Value Measurement, which eliminates, adds and modifies certain disclosure requirements for fair value measurements. Under the 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Company adopted ASU 2018-13 on January 1, 2019. The impact of the adoption is not material.</w:t>
      </w:r>
    </w:p>
    <w:p>
      <w:pPr>
        <w:spacing w:after="0" w:line="17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32406B"/>
        </w:rPr>
        <w:t>In December 2019, the FASB issued ASU 2019-12, Simplifying the Accounting for Income Taxes, as part of its initiative to reduce complexity in accounting standards. The amendments in the ASU are effective for fiscal years beginning after December 15, 2020, including interim periods therein. Early adoption of the standard is permitted, including adoption in interim or annual periods for which financial statements have not yet been issued. Subsequent to the periods presented, the Group adopted the ASU prospectively on January 1, 2021. The impact of the adoption is not material.</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New and Amended Standards not yet Adopted by the Group</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32406B"/>
        </w:rPr>
        <w:t>In June 2016, the FASB issued ASU 2016-13, Financial Instruments—Credit Losses (Topic 326), to provide financial statement users with more useful information about expected credit losses. ASU 2016-13 also changes how entities measure credit losses on financial instruments and the timing of when such losses are recorded. ASU 2016-13 is effective for fiscal years and interim periods within those years beginning after December 15, 2022</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F-27</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32406B"/>
        </w:rPr>
        <w:t>for the Company, with early adoption permitted. The Group is currently evaluating the impact ASU 2016-13 will have on its consolidated financial statements and associated disclosures.</w:t>
      </w:r>
    </w:p>
    <w:p>
      <w:pPr>
        <w:spacing w:after="0" w:line="170"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32406B"/>
        </w:rPr>
        <w:t>In August 2018, the FASB issued ASU 2018-15, Customer’s Accounting for Implementation Costs Incurred in a Cloud Computing Arrangement that is a Service Contract, 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ASU 2018-15 requires an entity (customer) in a hosting arrangement that is a service contract to follow the guidance in Subtopic 350-40 Internal-use software to determine which implementation costs to capitalize as an asset related to the service contract and which costs to expense. Costs for implementation activities in the application development stage are capitalized depending on the nature of the costs, while costs incurred during the preliminary project and postimplementation stages are expensed as the activities are performed. ASU 2018-15 also require the entity (customer) to expense the capitalized implementation costs of a hosting arrangement that is a service contract over the term of the hosting arrangement. The entity also is required to apply the existing impairment guidance in Subtopic 350-40 to the capitalized implementation costs as if the costs were long-lived assets. ASU 2018-15 also require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in the statement of financial position in the same line item that a prepayment for the fees of the associated hosting arrangement would be presented. ASU 2018-15 also require the entity (customer) to expense the capitalized implementation costs of a hosting arrangement that is a service contract over the term of the hosting arrangement, which includes reasonably certain renewals. The amendments in the ASU are effective for public business entities for fiscal years beginning after December 15, 2019, and interim periods within those fiscal years. For all other entities, the amendments in this ASU are effective for annual reporting periods beginning after December 15, 2020, and interim periods within annual periods beginning after December 15, 2021. Early adoption of the amendments in this Update is permitted, including adoption in any interim period, for all entities. The amendments in the ASU should be applied either retrospectively or prospectively to all implementation costs incurred after the date of adoption. The Group is currently in the process of evaluating the impact of the adoption of this guidance on its consolidated financial statements and associated disclosure.</w:t>
      </w:r>
    </w:p>
    <w:p>
      <w:pPr>
        <w:spacing w:after="0" w:line="284" w:lineRule="exact"/>
        <w:rPr>
          <w:sz w:val="20"/>
          <w:szCs w:val="20"/>
          <w:color w:val="auto"/>
        </w:rPr>
      </w:pPr>
    </w:p>
    <w:p>
      <w:pPr>
        <w:ind w:left="300" w:hanging="184"/>
        <w:spacing w:after="0"/>
        <w:tabs>
          <w:tab w:leader="none" w:pos="300" w:val="left"/>
        </w:tabs>
        <w:numPr>
          <w:ilvl w:val="0"/>
          <w:numId w:val="139"/>
        </w:numPr>
        <w:rPr>
          <w:rFonts w:ascii="Arial" w:cs="Arial" w:eastAsia="Arial" w:hAnsi="Arial"/>
          <w:sz w:val="18"/>
          <w:szCs w:val="18"/>
          <w:b w:val="1"/>
          <w:bCs w:val="1"/>
          <w:color w:val="32406B"/>
        </w:rPr>
      </w:pPr>
      <w:r>
        <w:rPr>
          <w:rFonts w:ascii="Arial" w:cs="Arial" w:eastAsia="Arial" w:hAnsi="Arial"/>
          <w:sz w:val="18"/>
          <w:szCs w:val="18"/>
          <w:b w:val="1"/>
          <w:bCs w:val="1"/>
          <w:color w:val="32406B"/>
        </w:rPr>
        <w:t>Risks and Concentration</w:t>
      </w:r>
    </w:p>
    <w:p>
      <w:pPr>
        <w:spacing w:after="0" w:line="121" w:lineRule="exact"/>
        <w:rPr>
          <w:rFonts w:ascii="Arial" w:cs="Arial" w:eastAsia="Arial" w:hAnsi="Arial"/>
          <w:sz w:val="18"/>
          <w:szCs w:val="18"/>
          <w:b w:val="1"/>
          <w:bCs w:val="1"/>
          <w:color w:val="32406B"/>
        </w:rPr>
      </w:pPr>
    </w:p>
    <w:p>
      <w:pPr>
        <w:ind w:left="820" w:hanging="264"/>
        <w:spacing w:after="0"/>
        <w:tabs>
          <w:tab w:leader="none" w:pos="820" w:val="left"/>
        </w:tabs>
        <w:numPr>
          <w:ilvl w:val="1"/>
          <w:numId w:val="139"/>
        </w:numPr>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Concentration of Credit Risk</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32406B"/>
        </w:rPr>
        <w:t>Financial instruments that potentially subject the Group to concentration of credit risk consist of cash and cash equivalents, short-term investments, accounts receivable and notes receivable.</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32406B"/>
        </w:rPr>
        <w:t>The Group deposits its cash and cash equivalents and short-term investments with major financial institutions which the Group believes that no significant credit risk with high credit quality.</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32406B"/>
        </w:rPr>
        <w:t>The Group has not experienced any significant recoverability issue with respect to its accounts receivable. The Group assesses the creditworthiness of each customer when providing services and may require the customers to make advance payments or a deposit before the services are rendered.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summarizes customers with greater than 10% of the accounts receivable: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32406B"/>
                <w:w w:val="91"/>
              </w:rPr>
              <w:t>As of</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85"/>
              </w:rPr>
              <w:t>As of</w:t>
            </w:r>
          </w:p>
        </w:tc>
      </w:tr>
      <w:tr>
        <w:trPr>
          <w:trHeight w:val="149"/>
        </w:trPr>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9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0"/>
              </w:rPr>
              <w:t>December 31,</w:t>
            </w:r>
          </w:p>
        </w:tc>
      </w:tr>
      <w:tr>
        <w:trPr>
          <w:trHeight w:val="171"/>
        </w:trPr>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6"/>
              </w:rPr>
              <w:t>2019</w:t>
            </w:r>
          </w:p>
        </w:tc>
        <w:tc>
          <w:tcPr>
            <w:tcW w:w="1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6"/>
              </w:rPr>
              <w:t>2020</w:t>
            </w:r>
          </w:p>
        </w:tc>
        <w:tc>
          <w:tcPr>
            <w:tcW w:w="220" w:type="dxa"/>
            <w:vAlign w:val="bottom"/>
            <w:tcBorders>
              <w:bottom w:val="single" w:sz="8" w:color="CCEEFF"/>
            </w:tcBorders>
          </w:tcPr>
          <w:p>
            <w:pPr>
              <w:spacing w:after="0"/>
              <w:rPr>
                <w:sz w:val="14"/>
                <w:szCs w:val="14"/>
                <w:color w:val="auto"/>
              </w:rPr>
            </w:pPr>
          </w:p>
        </w:tc>
      </w:tr>
      <w:tr>
        <w:trPr>
          <w:trHeight w:val="210"/>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Customer A</w:t>
            </w:r>
          </w:p>
        </w:tc>
        <w:tc>
          <w:tcPr>
            <w:tcW w:w="46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32406B"/>
              </w:rPr>
              <w:t>24%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19%</w:t>
            </w: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32406B"/>
              </w:rPr>
              <w:t>Customer B</w:t>
            </w:r>
          </w:p>
        </w:tc>
        <w:tc>
          <w:tcPr>
            <w:tcW w:w="6560" w:type="dxa"/>
            <w:vAlign w:val="bottom"/>
            <w:gridSpan w:val="3"/>
          </w:tcPr>
          <w:p>
            <w:pPr>
              <w:jc w:val="right"/>
              <w:ind w:right="960"/>
              <w:spacing w:after="0"/>
              <w:rPr>
                <w:sz w:val="20"/>
                <w:szCs w:val="20"/>
                <w:color w:val="auto"/>
              </w:rPr>
            </w:pPr>
            <w:r>
              <w:rPr>
                <w:rFonts w:ascii="Arial" w:cs="Arial" w:eastAsia="Arial" w:hAnsi="Arial"/>
                <w:sz w:val="18"/>
                <w:szCs w:val="18"/>
                <w:color w:val="32406B"/>
              </w:rPr>
              <w:t>12%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r>
      <w:tr>
        <w:trPr>
          <w:trHeight w:val="121"/>
        </w:trPr>
        <w:tc>
          <w:tcPr>
            <w:tcW w:w="260" w:type="dxa"/>
            <w:vAlign w:val="bottom"/>
            <w:tcBorders>
              <w:bottom w:val="single" w:sz="8" w:color="32406B"/>
            </w:tcBorders>
          </w:tcPr>
          <w:p>
            <w:pPr>
              <w:spacing w:after="0"/>
              <w:rPr>
                <w:sz w:val="10"/>
                <w:szCs w:val="10"/>
                <w:color w:val="auto"/>
              </w:rPr>
            </w:pPr>
          </w:p>
        </w:tc>
        <w:tc>
          <w:tcPr>
            <w:tcW w:w="960" w:type="dxa"/>
            <w:vAlign w:val="bottom"/>
            <w:tcBorders>
              <w:bottom w:val="single" w:sz="8" w:color="32406B"/>
            </w:tcBorders>
          </w:tcPr>
          <w:p>
            <w:pPr>
              <w:spacing w:after="0"/>
              <w:rPr>
                <w:sz w:val="10"/>
                <w:szCs w:val="10"/>
                <w:color w:val="auto"/>
              </w:rPr>
            </w:pPr>
          </w:p>
        </w:tc>
        <w:tc>
          <w:tcPr>
            <w:tcW w:w="22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32406B"/>
              </w:rPr>
              <w:t>*</w:t>
            </w:r>
          </w:p>
        </w:tc>
        <w:tc>
          <w:tcPr>
            <w:tcW w:w="3160" w:type="dxa"/>
            <w:vAlign w:val="bottom"/>
            <w:gridSpan w:val="2"/>
          </w:tcPr>
          <w:p>
            <w:pPr>
              <w:ind w:left="160"/>
              <w:spacing w:after="0"/>
              <w:rPr>
                <w:sz w:val="20"/>
                <w:szCs w:val="20"/>
                <w:color w:val="auto"/>
              </w:rPr>
            </w:pPr>
            <w:r>
              <w:rPr>
                <w:rFonts w:ascii="Arial" w:cs="Arial" w:eastAsia="Arial" w:hAnsi="Arial"/>
                <w:sz w:val="18"/>
                <w:szCs w:val="18"/>
                <w:color w:val="32406B"/>
              </w:rPr>
              <w:t>Less than 10%</w:t>
            </w:r>
          </w:p>
        </w:tc>
        <w:tc>
          <w:tcPr>
            <w:tcW w:w="4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64"/>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560" w:type="dxa"/>
            <w:vAlign w:val="bottom"/>
            <w:gridSpan w:val="3"/>
          </w:tcPr>
          <w:p>
            <w:pPr>
              <w:jc w:val="right"/>
              <w:ind w:right="4300"/>
              <w:spacing w:after="0"/>
              <w:rPr>
                <w:sz w:val="20"/>
                <w:szCs w:val="20"/>
                <w:color w:val="auto"/>
              </w:rPr>
            </w:pPr>
            <w:r>
              <w:rPr>
                <w:rFonts w:ascii="Arial" w:cs="Arial" w:eastAsia="Arial" w:hAnsi="Arial"/>
                <w:sz w:val="18"/>
                <w:szCs w:val="18"/>
                <w:color w:val="32406B"/>
              </w:rPr>
              <w:t>F-28</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 Concentration of Customers and Suppliers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32406B"/>
        </w:rPr>
        <w:t>There are no customers from whom revenues individually represent greater than 10% of the total revenues of the Group in any of the periods presented.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Suppliers contributed more than 10% of total purchases are as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19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32406B"/>
                <w:w w:val="90"/>
              </w:rPr>
              <w:t>Year ended December 31</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84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32406B"/>
              </w:rPr>
              <w:t>2019</w:t>
            </w:r>
          </w:p>
        </w:tc>
        <w:tc>
          <w:tcPr>
            <w:tcW w:w="1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32406B"/>
                <w:w w:val="89"/>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32406B"/>
              </w:rPr>
              <w:t>Supplier A</w:t>
            </w:r>
          </w:p>
        </w:tc>
        <w:tc>
          <w:tcPr>
            <w:tcW w:w="18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32406B"/>
              </w:rPr>
              <w:t>32%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11%</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32406B"/>
              </w:rPr>
              <w:t>Supplier B</w:t>
            </w:r>
          </w:p>
        </w:tc>
        <w:tc>
          <w:tcPr>
            <w:tcW w:w="1840" w:type="dxa"/>
            <w:vAlign w:val="bottom"/>
            <w:gridSpan w:val="2"/>
          </w:tcPr>
          <w:p>
            <w:pPr>
              <w:jc w:val="right"/>
              <w:ind w:right="122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color w:val="32406B"/>
        </w:rPr>
      </w:pPr>
      <w:r>
        <w:rPr>
          <w:rFonts w:ascii="Arial" w:cs="Arial" w:eastAsia="Arial" w:hAnsi="Arial"/>
          <w:sz w:val="18"/>
          <w:szCs w:val="18"/>
          <w:color w:val="32406B"/>
        </w:rPr>
        <w:t>Less than 10%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4. Short-term Investment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32406B"/>
                <w:w w:val="91"/>
              </w:rPr>
              <w:t>As of</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1"/>
              </w:rPr>
              <w:t>As of</w:t>
            </w:r>
          </w:p>
        </w:tc>
      </w:tr>
      <w:tr>
        <w:trPr>
          <w:trHeight w:val="148"/>
        </w:trPr>
        <w:tc>
          <w:tcPr>
            <w:tcW w:w="12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2"/>
              </w:rPr>
              <w:t>December 31,</w:t>
            </w:r>
          </w:p>
        </w:tc>
      </w:tr>
      <w:tr>
        <w:trPr>
          <w:trHeight w:val="171"/>
        </w:trPr>
        <w:tc>
          <w:tcPr>
            <w:tcW w:w="1220" w:type="dxa"/>
            <w:vAlign w:val="bottom"/>
            <w:tcBorders>
              <w:bottom w:val="single" w:sz="8" w:color="CCEEFF"/>
            </w:tcBorders>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2019</w:t>
            </w: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Wealth management products</w:t>
            </w:r>
            <w:r>
              <w:rPr>
                <w:rFonts w:ascii="Arial" w:cs="Arial" w:eastAsia="Arial" w:hAnsi="Arial"/>
                <w:sz w:val="15"/>
                <w:szCs w:val="15"/>
                <w:color w:val="32406B"/>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16,663</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32406B"/>
              </w:rPr>
              <w:t>Time deposits</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20,976</w:t>
            </w:r>
          </w:p>
        </w:tc>
      </w:tr>
      <w:tr>
        <w:trPr>
          <w:trHeight w:val="27"/>
        </w:trPr>
        <w:tc>
          <w:tcPr>
            <w:tcW w:w="12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22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16,663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20,976</w:t>
            </w:r>
          </w:p>
        </w:tc>
      </w:tr>
      <w:tr>
        <w:trPr>
          <w:trHeight w:val="20"/>
        </w:trPr>
        <w:tc>
          <w:tcPr>
            <w:tcW w:w="12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32406B"/>
            </w:tcBorders>
          </w:tcPr>
          <w:p>
            <w:pPr>
              <w:spacing w:after="0"/>
              <w:rPr>
                <w:sz w:val="11"/>
                <w:szCs w:val="11"/>
                <w:color w:val="auto"/>
              </w:rPr>
            </w:pPr>
          </w:p>
        </w:tc>
        <w:tc>
          <w:tcPr>
            <w:tcW w:w="7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120" w:hanging="424"/>
        <w:spacing w:after="0" w:line="259" w:lineRule="auto"/>
        <w:tabs>
          <w:tab w:leader="none" w:pos="540" w:val="left"/>
        </w:tabs>
        <w:numPr>
          <w:ilvl w:val="0"/>
          <w:numId w:val="141"/>
        </w:numPr>
        <w:rPr>
          <w:rFonts w:ascii="Arial" w:cs="Arial" w:eastAsia="Arial" w:hAnsi="Arial"/>
          <w:sz w:val="18"/>
          <w:szCs w:val="18"/>
          <w:color w:val="32406B"/>
        </w:rPr>
      </w:pPr>
      <w:r>
        <w:rPr>
          <w:rFonts w:ascii="Arial" w:cs="Arial" w:eastAsia="Arial" w:hAnsi="Arial"/>
          <w:sz w:val="18"/>
          <w:szCs w:val="18"/>
          <w:color w:val="32406B"/>
        </w:rPr>
        <w:t>As of December 31, 2019, the Group’s wealth management products mainly consisted of financial products issued by commercial banks in China with a variable interest rate indexed to the performance of underlying assets and a maturity date within one year when purchased or revolving terms. For the years ended December 31, 2019 and 2020, the weighted average return of the wealth management products was 3.2% and 2.9%,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5. Accounts Receivable, net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32406B"/>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1"/>
              </w:rPr>
              <w:t>As of</w:t>
            </w:r>
          </w:p>
        </w:tc>
      </w:tr>
      <w:tr>
        <w:trPr>
          <w:trHeight w:val="149"/>
        </w:trPr>
        <w:tc>
          <w:tcPr>
            <w:tcW w:w="852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2"/>
              </w:rPr>
              <w:t>December 31,</w:t>
            </w:r>
          </w:p>
        </w:tc>
      </w:tr>
      <w:tr>
        <w:trPr>
          <w:trHeight w:val="171"/>
        </w:trPr>
        <w:tc>
          <w:tcPr>
            <w:tcW w:w="85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6"/>
              </w:rPr>
              <w:t>2019</w:t>
            </w:r>
          </w:p>
        </w:tc>
        <w:tc>
          <w:tcPr>
            <w:tcW w:w="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32406B"/>
              </w:rPr>
              <w:t>Accounts receivable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5,731</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12,904</w:t>
            </w: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32406B"/>
              </w:rPr>
              <w:t>Less: allowance for doubtful accounts</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32406B"/>
              </w:rPr>
              <w:t>(380)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32406B"/>
              </w:rPr>
              <w:t>(588)</w:t>
            </w:r>
          </w:p>
        </w:tc>
      </w:tr>
      <w:tr>
        <w:trPr>
          <w:trHeight w:val="27"/>
        </w:trPr>
        <w:tc>
          <w:tcPr>
            <w:tcW w:w="8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32406B"/>
              </w:rPr>
              <w:t>Accounts receivable, net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5,351</w:t>
            </w: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12,316</w:t>
            </w:r>
          </w:p>
        </w:tc>
      </w:tr>
      <w:tr>
        <w:trPr>
          <w:trHeight w:val="20"/>
        </w:trPr>
        <w:tc>
          <w:tcPr>
            <w:tcW w:w="8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Group recorded the allowance of US$366 and US$278 for the years ended December 31, 2019 and 2020,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6. Inventories,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Inventories consist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32406B"/>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1"/>
              </w:rPr>
              <w:t>As of</w:t>
            </w:r>
          </w:p>
        </w:tc>
      </w:tr>
      <w:tr>
        <w:trPr>
          <w:trHeight w:val="148"/>
        </w:trPr>
        <w:tc>
          <w:tcPr>
            <w:tcW w:w="41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2"/>
              </w:rPr>
              <w:t>December 31,</w:t>
            </w:r>
          </w:p>
        </w:tc>
      </w:tr>
      <w:tr>
        <w:trPr>
          <w:trHeight w:val="171"/>
        </w:trPr>
        <w:tc>
          <w:tcPr>
            <w:tcW w:w="4100" w:type="dxa"/>
            <w:vAlign w:val="bottom"/>
          </w:tcPr>
          <w:p>
            <w:pPr>
              <w:spacing w:after="0"/>
              <w:rPr>
                <w:sz w:val="14"/>
                <w:szCs w:val="14"/>
                <w:color w:val="auto"/>
              </w:rPr>
            </w:pPr>
          </w:p>
        </w:tc>
        <w:tc>
          <w:tcPr>
            <w:tcW w:w="5340" w:type="dxa"/>
            <w:vAlign w:val="bottom"/>
            <w:gridSpan w:val="2"/>
          </w:tcPr>
          <w:p>
            <w:pPr>
              <w:jc w:val="center"/>
              <w:ind w:left="4433"/>
              <w:spacing w:after="0"/>
              <w:rPr>
                <w:sz w:val="20"/>
                <w:szCs w:val="20"/>
                <w:color w:val="auto"/>
              </w:rPr>
            </w:pPr>
            <w:r>
              <w:rPr>
                <w:rFonts w:ascii="Arial" w:cs="Arial" w:eastAsia="Arial" w:hAnsi="Arial"/>
                <w:sz w:val="14"/>
                <w:szCs w:val="14"/>
                <w:b w:val="1"/>
                <w:bCs w:val="1"/>
                <w:color w:val="32406B"/>
                <w:w w:val="96"/>
              </w:rPr>
              <w:t>2019</w:t>
            </w:r>
          </w:p>
        </w:tc>
        <w:tc>
          <w:tcPr>
            <w:tcW w:w="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32406B"/>
                <w:w w:val="89"/>
              </w:rPr>
              <w:t>2020</w:t>
            </w:r>
          </w:p>
        </w:tc>
        <w:tc>
          <w:tcPr>
            <w:tcW w:w="120" w:type="dxa"/>
            <w:vAlign w:val="bottom"/>
          </w:tcPr>
          <w:p>
            <w:pPr>
              <w:spacing w:after="0"/>
              <w:rPr>
                <w:sz w:val="14"/>
                <w:szCs w:val="14"/>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Raw materials</w:t>
            </w:r>
          </w:p>
        </w:tc>
        <w:tc>
          <w:tcPr>
            <w:tcW w:w="45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14,686</w:t>
            </w:r>
          </w:p>
        </w:tc>
        <w:tc>
          <w:tcPr>
            <w:tcW w:w="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29,472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32406B"/>
              </w:rPr>
              <w:t>Work in process</w:t>
            </w:r>
          </w:p>
        </w:tc>
        <w:tc>
          <w:tcPr>
            <w:tcW w:w="5960" w:type="dxa"/>
            <w:vAlign w:val="bottom"/>
            <w:gridSpan w:val="3"/>
          </w:tcPr>
          <w:p>
            <w:pPr>
              <w:jc w:val="right"/>
              <w:ind w:right="620"/>
              <w:spacing w:after="0"/>
              <w:rPr>
                <w:sz w:val="20"/>
                <w:szCs w:val="20"/>
                <w:color w:val="auto"/>
              </w:rPr>
            </w:pPr>
            <w:r>
              <w:rPr>
                <w:rFonts w:ascii="Arial" w:cs="Arial" w:eastAsia="Arial" w:hAnsi="Arial"/>
                <w:sz w:val="18"/>
                <w:szCs w:val="18"/>
                <w:color w:val="32406B"/>
              </w:rPr>
              <w:t>2,795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3,513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32406B"/>
              </w:rPr>
              <w:t>Finished goods</w:t>
            </w:r>
          </w:p>
        </w:tc>
        <w:tc>
          <w:tcPr>
            <w:tcW w:w="5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32406B"/>
              </w:rPr>
              <w:t>5,805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10,043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32406B"/>
              </w:rPr>
              <w:t>Low value consumables and spare parts</w:t>
            </w:r>
          </w:p>
        </w:tc>
        <w:tc>
          <w:tcPr>
            <w:tcW w:w="5960" w:type="dxa"/>
            <w:vAlign w:val="bottom"/>
            <w:gridSpan w:val="3"/>
          </w:tcPr>
          <w:p>
            <w:pPr>
              <w:jc w:val="right"/>
              <w:ind w:right="620"/>
              <w:spacing w:after="0"/>
              <w:rPr>
                <w:sz w:val="20"/>
                <w:szCs w:val="20"/>
                <w:color w:val="auto"/>
              </w:rPr>
            </w:pPr>
            <w:r>
              <w:rPr>
                <w:rFonts w:ascii="Arial" w:cs="Arial" w:eastAsia="Arial" w:hAnsi="Arial"/>
                <w:sz w:val="18"/>
                <w:szCs w:val="18"/>
                <w:color w:val="32406B"/>
              </w:rPr>
              <w:t>21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117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32406B"/>
              </w:rPr>
              <w:t>Less: inventory write-downs</w:t>
            </w:r>
          </w:p>
        </w:tc>
        <w:tc>
          <w:tcPr>
            <w:tcW w:w="59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32406B"/>
              </w:rPr>
              <w:t>(288)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(878)</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32406B"/>
              </w:rPr>
              <w:t>Inventories, net</w:t>
            </w:r>
          </w:p>
        </w:tc>
        <w:tc>
          <w:tcPr>
            <w:tcW w:w="45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23,019</w:t>
            </w: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42,267</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100" w:type="dxa"/>
            <w:vAlign w:val="bottom"/>
          </w:tcPr>
          <w:p>
            <w:pPr>
              <w:spacing w:after="0"/>
              <w:rPr>
                <w:sz w:val="24"/>
                <w:szCs w:val="24"/>
                <w:color w:val="auto"/>
              </w:rPr>
            </w:pPr>
          </w:p>
        </w:tc>
        <w:tc>
          <w:tcPr>
            <w:tcW w:w="5960" w:type="dxa"/>
            <w:vAlign w:val="bottom"/>
            <w:gridSpan w:val="3"/>
          </w:tcPr>
          <w:p>
            <w:pPr>
              <w:jc w:val="right"/>
              <w:ind w:right="4380"/>
              <w:spacing w:after="0"/>
              <w:rPr>
                <w:sz w:val="20"/>
                <w:szCs w:val="20"/>
                <w:color w:val="auto"/>
              </w:rPr>
            </w:pPr>
            <w:r>
              <w:rPr>
                <w:rFonts w:ascii="Arial" w:cs="Arial" w:eastAsia="Arial" w:hAnsi="Arial"/>
                <w:sz w:val="18"/>
                <w:szCs w:val="18"/>
                <w:color w:val="32406B"/>
              </w:rPr>
              <w:t>F-29</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Group recorded write-downs of US$291 and US$539 for the years ended December 31, 2019 and 2020,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7. Prepayments and Other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current and non-current portions of prepayments and other assets consist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32406B"/>
                <w:w w:val="91"/>
              </w:rPr>
              <w:t>As of</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1"/>
              </w:rPr>
              <w:t>As of</w:t>
            </w:r>
          </w:p>
        </w:tc>
      </w:tr>
      <w:tr>
        <w:trPr>
          <w:trHeight w:val="149"/>
        </w:trPr>
        <w:tc>
          <w:tcPr>
            <w:tcW w:w="12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5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2"/>
              </w:rPr>
              <w:t>December 31,</w:t>
            </w:r>
          </w:p>
        </w:tc>
      </w:tr>
      <w:tr>
        <w:trPr>
          <w:trHeight w:val="171"/>
        </w:trPr>
        <w:tc>
          <w:tcPr>
            <w:tcW w:w="1220" w:type="dxa"/>
            <w:vAlign w:val="bottom"/>
            <w:tcBorders>
              <w:bottom w:val="single" w:sz="8" w:color="CCEEFF"/>
            </w:tcBorders>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2019</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2020</w:t>
            </w:r>
          </w:p>
        </w:tc>
        <w:tc>
          <w:tcPr>
            <w:tcW w:w="60" w:type="dxa"/>
            <w:vAlign w:val="bottom"/>
            <w:tcBorders>
              <w:bottom w:val="single" w:sz="8" w:color="CCEEFF"/>
            </w:tcBorders>
          </w:tcPr>
          <w:p>
            <w:pPr>
              <w:spacing w:after="0"/>
              <w:rPr>
                <w:sz w:val="14"/>
                <w:szCs w:val="14"/>
                <w:color w:val="auto"/>
              </w:rPr>
            </w:pPr>
          </w:p>
        </w:tc>
      </w:tr>
      <w:tr>
        <w:trPr>
          <w:trHeight w:val="196"/>
        </w:trPr>
        <w:tc>
          <w:tcPr>
            <w:tcW w:w="8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32406B"/>
              </w:rPr>
              <w:t>Prepayments and other current assets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32406B"/>
              </w:rPr>
              <w:t>Advance to suppliers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32406B"/>
              </w:rPr>
              <w:t>6,505</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3,882</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Receivables from third party payment platforms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525</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256</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32406B"/>
              </w:rPr>
              <w:t>Deposits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32406B"/>
              </w:rPr>
              <w:t>146</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136</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VAT recoverable</w:t>
            </w:r>
            <w:r>
              <w:rPr>
                <w:rFonts w:ascii="Arial" w:cs="Arial" w:eastAsia="Arial" w:hAnsi="Arial"/>
                <w:sz w:val="15"/>
                <w:szCs w:val="15"/>
                <w:color w:val="32406B"/>
              </w:rPr>
              <w:t>(1)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699</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92</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32406B"/>
              </w:rPr>
              <w:t>Interest receivable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32406B"/>
              </w:rPr>
              <w:t>120</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Others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13</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27</w:t>
            </w:r>
          </w:p>
        </w:tc>
      </w:tr>
      <w:tr>
        <w:trPr>
          <w:trHeight w:val="223"/>
        </w:trPr>
        <w:tc>
          <w:tcPr>
            <w:tcW w:w="12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8,008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4,393</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Non-current assets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32406B"/>
              </w:rPr>
              <w:t>Deposits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32406B"/>
              </w:rPr>
              <w:t>769</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1,547</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Deferred initial public offering related costs</w:t>
            </w:r>
          </w:p>
        </w:tc>
        <w:tc>
          <w:tcPr>
            <w:tcW w:w="15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182</w:t>
            </w:r>
          </w:p>
        </w:tc>
      </w:tr>
      <w:tr>
        <w:trPr>
          <w:trHeight w:val="223"/>
        </w:trPr>
        <w:tc>
          <w:tcPr>
            <w:tcW w:w="12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769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1,729</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32406B"/>
            </w:tcBorders>
          </w:tcPr>
          <w:p>
            <w:pPr>
              <w:spacing w:after="0"/>
              <w:rPr>
                <w:sz w:val="11"/>
                <w:szCs w:val="11"/>
                <w:color w:val="auto"/>
              </w:rPr>
            </w:pPr>
          </w:p>
        </w:tc>
        <w:tc>
          <w:tcPr>
            <w:tcW w:w="7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color w:val="32406B"/>
        </w:rPr>
      </w:pPr>
      <w:r>
        <w:rPr>
          <w:rFonts w:ascii="Arial" w:cs="Arial" w:eastAsia="Arial" w:hAnsi="Arial"/>
          <w:sz w:val="18"/>
          <w:szCs w:val="18"/>
          <w:color w:val="32406B"/>
        </w:rPr>
        <w:t>VAT recoverable represented the balances that the Group can utilize to deduct its VAT liabilities within the next 12 months.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8. Property, Equipment and Software,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Property, equipment and software consist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32406B"/>
                <w:w w:val="91"/>
              </w:rPr>
              <w:t>As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1"/>
              </w:rPr>
              <w:t>As of</w:t>
            </w:r>
          </w:p>
        </w:tc>
      </w:tr>
      <w:tr>
        <w:trPr>
          <w:trHeight w:val="148"/>
        </w:trPr>
        <w:tc>
          <w:tcPr>
            <w:tcW w:w="860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2"/>
              </w:rPr>
              <w:t>December 31,</w:t>
            </w:r>
          </w:p>
        </w:tc>
      </w:tr>
      <w:tr>
        <w:trPr>
          <w:trHeight w:val="171"/>
        </w:trPr>
        <w:tc>
          <w:tcPr>
            <w:tcW w:w="8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6"/>
              </w:rPr>
              <w:t>2019</w:t>
            </w:r>
          </w:p>
        </w:tc>
        <w:tc>
          <w:tcPr>
            <w:tcW w:w="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Cost:</w:t>
            </w: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32406B"/>
              </w:rPr>
              <w:t>Leasehold improvements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32406B"/>
              </w:rPr>
              <w:t>851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1,633</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Computers and electronic equipment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32406B"/>
              </w:rPr>
              <w:t>2,500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4,918</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32406B"/>
              </w:rPr>
              <w:t>Office equipment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32406B"/>
              </w:rPr>
              <w:t>241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299</w:t>
            </w: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Software</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32406B"/>
              </w:rPr>
              <w:t>67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362</w:t>
            </w: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32406B"/>
              </w:rPr>
              <w:t>Construction in progress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32406B"/>
              </w:rPr>
              <w:t>256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66</w:t>
            </w:r>
          </w:p>
        </w:tc>
      </w:tr>
      <w:tr>
        <w:trPr>
          <w:trHeight w:val="27"/>
        </w:trPr>
        <w:tc>
          <w:tcPr>
            <w:tcW w:w="8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32406B"/>
              </w:rPr>
              <w:t>Total cost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32406B"/>
              </w:rPr>
              <w:t>3,915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7,278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32406B"/>
              </w:rPr>
              <w:t>Less: Accumulated depreciation and amortization</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32406B"/>
              </w:rPr>
              <w:t>(1,075)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32406B"/>
              </w:rPr>
              <w:t>(2,904)</w:t>
            </w:r>
          </w:p>
        </w:tc>
      </w:tr>
      <w:tr>
        <w:trPr>
          <w:trHeight w:val="27"/>
        </w:trPr>
        <w:tc>
          <w:tcPr>
            <w:tcW w:w="8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32406B"/>
              </w:rPr>
              <w:t>Property, equipment and software, net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32406B"/>
              </w:rPr>
              <w:t>2,840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4,374</w:t>
            </w:r>
          </w:p>
        </w:tc>
      </w:tr>
      <w:tr>
        <w:trPr>
          <w:trHeight w:val="20"/>
        </w:trPr>
        <w:tc>
          <w:tcPr>
            <w:tcW w:w="8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Depreciation expense was US$758 and US$1,662 for the years ended December 31, 2019 and 2020, respectively.</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of December 31, 2019 and 2020, the balances of construction in progress were US$256 and US$66, respectively, which were primarily relating to the leasehold improvements of office buildings.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9. Operating Leases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32406B"/>
        </w:rPr>
        <w:t>The Company has operating leases primarily for office and operation space. The Company’s operating lease arrangements have remaining terms of one year to five years with no variable lease costs.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F-30</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Operating lease costs were US$3,760 and US$4,710 for the years ended December 31, 2019 and 2020,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components of lease expenses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32406B"/>
                <w:w w:val="91"/>
              </w:rPr>
              <w:t>Year ended December 31,</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32406B"/>
              </w:rPr>
              <w:t>2019</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Lease cost:</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32406B"/>
              </w:rPr>
              <w:t>Amortization of right-of-use assets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32406B"/>
              </w:rPr>
              <w:t>2,640</w:t>
            </w: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32406B"/>
              </w:rPr>
              <w:t>4,022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Interest of lease liabilities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32406B"/>
              </w:rPr>
              <w:t>262</w:t>
            </w: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396</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32406B"/>
              </w:rPr>
              <w:t>Expenses for short-term lease within 12 months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858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32406B"/>
              </w:rPr>
              <w:t>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Total lease cost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32406B"/>
              </w:rPr>
              <w:t>3,760</w:t>
            </w: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4,710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32406B"/>
              </w:rPr>
              <w:t>Supplemental cash flow information related to leases were as follows:</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32406B"/>
                <w:w w:val="91"/>
              </w:rPr>
              <w:t>Year ended December 31,</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32406B"/>
              </w:rPr>
              <w:t>2019</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Cash paid for amounts included in the measurement of lease liabilities:</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32406B"/>
                <w:w w:val="84"/>
              </w:rPr>
              <w:t>2,570</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32406B"/>
              </w:rPr>
              <w:t>4,976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32406B"/>
              </w:rPr>
              <w:t>Right-of-use assets obtained in exchange for operating lease liabilities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32406B"/>
              </w:rPr>
              <w:t>9,978</w:t>
            </w: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32406B"/>
              </w:rPr>
              <w:t>7,047</w:t>
            </w:r>
          </w:p>
        </w:tc>
        <w:tc>
          <w:tcPr>
            <w:tcW w:w="0" w:type="dxa"/>
            <w:vAlign w:val="bottom"/>
          </w:tcPr>
          <w:p>
            <w:pPr>
              <w:spacing w:after="0"/>
              <w:rPr>
                <w:sz w:val="1"/>
                <w:szCs w:val="1"/>
                <w:color w:val="auto"/>
              </w:rPr>
            </w:pPr>
          </w:p>
        </w:tc>
      </w:tr>
      <w:tr>
        <w:trPr>
          <w:trHeight w:val="418"/>
        </w:trPr>
        <w:tc>
          <w:tcPr>
            <w:tcW w:w="7360" w:type="dxa"/>
            <w:vAlign w:val="bottom"/>
          </w:tcPr>
          <w:p>
            <w:pPr>
              <w:ind w:left="440"/>
              <w:spacing w:after="0"/>
              <w:rPr>
                <w:sz w:val="20"/>
                <w:szCs w:val="20"/>
                <w:color w:val="auto"/>
              </w:rPr>
            </w:pPr>
            <w:r>
              <w:rPr>
                <w:rFonts w:ascii="Arial" w:cs="Arial" w:eastAsia="Arial" w:hAnsi="Arial"/>
                <w:sz w:val="18"/>
                <w:szCs w:val="18"/>
                <w:color w:val="32406B"/>
                <w:w w:val="98"/>
              </w:rPr>
              <w:t>Supplemental consolidated balance sheet information related to leases were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140"/>
              <w:spacing w:after="0"/>
              <w:rPr>
                <w:sz w:val="20"/>
                <w:szCs w:val="20"/>
                <w:color w:val="auto"/>
              </w:rPr>
            </w:pPr>
            <w:r>
              <w:rPr>
                <w:rFonts w:ascii="Arial" w:cs="Arial" w:eastAsia="Arial" w:hAnsi="Arial"/>
                <w:sz w:val="14"/>
                <w:szCs w:val="14"/>
                <w:b w:val="1"/>
                <w:bCs w:val="1"/>
                <w:color w:val="32406B"/>
              </w:rPr>
              <w:t>As of December 31,</w:t>
            </w:r>
          </w:p>
        </w:tc>
        <w:tc>
          <w:tcPr>
            <w:tcW w:w="18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32406B"/>
                <w:w w:val="92"/>
              </w:rPr>
              <w:t>As of December 31,</w:t>
            </w: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32406B"/>
              </w:rPr>
              <w:t>2019</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32406B"/>
                <w:w w:val="89"/>
              </w:rPr>
              <w:t>2020</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Right-of-use assets</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8,658</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12,267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32406B"/>
              </w:rPr>
              <w:t>Operating lease liabilities—current</w:t>
            </w:r>
          </w:p>
        </w:tc>
        <w:tc>
          <w:tcPr>
            <w:tcW w:w="1860" w:type="dxa"/>
            <w:vAlign w:val="bottom"/>
            <w:gridSpan w:val="4"/>
          </w:tcPr>
          <w:p>
            <w:pPr>
              <w:jc w:val="right"/>
              <w:ind w:right="160"/>
              <w:spacing w:after="0"/>
              <w:rPr>
                <w:sz w:val="20"/>
                <w:szCs w:val="20"/>
                <w:color w:val="auto"/>
              </w:rPr>
            </w:pPr>
            <w:r>
              <w:rPr>
                <w:rFonts w:ascii="Arial" w:cs="Arial" w:eastAsia="Arial" w:hAnsi="Arial"/>
                <w:sz w:val="18"/>
                <w:szCs w:val="18"/>
                <w:color w:val="32406B"/>
              </w:rPr>
              <w:t>3,763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32406B"/>
              </w:rPr>
              <w:t>6,326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Operating lease liabilities—non-current</w:t>
            </w:r>
          </w:p>
        </w:tc>
        <w:tc>
          <w:tcPr>
            <w:tcW w:w="1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32406B"/>
              </w:rPr>
              <w:t>5,210</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5,688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32406B"/>
              </w:rPr>
              <w:t>Total lease liabilities</w:t>
            </w: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rPr>
              <w:t>8,973</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rPr>
              <w:t>12,014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Weighted-average remaining lease term</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32406B"/>
              </w:rPr>
              <w:t>Operating leases</w:t>
            </w:r>
          </w:p>
        </w:tc>
        <w:tc>
          <w:tcPr>
            <w:tcW w:w="120" w:type="dxa"/>
            <w:vAlign w:val="bottom"/>
          </w:tcPr>
          <w:p>
            <w:pPr>
              <w:spacing w:after="0"/>
              <w:rPr>
                <w:sz w:val="18"/>
                <w:szCs w:val="18"/>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8"/>
                <w:szCs w:val="18"/>
                <w:color w:val="32406B"/>
              </w:rPr>
              <w:t>2.62 year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32406B"/>
              </w:rPr>
              <w:t>2.26 year</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Weighted-average discount rate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32406B"/>
              </w:rPr>
              <w:t>Operating lease</w:t>
            </w:r>
          </w:p>
        </w:tc>
        <w:tc>
          <w:tcPr>
            <w:tcW w:w="120" w:type="dxa"/>
            <w:vAlign w:val="bottom"/>
          </w:tcPr>
          <w:p>
            <w:pPr>
              <w:spacing w:after="0"/>
              <w:rPr>
                <w:sz w:val="20"/>
                <w:szCs w:val="20"/>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8"/>
                <w:szCs w:val="18"/>
                <w:color w:val="32406B"/>
              </w:rPr>
              <w:t>4.75% per annum</w:t>
            </w:r>
          </w:p>
        </w:tc>
        <w:tc>
          <w:tcPr>
            <w:tcW w:w="1800" w:type="dxa"/>
            <w:vAlign w:val="bottom"/>
            <w:gridSpan w:val="7"/>
          </w:tcPr>
          <w:p>
            <w:pPr>
              <w:jc w:val="center"/>
              <w:ind w:left="278"/>
              <w:spacing w:after="0"/>
              <w:rPr>
                <w:sz w:val="20"/>
                <w:szCs w:val="20"/>
                <w:color w:val="auto"/>
              </w:rPr>
            </w:pPr>
            <w:r>
              <w:rPr>
                <w:rFonts w:ascii="Arial" w:cs="Arial" w:eastAsia="Arial" w:hAnsi="Arial"/>
                <w:sz w:val="18"/>
                <w:szCs w:val="18"/>
                <w:color w:val="32406B"/>
                <w:w w:val="90"/>
              </w:rPr>
              <w:t>4.75% per annum</w:t>
            </w:r>
          </w:p>
        </w:tc>
        <w:tc>
          <w:tcPr>
            <w:tcW w:w="0" w:type="dxa"/>
            <w:vAlign w:val="bottom"/>
          </w:tcPr>
          <w:p>
            <w:pPr>
              <w:spacing w:after="0"/>
              <w:rPr>
                <w:sz w:val="1"/>
                <w:szCs w:val="1"/>
                <w:color w:val="auto"/>
              </w:rPr>
            </w:pPr>
          </w:p>
        </w:tc>
      </w:tr>
      <w:tr>
        <w:trPr>
          <w:trHeight w:val="418"/>
        </w:trPr>
        <w:tc>
          <w:tcPr>
            <w:tcW w:w="7360" w:type="dxa"/>
            <w:vAlign w:val="bottom"/>
          </w:tcPr>
          <w:p>
            <w:pPr>
              <w:ind w:left="440"/>
              <w:spacing w:after="0"/>
              <w:rPr>
                <w:sz w:val="20"/>
                <w:szCs w:val="20"/>
                <w:color w:val="auto"/>
              </w:rPr>
            </w:pPr>
            <w:r>
              <w:rPr>
                <w:rFonts w:ascii="Arial" w:cs="Arial" w:eastAsia="Arial" w:hAnsi="Arial"/>
                <w:sz w:val="18"/>
                <w:szCs w:val="18"/>
                <w:color w:val="32406B"/>
              </w:rPr>
              <w:t>Maturities of lease liabilities were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60" w:type="dxa"/>
            <w:vAlign w:val="bottom"/>
          </w:tcPr>
          <w:p>
            <w:pPr>
              <w:spacing w:after="0"/>
              <w:rPr>
                <w:sz w:val="24"/>
                <w:szCs w:val="24"/>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32406B"/>
              </w:rPr>
              <w:t>As of December 31,</w:t>
            </w:r>
          </w:p>
        </w:tc>
        <w:tc>
          <w:tcPr>
            <w:tcW w:w="520" w:type="dxa"/>
            <w:vAlign w:val="bottom"/>
          </w:tcPr>
          <w:p>
            <w:pPr>
              <w:spacing w:after="0"/>
              <w:rPr>
                <w:sz w:val="24"/>
                <w:szCs w:val="24"/>
                <w:color w:val="auto"/>
              </w:rPr>
            </w:pPr>
          </w:p>
        </w:tc>
        <w:tc>
          <w:tcPr>
            <w:tcW w:w="1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32406B"/>
                <w:w w:val="89"/>
              </w:rPr>
              <w:t>As of December 31,</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3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32406B"/>
              </w:rPr>
              <w:t>2019</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32406B"/>
                <w:w w:val="96"/>
              </w:rPr>
              <w:t>2020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2020</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4,242</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tcBorders>
              <w:top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32406B"/>
              </w:rPr>
              <w:t>2021</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32406B"/>
              </w:rPr>
              <w:t>3,898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32406B"/>
              </w:rPr>
              <w:t>6,784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2022</w:t>
            </w: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32406B"/>
              </w:rPr>
              <w:t>1,360</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3,807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32406B"/>
              </w:rPr>
              <w:t>2023</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32406B"/>
              </w:rPr>
              <w:t>351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32406B"/>
              </w:rPr>
              <w:t>2,028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2024</w:t>
            </w: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32406B"/>
              </w:rPr>
              <w:t>47</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32406B"/>
              </w:rPr>
              <w:t>2025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32406B"/>
              </w:rPr>
              <w:t>18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32406B"/>
              </w:rPr>
              <w:t>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Total undiscounted lease payments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9,916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12,684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32406B"/>
              </w:rPr>
              <w:t>Less: imputed interest</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32406B"/>
              </w:rPr>
              <w:t>(943)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32406B"/>
              </w:rPr>
              <w:t>(670)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Total lease liabilities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8,973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12,014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5340"/>
              <w:spacing w:after="0"/>
              <w:rPr>
                <w:sz w:val="20"/>
                <w:szCs w:val="20"/>
                <w:color w:val="auto"/>
              </w:rPr>
            </w:pPr>
            <w:r>
              <w:rPr>
                <w:rFonts w:ascii="Arial" w:cs="Arial" w:eastAsia="Arial" w:hAnsi="Arial"/>
                <w:sz w:val="18"/>
                <w:szCs w:val="18"/>
                <w:color w:val="32406B"/>
              </w:rPr>
              <w:t>F-31</w:t>
            </w: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10. Accruals and Other Current Liabilities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32406B"/>
              </w:rPr>
              <w:t>As of December 31,</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32406B"/>
                <w:w w:val="93"/>
              </w:rPr>
              <w:t>As of December 31,</w:t>
            </w:r>
          </w:p>
        </w:tc>
      </w:tr>
      <w:tr>
        <w:trPr>
          <w:trHeight w:val="171"/>
        </w:trPr>
        <w:tc>
          <w:tcPr>
            <w:tcW w:w="1220" w:type="dxa"/>
            <w:vAlign w:val="bottom"/>
            <w:tcBorders>
              <w:bottom w:val="single" w:sz="8" w:color="CCEEFF"/>
            </w:tcBorders>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32406B"/>
              </w:rPr>
              <w:t>2019</w:t>
            </w:r>
          </w:p>
        </w:tc>
        <w:tc>
          <w:tcPr>
            <w:tcW w:w="9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Salary and welfare payable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11,933</w:t>
            </w: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20,655</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32406B"/>
              </w:rPr>
              <w:t>Tax payables</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32406B"/>
              </w:rPr>
              <w:t>1,016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32406B"/>
              </w:rPr>
              <w:t>3,189</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Membership fee to be refunded</w:t>
            </w:r>
            <w:r>
              <w:rPr>
                <w:rFonts w:ascii="Arial" w:cs="Arial" w:eastAsia="Arial" w:hAnsi="Arial"/>
                <w:sz w:val="15"/>
                <w:szCs w:val="15"/>
                <w:color w:val="32406B"/>
              </w:rPr>
              <w:t>(1)</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32406B"/>
              </w:rPr>
              <w:t>1,204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2,537</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32406B"/>
              </w:rPr>
              <w:t>Advertising and promotion fee payables</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32406B"/>
              </w:rPr>
              <w:t>2,192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32406B"/>
              </w:rPr>
              <w:t>2,157</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Cloud infrastructure and IT related services fee payables</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32406B"/>
              </w:rPr>
              <w:t>1,790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1,705</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32406B"/>
              </w:rPr>
              <w:t>Professional service fee payables</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32406B"/>
              </w:rPr>
              <w:t>892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32406B"/>
              </w:rPr>
              <w:t>625</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Product warranty</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32406B"/>
              </w:rPr>
              <w:t>316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391</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32406B"/>
              </w:rPr>
              <w:t>Others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355</w:t>
            </w:r>
          </w:p>
        </w:tc>
        <w:tc>
          <w:tcPr>
            <w:tcW w:w="9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479</w:t>
            </w:r>
          </w:p>
        </w:tc>
        <w:tc>
          <w:tcPr>
            <w:tcW w:w="60" w:type="dxa"/>
            <w:vAlign w:val="bottom"/>
          </w:tcPr>
          <w:p>
            <w:pPr>
              <w:spacing w:after="0"/>
              <w:rPr>
                <w:sz w:val="19"/>
                <w:szCs w:val="19"/>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Total</w:t>
            </w:r>
          </w:p>
        </w:tc>
        <w:tc>
          <w:tcPr>
            <w:tcW w:w="2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32406B"/>
              </w:rPr>
              <w:t>19,698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31,738</w:t>
            </w:r>
          </w:p>
        </w:tc>
      </w:tr>
      <w:tr>
        <w:trPr>
          <w:trHeight w:val="20"/>
        </w:trPr>
        <w:tc>
          <w:tcPr>
            <w:tcW w:w="12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32406B"/>
            </w:tcBorders>
          </w:tcPr>
          <w:p>
            <w:pPr>
              <w:spacing w:after="0"/>
              <w:rPr>
                <w:sz w:val="11"/>
                <w:szCs w:val="11"/>
                <w:color w:val="auto"/>
              </w:rPr>
            </w:pPr>
          </w:p>
        </w:tc>
        <w:tc>
          <w:tcPr>
            <w:tcW w:w="6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360" w:hanging="424"/>
        <w:spacing w:after="0" w:line="277" w:lineRule="auto"/>
        <w:tabs>
          <w:tab w:leader="none" w:pos="540" w:val="left"/>
        </w:tabs>
        <w:numPr>
          <w:ilvl w:val="0"/>
          <w:numId w:val="143"/>
        </w:numPr>
        <w:rPr>
          <w:rFonts w:ascii="Arial" w:cs="Arial" w:eastAsia="Arial" w:hAnsi="Arial"/>
          <w:sz w:val="18"/>
          <w:szCs w:val="18"/>
          <w:color w:val="32406B"/>
        </w:rPr>
      </w:pPr>
      <w:r>
        <w:rPr>
          <w:rFonts w:ascii="Arial" w:cs="Arial" w:eastAsia="Arial" w:hAnsi="Arial"/>
          <w:sz w:val="18"/>
          <w:szCs w:val="18"/>
          <w:color w:val="32406B"/>
        </w:rPr>
        <w:t>Membership fee to be refunded presents the balances of refundable membership fee collected by the Group from its customers under the 2019 Membership Program (Note 2(r)).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11. Deferred Revenue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32406B"/>
              </w:rPr>
              <w:t>As of December 31,</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32406B"/>
                <w:w w:val="90"/>
              </w:rPr>
              <w:t>As of December 31,</w:t>
            </w:r>
          </w:p>
        </w:tc>
      </w:tr>
      <w:tr>
        <w:trPr>
          <w:trHeight w:val="171"/>
        </w:trPr>
        <w:tc>
          <w:tcPr>
            <w:tcW w:w="1220" w:type="dxa"/>
            <w:vAlign w:val="bottom"/>
            <w:tcBorders>
              <w:bottom w:val="single" w:sz="8" w:color="CCEEFF"/>
            </w:tcBorders>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32406B"/>
              </w:rPr>
              <w:t>2019</w:t>
            </w:r>
          </w:p>
        </w:tc>
        <w:tc>
          <w:tcPr>
            <w:tcW w:w="10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r>
      <w:tr>
        <w:trPr>
          <w:trHeight w:val="196"/>
        </w:trPr>
        <w:tc>
          <w:tcPr>
            <w:tcW w:w="7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32406B"/>
              </w:rPr>
              <w:t>Deferred Revenue</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32406B"/>
              </w:rPr>
              <w:t>—Cloud-based connectivity and basic IoT services</w:t>
            </w:r>
            <w:r>
              <w:rPr>
                <w:rFonts w:ascii="Arial" w:cs="Arial" w:eastAsia="Arial" w:hAnsi="Arial"/>
                <w:sz w:val="15"/>
                <w:szCs w:val="15"/>
                <w:color w:val="32406B"/>
              </w:rPr>
              <w:t>(1)</w:t>
            </w:r>
          </w:p>
        </w:tc>
        <w:tc>
          <w:tcPr>
            <w:tcW w:w="2240" w:type="dxa"/>
            <w:vAlign w:val="bottom"/>
            <w:gridSpan w:val="2"/>
          </w:tcPr>
          <w:p>
            <w:pPr>
              <w:jc w:val="right"/>
              <w:ind w:right="1040"/>
              <w:spacing w:after="0"/>
              <w:rPr>
                <w:sz w:val="20"/>
                <w:szCs w:val="20"/>
                <w:color w:val="auto"/>
              </w:rPr>
            </w:pPr>
            <w:r>
              <w:rPr>
                <w:rFonts w:ascii="Arial" w:cs="Arial" w:eastAsia="Arial" w:hAnsi="Arial"/>
                <w:sz w:val="18"/>
                <w:szCs w:val="18"/>
                <w:color w:val="32406B"/>
              </w:rPr>
              <w:t>777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32406B"/>
              </w:rPr>
              <w:t>2,058</w:t>
            </w: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—Membership</w:t>
            </w:r>
            <w:r>
              <w:rPr>
                <w:rFonts w:ascii="Arial" w:cs="Arial" w:eastAsia="Arial" w:hAnsi="Arial"/>
                <w:sz w:val="15"/>
                <w:szCs w:val="15"/>
                <w:color w:val="32406B"/>
              </w:rPr>
              <w:t>(2)</w:t>
            </w:r>
          </w:p>
        </w:tc>
        <w:tc>
          <w:tcPr>
            <w:tcW w:w="22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32406B"/>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1,077</w:t>
            </w:r>
          </w:p>
        </w:tc>
      </w:tr>
      <w:tr>
        <w:trPr>
          <w:trHeight w:val="223"/>
        </w:trPr>
        <w:tc>
          <w:tcPr>
            <w:tcW w:w="7520" w:type="dxa"/>
            <w:vAlign w:val="bottom"/>
            <w:gridSpan w:val="2"/>
          </w:tcPr>
          <w:p>
            <w:pPr>
              <w:ind w:left="360"/>
              <w:spacing w:after="0"/>
              <w:rPr>
                <w:sz w:val="20"/>
                <w:szCs w:val="20"/>
                <w:color w:val="auto"/>
              </w:rPr>
            </w:pPr>
            <w:r>
              <w:rPr>
                <w:rFonts w:ascii="Arial" w:cs="Arial" w:eastAsia="Arial" w:hAnsi="Arial"/>
                <w:sz w:val="18"/>
                <w:szCs w:val="18"/>
                <w:color w:val="32406B"/>
              </w:rPr>
              <w:t>—SaaS</w:t>
            </w:r>
            <w:r>
              <w:rPr>
                <w:rFonts w:ascii="Arial" w:cs="Arial" w:eastAsia="Arial" w:hAnsi="Arial"/>
                <w:sz w:val="15"/>
                <w:szCs w:val="15"/>
                <w:color w:val="32406B"/>
              </w:rPr>
              <w:t>(3)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0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1,040</w:t>
            </w:r>
          </w:p>
        </w:tc>
        <w:tc>
          <w:tcPr>
            <w:tcW w:w="60" w:type="dxa"/>
            <w:vAlign w:val="bottom"/>
          </w:tcPr>
          <w:p>
            <w:pPr>
              <w:spacing w:after="0"/>
              <w:rPr>
                <w:sz w:val="19"/>
                <w:szCs w:val="19"/>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Total</w:t>
            </w:r>
          </w:p>
        </w:tc>
        <w:tc>
          <w:tcPr>
            <w:tcW w:w="22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32406B"/>
              </w:rPr>
              <w:t>777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4,175</w:t>
            </w: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32406B"/>
            </w:tcBorders>
          </w:tcPr>
          <w:p>
            <w:pPr>
              <w:spacing w:after="0"/>
              <w:rPr>
                <w:sz w:val="11"/>
                <w:szCs w:val="11"/>
                <w:color w:val="auto"/>
              </w:rPr>
            </w:pPr>
          </w:p>
        </w:tc>
        <w:tc>
          <w:tcPr>
            <w:tcW w:w="6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color w:val="32406B"/>
        </w:rPr>
      </w:pPr>
      <w:r>
        <w:rPr>
          <w:rFonts w:ascii="Arial" w:cs="Arial" w:eastAsia="Arial" w:hAnsi="Arial"/>
          <w:sz w:val="18"/>
          <w:szCs w:val="18"/>
          <w:color w:val="32406B"/>
        </w:rPr>
        <w:t>Deferred cloud-based connectivity and basic IoT services related revenue</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32406B"/>
        </w:rPr>
        <w:t>Deferred cloud-based connectivity and basic IoT services related revenue represents the Group’s provision of cloud-based connectivity obligation and basic IoT services to customers.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32406B"/>
              </w:rPr>
              <w:t>2019</w:t>
            </w:r>
          </w:p>
        </w:tc>
        <w:tc>
          <w:tcPr>
            <w:tcW w:w="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223</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777</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32406B"/>
              </w:rPr>
              <w:t>Deferral of revenue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32406B"/>
              </w:rPr>
              <w:t>749</w:t>
            </w:r>
          </w:p>
        </w:tc>
        <w:tc>
          <w:tcPr>
            <w:tcW w:w="8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32406B"/>
              </w:rPr>
              <w:t>1,781</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Recognition of deferred revenue</w:t>
            </w:r>
          </w:p>
        </w:tc>
        <w:tc>
          <w:tcPr>
            <w:tcW w:w="15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32406B"/>
              </w:rPr>
              <w:t>(195)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(500)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32406B"/>
              </w:rPr>
              <w:t>Ending balances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777</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2,058</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color w:val="32406B"/>
        </w:rPr>
      </w:pPr>
      <w:r>
        <w:rPr>
          <w:rFonts w:ascii="Arial" w:cs="Arial" w:eastAsia="Arial" w:hAnsi="Arial"/>
          <w:sz w:val="18"/>
          <w:szCs w:val="18"/>
          <w:color w:val="32406B"/>
        </w:rPr>
        <w:t>Deferred Revenue—Membership</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32406B"/>
        </w:rPr>
        <w:t>Deferred Revenue—Membership represents the Group’s remaining performance obligation performed over the period of time under its 2020 Membership Program (Note 2(r)).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40" w:type="dxa"/>
            <w:vAlign w:val="bottom"/>
            <w:gridSpan w:val="4"/>
          </w:tcPr>
          <w:p>
            <w:pPr>
              <w:ind w:left="32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4020" w:type="dxa"/>
            <w:vAlign w:val="bottom"/>
            <w:tcBorders>
              <w:bottom w:val="single" w:sz="8" w:color="CCEEFF"/>
            </w:tcBorders>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32406B"/>
              </w:rPr>
              <w:t>2019</w:t>
            </w:r>
          </w:p>
        </w:tc>
        <w:tc>
          <w:tcPr>
            <w:tcW w:w="9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balances</w:t>
            </w:r>
          </w:p>
        </w:tc>
        <w:tc>
          <w:tcPr>
            <w:tcW w:w="466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32406B"/>
                <w:w w:val="88"/>
              </w:rPr>
              <w:t>—</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32406B"/>
              </w:rPr>
              <w:t>Deferral of revenue</w:t>
            </w:r>
          </w:p>
        </w:tc>
        <w:tc>
          <w:tcPr>
            <w:tcW w:w="4660" w:type="dxa"/>
            <w:vAlign w:val="bottom"/>
          </w:tcPr>
          <w:p>
            <w:pPr>
              <w:spacing w:after="0"/>
              <w:rPr>
                <w:sz w:val="18"/>
                <w:szCs w:val="18"/>
                <w:color w:val="auto"/>
              </w:rPr>
            </w:pPr>
          </w:p>
        </w:tc>
        <w:tc>
          <w:tcPr>
            <w:tcW w:w="1420" w:type="dxa"/>
            <w:vAlign w:val="bottom"/>
            <w:gridSpan w:val="2"/>
          </w:tcPr>
          <w:p>
            <w:pPr>
              <w:ind w:left="320"/>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1,229</w:t>
            </w: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Recognition of deferred revenue</w:t>
            </w:r>
          </w:p>
        </w:tc>
        <w:tc>
          <w:tcPr>
            <w:tcW w:w="4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(152)</w:t>
            </w: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32406B"/>
              </w:rPr>
              <w:t>Ending balances</w:t>
            </w:r>
          </w:p>
        </w:tc>
        <w:tc>
          <w:tcPr>
            <w:tcW w:w="466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32406B"/>
                <w:w w:val="88"/>
              </w:rPr>
              <w:t>—</w:t>
            </w:r>
          </w:p>
        </w:tc>
        <w:tc>
          <w:tcPr>
            <w:tcW w:w="9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1,077</w:t>
            </w:r>
          </w:p>
        </w:tc>
        <w:tc>
          <w:tcPr>
            <w:tcW w:w="1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6080" w:type="dxa"/>
            <w:vAlign w:val="bottom"/>
            <w:gridSpan w:val="3"/>
          </w:tcPr>
          <w:p>
            <w:pPr>
              <w:ind w:left="1320"/>
              <w:spacing w:after="0"/>
              <w:rPr>
                <w:sz w:val="20"/>
                <w:szCs w:val="20"/>
                <w:color w:val="auto"/>
              </w:rPr>
            </w:pPr>
            <w:r>
              <w:rPr>
                <w:rFonts w:ascii="Arial" w:cs="Arial" w:eastAsia="Arial" w:hAnsi="Arial"/>
                <w:sz w:val="18"/>
                <w:szCs w:val="18"/>
                <w:color w:val="32406B"/>
              </w:rPr>
              <w:t>F-32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color w:val="32406B"/>
        </w:rPr>
      </w:pPr>
      <w:r>
        <w:rPr>
          <w:rFonts w:ascii="Arial" w:cs="Arial" w:eastAsia="Arial" w:hAnsi="Arial"/>
          <w:sz w:val="18"/>
          <w:szCs w:val="18"/>
          <w:color w:val="32406B"/>
        </w:rPr>
        <w:t>Deferred Revenue—SaaS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32406B"/>
        </w:rPr>
        <w:t>Deferred Revenue—SaaS mainly represents the Group’s remaining performance obligation in providing industry SaaS services over the period of time (Note 2(r)).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7"/>
          </w:tcPr>
          <w:p>
            <w:pPr>
              <w:ind w:left="100"/>
              <w:spacing w:after="0"/>
              <w:rPr>
                <w:sz w:val="20"/>
                <w:szCs w:val="20"/>
                <w:color w:val="auto"/>
              </w:rPr>
            </w:pPr>
            <w:r>
              <w:rPr>
                <w:rFonts w:ascii="Arial" w:cs="Arial" w:eastAsia="Arial" w:hAnsi="Arial"/>
                <w:sz w:val="14"/>
                <w:szCs w:val="14"/>
                <w:b w:val="1"/>
                <w:bCs w:val="1"/>
                <w:color w:val="32406B"/>
              </w:rPr>
              <w:t>Year ended December 31,</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Arial" w:cs="Arial" w:eastAsia="Arial" w:hAnsi="Arial"/>
                <w:sz w:val="14"/>
                <w:szCs w:val="14"/>
                <w:b w:val="1"/>
                <w:bCs w:val="1"/>
                <w:color w:val="32406B"/>
              </w:rPr>
              <w:t>2019</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32406B"/>
                <w:w w:val="88"/>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32406B"/>
              </w:rPr>
              <w:t>Deferral of revenue</w:t>
            </w:r>
          </w:p>
        </w:tc>
        <w:tc>
          <w:tcPr>
            <w:tcW w:w="22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color w:val="32406B"/>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32406B"/>
              </w:rPr>
              <w:t>1,834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Recognition of deferred revenue</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32406B"/>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32406B"/>
              </w:rPr>
              <w:t>(794)</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32406B"/>
              </w:rPr>
              <w:t>Ending balances</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32406B"/>
                <w:w w:val="88"/>
              </w:rPr>
              <w:t>—</w:t>
            </w: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1,040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32406B"/>
              </w:rPr>
              <w:t>12. Financial Income, net</w:t>
            </w: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7"/>
          </w:tcPr>
          <w:p>
            <w:pPr>
              <w:ind w:left="240"/>
              <w:spacing w:after="0"/>
              <w:rPr>
                <w:sz w:val="20"/>
                <w:szCs w:val="20"/>
                <w:color w:val="auto"/>
              </w:rPr>
            </w:pPr>
            <w:r>
              <w:rPr>
                <w:rFonts w:ascii="Arial" w:cs="Arial" w:eastAsia="Arial" w:hAnsi="Arial"/>
                <w:sz w:val="14"/>
                <w:szCs w:val="14"/>
                <w:b w:val="1"/>
                <w:bCs w:val="1"/>
                <w:color w:val="32406B"/>
              </w:rPr>
              <w:t>Year ended December 31,</w:t>
            </w: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32406B"/>
              </w:rPr>
              <w:t>2019</w:t>
            </w:r>
          </w:p>
        </w:tc>
        <w:tc>
          <w:tcPr>
            <w:tcW w:w="5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32406B"/>
              </w:rPr>
              <w:t>2020</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Realized interest income and investment income</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3,326</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3,073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32406B"/>
              </w:rPr>
              <w:t>Gain on disposal of long-term investment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32406B"/>
              </w:rPr>
              <w:t>3,326</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32406B"/>
              </w:rPr>
              <w:t>3,220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13. Share Split</w:t>
      </w:r>
    </w:p>
    <w:p>
      <w:pPr>
        <w:spacing w:after="0" w:line="121"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32406B"/>
        </w:rPr>
        <w:t>On June 1, 2018, a 10-for-1 share split of the Company’s issued and unissued ordinary shares and convertible preferred shares was effected with par value per share divided by 10. All information related to the Company’s ordinary shares, convertible preferred shares and share-based awards has been retroactively adjusted to give effect to the 10-for-1 share split. The par value per ordinary share and the par value per convertible preferred share also have been retroactively revised as if they had been adjusted in proportion to the share split.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14. Ordinary Shares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32406B"/>
        </w:rPr>
        <w:t>On August 28, 2014, the Company was incorporated as limited liability company with authorized share capital of US$50 divided into 1,000,000,000 shares with par value US$0.00005 each. On August 28, 2014, the Company issued total 200,000,000 shares of ordinary shares with total cash consideration of US$10 to the “Founders”. The Company issued total 21,980,000 ordinary shares for US$0.0797 per share, with cash proceed of RMB9,720 thousand (equivalent to US$1,577) from two investors and US$175 from the other investor (collectively, the “Angel Investors”), on August 28, 2014 and December 23, 2014, respectively.</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32406B"/>
        </w:rPr>
        <w:t>The Company amended the numbers of its ordinary shares authorized as 934,711,640, 921,032,370, 827,969,950, 767,500,110 and 692,500,110 upon the issuance of Series A, Series A-1, Series B, Series C and Series D convertible preferred shares in December 2014, November 2016, August 2017, April 2018 and September 2019, respectively.</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32406B"/>
        </w:rPr>
        <w:t>As of December 31, 2019 and 2020, the Company had in aggregate of 221,980,000 ordinary shares issued and outstanding, at a par value of US$0.00005.</w:t>
      </w:r>
    </w:p>
    <w:p>
      <w:pPr>
        <w:spacing w:after="0" w:line="17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32406B"/>
        </w:rPr>
        <w:t>As of December 31, 2019, proceeds of the subscription for ordinary shares of the Company in the amount of US$10 were remained outstanding, and was presented as Subscription receivables from ordinary shareholders in equity, a contra-equity balance on the Consolidated Balance Sheets as of December 31, 2019. In 2020, the ordinary shareholders fully paid the US$10 subscription for ordinary shares of the Company, and therefore, as of December 31, 2020, the balance Subscription receivables from ordinary shareholders was nil.</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F-33</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15. Convertible Preferred Shares</w:t>
      </w:r>
    </w:p>
    <w:p>
      <w:pPr>
        <w:spacing w:after="0" w:line="12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32406B"/>
        </w:rPr>
        <w:t>The Company issued total 65,288,360 shares (with par value of US$0.00005) of Series A convertible preferred shares (the “Series A Preferred Shares”) for US$0.1378 per share with total cash consideration of US$8,500 from two investors and US$500 to one investor (totally, cash proceed of US$9,000 for Series A) on December 23, 2014 and March 31, 2015, respectively.</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The Company issued total 13,679,270 shares (with par value of US$0.00005) of Series A-1 convertible preferred shares (the “Series A-1 Preferred Shares”) for US$0.2193 per share from one investor with total cash proceed of US$3,000 on November 11, 2016,</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32406B"/>
        </w:rPr>
        <w:t>The Company issued total 87,756,440 shares (with par value of US$0.00005) of Series B convertible preferred shares (the “Series B Preferred Shares”) for US$0.3305 per share, with total consideration of US$25,000 from three investors and US$4,000 from two investors (totally cash proceed of US$29,000 for Series B) on August 15, 2017 and September 15, 2017, respectively.</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32406B"/>
        </w:rPr>
        <w:t>The Company issued total 60,468,490 shares (with par value of US$0.00005) of Series C convertible preferred shares (the “Series C Preferred Shares”) for US$1.9019 per share, with total cash consideration of US$59,457 from six investors and another US$55,550 from three investors (totally cash proceed of US$115,007 for Series C) on April 16, 2018 and May 2, 2018, respectively.</w:t>
      </w:r>
    </w:p>
    <w:p>
      <w:pPr>
        <w:spacing w:after="0" w:line="18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32406B"/>
        </w:rPr>
        <w:t>The Company issued total 52,428,242 shares (with par value of US$0.00005) of Series D convertible preferred shares (the “Series D Preferred Shares”) for US$3.4317 (the “Series D Issue Price”) per share, with total cash consideration of US$174,918 from three investor and another US$5,000 from one investor (totally, cash proceed of US$179,918 for Series D) on September 16, 2019 and November 1, 2019, respectively.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issuance costs incurred for Series D Preferred Shares were US$1,938.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above-mentioned Series A, Series A-1, Series B, Series C and Series D Preferred Shares are collectively referred as the “Preferred Shares”.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Series A, Series A-1, Series B, Series C Preferred Shares are collectively referred as the “Junior Preferred Shares”.</w:t>
      </w:r>
    </w:p>
    <w:p>
      <w:pPr>
        <w:spacing w:after="0" w:line="21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32406B"/>
        </w:rPr>
        <w:t>On November 1, 2019, the Company repurchased 1,457,003 shares from the holder of Series A-1 Preferred Shares, who originally held total 13,679,270 shares of the Company, for US$2.5738 per share, with total cash consideration of US$3,750 while the original issuance price for Series A-1 Preferred Shares was US$0.2193 per share (the “Series A-1 Repurchase”). These repurchased Series A-1 Preferred Shares were then extinguished.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key terms of the Preferred Shares issued by the Company are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Conversion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Optional Conversion</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32406B"/>
        </w:rPr>
        <w:t>Any Preferred Share may, at the option of the holder thereof, be converted at any time after the date of issuance of such shares, without the payment of any additional consideration, into fully-paid and non-assessable ordinary shares of the Company.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Automatic Conversion</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32406B"/>
        </w:rPr>
        <w:t>The Junior Preferred Shares shall automatically convert into the Company’s ordinary shares upon the earlier of i) a Qualified IPO (referring to a public offering of ordinary shares of the Company with an offering price per share at least two times the price per share at which the Series D preferred shares of the Company were issued and total gross proceeds of at least US$400 million), ii) the date specified by written consent or agreement of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F-34</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32406B"/>
        </w:rPr>
        <w:t>holders of a majority of the voting power of the outstanding Junior Preferred Shares. The Series D Preferred Shares shall automatically convert into the Company’s ordinary shares upon the earlier of i) a Qualified IPO, ii) the date specified by written consent or agreement of the holders of a majority of the voting power of the outstanding Series D Preferred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Conversion Price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32406B"/>
        </w:rPr>
        <w:t>The number of ordinary shares to be converted into is determined by the quotient of the applicable issue price divided by the then effective applicable conversion price with respect to such particular series of Preferred Shares, which shall initially be the applicable issue price for the Preferred Shares, as the case may be, resulting in an initial conversion ratio for the Preferred Shares of 1:1, and shall be adjusted and readjusted from time to time, including but not limited to share splits and combinations, ordinary share dividends and distributions, reorganizations, mergers, consolidations, reclassifications, exchanges, substitutions, issuance of new securities.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Voting Rights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32406B"/>
        </w:rPr>
        <w:t>The holder of a Preferred Share shall be entitled to such number of votes as equals the whole number of ordinary shares into which such holder’s collective Preferred Shares are convertible immediately after the close of business on the record date of the determination of the Company’s Members (as defined Companies Law of the Cayman Islands) entitled to vote or, if no such record date is established, at the date such vote is taken or any written consent of the Company’s Members (as defined Companies Law of the Cayman Islands) is first solicited. The holder of each ordinary share issued and outstanding shall have one vote in respect of each ordinary share held.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Dividend Rights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32406B"/>
        </w:rPr>
        <w:t>First, the holder of Series D Preferred Shares shall be entitled to receive noncumulative dividends at the rate of 8% of the Series D Issue Price per annum, when and if declared by the board of directors, payable out of funds or assets when and as such funds or assets become legally available therefore, on a pro rata basis.</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32406B"/>
        </w:rPr>
        <w:t>Second, after the preferential dividends in respect of the Series D Preferred Shares above have been paid in full or declared and set apart in any fiscal year of the Company, each holder of Junior Preferred Shares shall be entitled to receive non-cumulative dividends at the rate of eight percent (8%) of applicable issue price per annum with respect to such particular series of Preferred Shares, when and if declared the board of directors, payable out of funds or assets when and as such funds or assets become legally available therefore, on a pari passu basis.</w:t>
      </w:r>
    </w:p>
    <w:p>
      <w:pPr>
        <w:spacing w:after="0" w:line="17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32406B"/>
        </w:rPr>
        <w:t>Last, after the preferential dividends in respect of the Series D Preferred Shares and the Junior Preferred Shares above have been paid in full or declared, any additional dividends out of funds legally available therefore may be declared in that fiscal year for the ordinary shares and, if such additional dividends are declared, then such additional dividends shall be declared pro rata on the ordinary shares and Preferred Shares on an as-converted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Company did not declare any dividends since the issuance of its ordinary shares or Preferred Shares.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Liquidation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Liquidation Preference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32406B"/>
        </w:rPr>
        <w:t>First, each holder of Series D Preferred Shares shall be entitled to receive for each Series D Preferred Share held by such holder, on parity with each other and prior and in preference to any distribution of any of the assets or funds of the Company to the holders of Junior Preferred Shares and ordinary shares, the amount (the “Series D Preference Amount”) equal to the higher of (i) one hundred percent (100%) of the Series D Issue Price, plus all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2406B"/>
        </w:rPr>
        <w:t>F-35</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32406B"/>
        </w:rPr>
        <w:t>declared but unpaid dividends on such Series D Preferred Share and (ii) the amount that each Series D Preferred Share would have received had such Series D Preferred Share been converted into Ordinary Share(s) immediately prior to such event.</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32406B"/>
        </w:rPr>
        <w:t>Second, if there are any assets or funds remaining after the aggregate Series D Preference Amount has been distributed or paid in full to the holders of Series D Preferred Shares, each holder of Junior Preferred Shares shall be entitled to receive for each Junior Preferred Share held by such holder, on parity with each other and prior and in preference to any distribution of any of the assets or funds of the Company to the holders of Ordinary Shares, the amount (the “Junior Preferred Preference Amount”) equal to the higher of (i) one hundred percent (100%) of the Applicable Issue Price, plus all declared but unpaid dividends on such Junior Preferred Share and (ii) the amount each Junior Preferred Share would have received had such Junior Preferred Share been converted into ordinary Shares immediately prior to such event.</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32406B"/>
        </w:rPr>
        <w:t>Third, if there are any assets or funds remaining after the aggregate Preference Amount has been distributed or paid in full to the holders of the Series D Preferred Shares and Junior Preferred Shares, each Angel Investor shall be entitled to receive the amount equal to their applicable initial purchase price of the Company’s ordinary shares (the “Angel Preference Amount”) prior and in preference to any distribution of any assets or funds of the Company to the holders of the ordinary shares (excluding any Angel Investors).</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32406B"/>
        </w:rPr>
        <w:t>Last, if there are any assets or funds remaining after the Preference Amount has been distributed or paid in full to the holders of the Series D Preferred Shares, holders of the Junior Preferred Shares and the Angel Investors, the remaining assets and funds of the Company available for distribution to the Members shall be distributed ratably among all holders of Ordinary Shares (excluding any Angel Investors who have received their Angel Preference Amounts, but including any Angel Investor who has forfeited the right to receive its Angel Preference Amount) according to the relative number of Ordinary Shares held by such holder.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Deemed Liquidation Event</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32406B"/>
        </w:rPr>
        <w:t>Deemed Liquidation Event (as defined in the Company’s memorandum and articles of association) include:(1) any consolidation, reorganization, amalgamation or merger of the company and/or its subsidiaries or shareholders of the subsidiaries with or into any person, or any other corporate reorganization or scheme of arrangement, including a sale or acquisition of equity securities of the Company, in which the shareholders of the Company or shareholders of its subsidiaries immediately before such transaction own less than 50% of the voting power of the surviving company immediately after such transaction; or (2) the sale, lease, transfer, exclusive license or other disposition of all or substantially all of the assets of the Company.</w:t>
      </w:r>
    </w:p>
    <w:p>
      <w:pPr>
        <w:spacing w:after="0" w:line="16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32406B"/>
        </w:rPr>
        <w:t>Unless waived in writing by the holders of a majority of the outstanding Preferred Shares (voting together as a single class and on an as-if converted basis) and the holders of a majority of outstanding Series D Preferred Shares, a deemed liquidation shall be deemed to be a liquidation, dissolution or winding up of the Company for purposes of Article “Liquidation Rights”, and any proceeds, whether in cash or properties, resulting from a Deemed Liquidation Event shall be distributed in accordance with the above liquidation preference.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Consideration of contingent redemption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32406B"/>
        </w:rPr>
        <w:t>The Preferred Shares generally are not redeemable outside the Company’s control, following the Company’s memorandum and articles of association as well as arrangements with the holders of the Preferred Shares. However, it is not guaranteed that under all circumstances, regardless of its probability, a Deemed Liquidation Event will occur solely within the control of the Company and consequently the Preferred Shares may be redeemable upon the occurrence of such event.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Preemptive Rights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32406B"/>
        </w:rPr>
        <w:t>The Company grants to each it major investor (each an “Offeree”) a right (the “Preemptive Right”) to purchase up to its pro rata share of any new securities that the Company may, from time to time after the Initial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F-36</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32406B"/>
        </w:rPr>
        <w:t>Closing, propose to sell or issue. For the purposes of the Preemptive Right hereunder, each Offeree’s “pro rata share” shall be determined according to the aggregate number of all Ordinary Shares converted or convertible from the Preferred Shares held by such Offeree immediately prior to the issuance of the new securities in relation to the aggregate number of all shares, options and warrants (calculated on a fully-diluted and as converted to ordinary shares basis) then outstanding immediately prior to the issuance of the new securities.</w:t>
      </w:r>
    </w:p>
    <w:p>
      <w:pPr>
        <w:spacing w:after="0" w:line="17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32406B"/>
        </w:rPr>
        <w:t>In addition to the investor’s Preemptive Right, only one major majority holder of Series D Preferred Shares shall have the right (the “Super Pro Rata Right”) to purchase additional shares of new securities that the Company may sell in the next three rounds of equity financings; provided that if the Company, consummates more than three rounds of equity financings prior to the three-year anniversary of the initial closing, such right shall also apply to such additional rounds of equity financings consummated prior to the three-year anniversary of the initial closing.</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Modification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32406B"/>
        </w:rPr>
        <w:t>There were minor modifications of the Preferred Shares occurred in 2019. The amount of aggregate gross proceeds to the Company which meet the definition of a Qualified IPO was modified upon the issuance of Series D Preferred Shares. However, there were no modification around the major embedded features of the Preferred Shares, including not any adjustment of Liquidation Preference, Voting Rights, or conversion ratio and mechanism to determine conversion price.</w:t>
      </w:r>
    </w:p>
    <w:p>
      <w:pPr>
        <w:spacing w:after="0" w:line="18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32406B"/>
        </w:rPr>
        <w:t>The Company assessed the change of fair value of the Preferred Shares immediately before and after the modifications and the change was immaterial.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Accounting for Preferred Shares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32406B"/>
        </w:rPr>
        <w:t>The Company classifies the Preferred Shares as mezzanine equity in the Consolidated Balance Sheets because they are contingently redeemable upon the occurrence of an event that is outside of the Company’s control, regardless of its probability.</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32406B"/>
        </w:rPr>
        <w:t>The conversion feature of the Preferred Shares is clearly and closely related to the equity host contract, which does not meet ASC 815-15-25-1 (a), and should not be separated from the host contract and accounted for as a derivative instrument. The liquidation feature of the Preferred Shares does not qualify as derivatives as defined by ASC 815-10-15-83(c), which does not meet ASC 815-15-25-1 (c), and should not be separated from the host contract and accounted for as a derivative instrument.</w:t>
      </w:r>
    </w:p>
    <w:p>
      <w:pPr>
        <w:spacing w:after="0" w:line="18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32406B"/>
        </w:rPr>
        <w:t>The Preferred Shares are recorded initially at fair value, net of issuance costs, and carried at the amount recorded at inception and no subsequent changes are needed. For the years ended December 31, 2019 and 2020, the issuance costs incurred were US$1,938 and nil, respectively.</w:t>
      </w:r>
    </w:p>
    <w:p>
      <w:pPr>
        <w:spacing w:after="0" w:line="124"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32406B"/>
        </w:rPr>
        <w:t>For the Series A-1 Repurchase incurred in November 2019, the difference of repurchase price in excess of original issuance price was deemed as dividend to convertible preferred shareholders by the Company, which was debited to additional paid in capital of US$3,430 in the absence of retained earnings.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F-37</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Group’s Preferred Shares activities for the years ended December 31, 2019 and 2020 are summarized as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540" w:type="dxa"/>
            <w:vAlign w:val="bottom"/>
          </w:tcPr>
          <w:p>
            <w:pPr>
              <w:spacing w:after="0"/>
              <w:rPr>
                <w:sz w:val="13"/>
                <w:szCs w:val="13"/>
                <w:color w:val="auto"/>
              </w:rPr>
            </w:pPr>
          </w:p>
        </w:tc>
        <w:tc>
          <w:tcPr>
            <w:tcW w:w="1480" w:type="dxa"/>
            <w:vAlign w:val="bottom"/>
            <w:gridSpan w:val="4"/>
          </w:tcPr>
          <w:p>
            <w:pPr>
              <w:ind w:left="240"/>
              <w:spacing w:after="0"/>
              <w:rPr>
                <w:sz w:val="20"/>
                <w:szCs w:val="20"/>
                <w:color w:val="auto"/>
              </w:rPr>
            </w:pPr>
            <w:r>
              <w:rPr>
                <w:rFonts w:ascii="Arial" w:cs="Arial" w:eastAsia="Arial" w:hAnsi="Arial"/>
                <w:sz w:val="13"/>
                <w:szCs w:val="13"/>
                <w:b w:val="1"/>
                <w:bCs w:val="1"/>
                <w:color w:val="32406B"/>
              </w:rPr>
              <w:t>Series A Shares</w:t>
            </w:r>
          </w:p>
        </w:tc>
        <w:tc>
          <w:tcPr>
            <w:tcW w:w="160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32406B"/>
              </w:rPr>
              <w:t>Series A-1 Shares</w:t>
            </w:r>
          </w:p>
        </w:tc>
        <w:tc>
          <w:tcPr>
            <w:tcW w:w="1500" w:type="dxa"/>
            <w:vAlign w:val="bottom"/>
            <w:gridSpan w:val="4"/>
          </w:tcPr>
          <w:p>
            <w:pPr>
              <w:ind w:left="260"/>
              <w:spacing w:after="0"/>
              <w:rPr>
                <w:sz w:val="20"/>
                <w:szCs w:val="20"/>
                <w:color w:val="auto"/>
              </w:rPr>
            </w:pPr>
            <w:r>
              <w:rPr>
                <w:rFonts w:ascii="Arial" w:cs="Arial" w:eastAsia="Arial" w:hAnsi="Arial"/>
                <w:sz w:val="13"/>
                <w:szCs w:val="13"/>
                <w:b w:val="1"/>
                <w:bCs w:val="1"/>
                <w:color w:val="32406B"/>
              </w:rPr>
              <w:t>Series B Shares</w:t>
            </w:r>
          </w:p>
        </w:tc>
        <w:tc>
          <w:tcPr>
            <w:tcW w:w="158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32406B"/>
              </w:rPr>
              <w:t>Series C Shares</w:t>
            </w:r>
          </w:p>
        </w:tc>
        <w:tc>
          <w:tcPr>
            <w:tcW w:w="1580" w:type="dxa"/>
            <w:vAlign w:val="bottom"/>
            <w:gridSpan w:val="4"/>
          </w:tcPr>
          <w:p>
            <w:pPr>
              <w:ind w:left="300"/>
              <w:spacing w:after="0"/>
              <w:rPr>
                <w:sz w:val="20"/>
                <w:szCs w:val="20"/>
                <w:color w:val="auto"/>
              </w:rPr>
            </w:pPr>
            <w:r>
              <w:rPr>
                <w:rFonts w:ascii="Arial" w:cs="Arial" w:eastAsia="Arial" w:hAnsi="Arial"/>
                <w:sz w:val="13"/>
                <w:szCs w:val="13"/>
                <w:b w:val="1"/>
                <w:bCs w:val="1"/>
                <w:color w:val="32406B"/>
              </w:rPr>
              <w:t>Series D Shares</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2406B"/>
              </w:rPr>
              <w:t>Total</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1540" w:type="dxa"/>
            <w:vAlign w:val="bottom"/>
          </w:tcPr>
          <w:p>
            <w:pPr>
              <w:spacing w:after="0"/>
              <w:rPr>
                <w:sz w:val="9"/>
                <w:szCs w:val="9"/>
                <w:color w:val="auto"/>
              </w:rPr>
            </w:pPr>
          </w:p>
        </w:tc>
        <w:tc>
          <w:tcPr>
            <w:tcW w:w="880" w:type="dxa"/>
            <w:vAlign w:val="bottom"/>
            <w:tcBorders>
              <w:top w:val="single" w:sz="8" w:color="auto"/>
            </w:tcBorders>
            <w:gridSpan w:val="2"/>
          </w:tcPr>
          <w:p>
            <w:pPr>
              <w:jc w:val="right"/>
              <w:ind w:right="220"/>
              <w:spacing w:after="0" w:line="110" w:lineRule="exact"/>
              <w:rPr>
                <w:sz w:val="20"/>
                <w:szCs w:val="20"/>
                <w:color w:val="auto"/>
              </w:rPr>
            </w:pPr>
            <w:r>
              <w:rPr>
                <w:rFonts w:ascii="Arial" w:cs="Arial" w:eastAsia="Arial" w:hAnsi="Arial"/>
                <w:sz w:val="12"/>
                <w:szCs w:val="12"/>
                <w:b w:val="1"/>
                <w:bCs w:val="1"/>
                <w:color w:val="32406B"/>
              </w:rPr>
              <w:t>Number of</w:t>
            </w: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top w:val="single" w:sz="8" w:color="auto"/>
            </w:tcBorders>
            <w:gridSpan w:val="2"/>
          </w:tcPr>
          <w:p>
            <w:pPr>
              <w:jc w:val="right"/>
              <w:ind w:right="280"/>
              <w:spacing w:after="0" w:line="110" w:lineRule="exact"/>
              <w:rPr>
                <w:sz w:val="20"/>
                <w:szCs w:val="20"/>
                <w:color w:val="auto"/>
              </w:rPr>
            </w:pPr>
            <w:r>
              <w:rPr>
                <w:rFonts w:ascii="Arial" w:cs="Arial" w:eastAsia="Arial" w:hAnsi="Arial"/>
                <w:sz w:val="12"/>
                <w:szCs w:val="12"/>
                <w:b w:val="1"/>
                <w:bCs w:val="1"/>
                <w:color w:val="32406B"/>
              </w:rPr>
              <w:t>Number of</w:t>
            </w: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32406B"/>
                <w:w w:val="96"/>
              </w:rPr>
              <w:t>Number of</w:t>
            </w:r>
          </w:p>
        </w:tc>
        <w:tc>
          <w:tcPr>
            <w:tcW w:w="4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32406B"/>
                <w:w w:val="96"/>
              </w:rPr>
              <w:t>Number of</w:t>
            </w: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32406B"/>
                <w:w w:val="96"/>
              </w:rPr>
              <w:t>Number of</w:t>
            </w: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1540" w:type="dxa"/>
            <w:vAlign w:val="bottom"/>
          </w:tcPr>
          <w:p>
            <w:pPr>
              <w:spacing w:after="0"/>
              <w:rPr>
                <w:sz w:val="11"/>
                <w:szCs w:val="11"/>
                <w:color w:val="auto"/>
              </w:rPr>
            </w:pPr>
          </w:p>
        </w:tc>
        <w:tc>
          <w:tcPr>
            <w:tcW w:w="8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32406B"/>
              </w:rPr>
              <w:t>shares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32406B"/>
              </w:rPr>
              <w:t>shares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32406B"/>
                <w:w w:val="81"/>
              </w:rPr>
              <w:t>shares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32406B"/>
                <w:w w:val="81"/>
              </w:rPr>
              <w:t>shares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32406B"/>
                <w:w w:val="81"/>
              </w:rPr>
              <w:t>shares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32406B"/>
              </w:rPr>
              <w:t>Number of</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15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32406B"/>
              </w:rPr>
              <w:t>issued</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32406B"/>
              </w:rPr>
              <w:t>Amount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32406B"/>
              </w:rPr>
              <w:t>issued</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32406B"/>
                <w:w w:val="85"/>
              </w:rPr>
              <w:t>Amount</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32406B"/>
                <w:w w:val="82"/>
              </w:rPr>
              <w:t>issued</w:t>
            </w: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32406B"/>
              </w:rPr>
              <w:t>Amount</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32406B"/>
                <w:w w:val="82"/>
              </w:rPr>
              <w:t>issued</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32406B"/>
                <w:w w:val="97"/>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32406B"/>
                <w:w w:val="77"/>
              </w:rPr>
              <w:t>issued</w:t>
            </w: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32406B"/>
              </w:rPr>
              <w:t>Amount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32406B"/>
                <w:w w:val="87"/>
              </w:rPr>
              <w:t>shares issued</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2406B"/>
              </w:rPr>
              <w:t>Amount</w:t>
            </w:r>
          </w:p>
        </w:tc>
      </w:tr>
      <w:tr>
        <w:trPr>
          <w:trHeight w:val="106"/>
        </w:trPr>
        <w:tc>
          <w:tcPr>
            <w:tcW w:w="15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32406B"/>
              </w:rPr>
              <w:t>Balance as of</w:t>
            </w: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r>
      <w:tr>
        <w:trPr>
          <w:trHeight w:val="171"/>
        </w:trPr>
        <w:tc>
          <w:tcPr>
            <w:tcW w:w="15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32406B"/>
              </w:rPr>
              <w:t>December 31, 2018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w w:val="99"/>
              </w:rPr>
              <w:t>65,288,360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9,000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32406B"/>
                <w:w w:val="99"/>
              </w:rPr>
              <w:t>13,679,270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3,000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87,756,440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29,000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60,468,490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115,007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227,192,560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156,007</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32406B"/>
              </w:rPr>
              <w:t>Issuance of Series 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1540" w:type="dxa"/>
            <w:vAlign w:val="bottom"/>
          </w:tcPr>
          <w:p>
            <w:pPr>
              <w:ind w:left="140"/>
              <w:spacing w:after="0" w:line="149" w:lineRule="exact"/>
              <w:rPr>
                <w:sz w:val="20"/>
                <w:szCs w:val="20"/>
                <w:color w:val="auto"/>
              </w:rPr>
            </w:pPr>
            <w:r>
              <w:rPr>
                <w:rFonts w:ascii="Arial" w:cs="Arial" w:eastAsia="Arial" w:hAnsi="Arial"/>
                <w:sz w:val="14"/>
                <w:szCs w:val="14"/>
                <w:color w:val="32406B"/>
              </w:rPr>
              <w:t>Preferred Shares, net</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1540" w:type="dxa"/>
            <w:vAlign w:val="bottom"/>
          </w:tcPr>
          <w:p>
            <w:pPr>
              <w:ind w:left="140"/>
              <w:spacing w:after="0"/>
              <w:rPr>
                <w:sz w:val="20"/>
                <w:szCs w:val="20"/>
                <w:color w:val="auto"/>
              </w:rPr>
            </w:pPr>
            <w:r>
              <w:rPr>
                <w:rFonts w:ascii="Arial" w:cs="Arial" w:eastAsia="Arial" w:hAnsi="Arial"/>
                <w:sz w:val="14"/>
                <w:szCs w:val="14"/>
                <w:color w:val="32406B"/>
              </w:rPr>
              <w:t>of issuance cost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32406B"/>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32406B"/>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32406B"/>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32406B"/>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32406B"/>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32406B"/>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32406B"/>
              </w:rPr>
              <w:t>52,428,242</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32406B"/>
              </w:rPr>
              <w:t>177,980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32406B"/>
              </w:rPr>
              <w:t>52,428,242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32406B"/>
              </w:rPr>
              <w:t>177,980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32406B"/>
              </w:rPr>
              <w:t>Repurchase of</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1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32406B"/>
              </w:rPr>
              <w:t>convertible preferred</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40"/>
              <w:spacing w:after="0"/>
              <w:rPr>
                <w:sz w:val="20"/>
                <w:szCs w:val="20"/>
                <w:color w:val="auto"/>
              </w:rPr>
            </w:pPr>
            <w:r>
              <w:rPr>
                <w:rFonts w:ascii="Arial" w:cs="Arial" w:eastAsia="Arial" w:hAnsi="Arial"/>
                <w:sz w:val="14"/>
                <w:szCs w:val="14"/>
                <w:color w:val="32406B"/>
              </w:rPr>
              <w:t>shares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(1,457,003)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(320)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(1,457,003)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32406B"/>
              </w:rPr>
              <w:t>(320)</w:t>
            </w:r>
          </w:p>
        </w:tc>
      </w:tr>
      <w:tr>
        <w:trPr>
          <w:trHeight w:val="133"/>
        </w:trPr>
        <w:tc>
          <w:tcPr>
            <w:tcW w:w="1540" w:type="dxa"/>
            <w:vAlign w:val="bottom"/>
          </w:tcPr>
          <w:p>
            <w:pPr>
              <w:spacing w:after="0" w:line="133" w:lineRule="exact"/>
              <w:rPr>
                <w:sz w:val="20"/>
                <w:szCs w:val="20"/>
                <w:color w:val="auto"/>
              </w:rPr>
            </w:pPr>
            <w:r>
              <w:rPr>
                <w:rFonts w:ascii="Arial" w:cs="Arial" w:eastAsia="Arial" w:hAnsi="Arial"/>
                <w:sz w:val="14"/>
                <w:szCs w:val="14"/>
                <w:b w:val="1"/>
                <w:bCs w:val="1"/>
                <w:color w:val="32406B"/>
              </w:rPr>
              <w:t>Balance as of</w:t>
            </w: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78"/>
        </w:trPr>
        <w:tc>
          <w:tcPr>
            <w:tcW w:w="1540" w:type="dxa"/>
            <w:vAlign w:val="bottom"/>
          </w:tcPr>
          <w:p>
            <w:pPr>
              <w:ind w:left="140"/>
              <w:spacing w:after="0"/>
              <w:rPr>
                <w:sz w:val="20"/>
                <w:szCs w:val="20"/>
                <w:color w:val="auto"/>
              </w:rPr>
            </w:pPr>
            <w:r>
              <w:rPr>
                <w:rFonts w:ascii="Arial" w:cs="Arial" w:eastAsia="Arial" w:hAnsi="Arial"/>
                <w:sz w:val="14"/>
                <w:szCs w:val="14"/>
                <w:b w:val="1"/>
                <w:bCs w:val="1"/>
                <w:color w:val="32406B"/>
              </w:rPr>
              <w:t>December 31, 2019</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32406B"/>
                <w:w w:val="99"/>
              </w:rPr>
              <w:t>65,288,360</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32406B"/>
              </w:rPr>
              <w:t>9,000</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32406B"/>
                <w:w w:val="99"/>
              </w:rPr>
              <w:t>12,222,267</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32406B"/>
              </w:rPr>
              <w:t>2,680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32406B"/>
              </w:rPr>
              <w:t>87,756,440</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32406B"/>
              </w:rPr>
              <w:t>29,000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32406B"/>
              </w:rPr>
              <w:t>60,468,490</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32406B"/>
              </w:rPr>
              <w:t>115,007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32406B"/>
              </w:rPr>
              <w:t>52,428,242</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32406B"/>
              </w:rPr>
              <w:t>177,980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32406B"/>
              </w:rPr>
              <w:t>278,163,799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32406B"/>
              </w:rPr>
              <w:t>333,667</w:t>
            </w:r>
          </w:p>
        </w:tc>
      </w:tr>
      <w:tr>
        <w:trPr>
          <w:trHeight w:val="126"/>
        </w:trPr>
        <w:tc>
          <w:tcPr>
            <w:tcW w:w="15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32406B"/>
              </w:rPr>
              <w:t>Balance as of</w:t>
            </w: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71"/>
        </w:trPr>
        <w:tc>
          <w:tcPr>
            <w:tcW w:w="15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32406B"/>
              </w:rPr>
              <w:t>December 31, 2020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w w:val="99"/>
              </w:rPr>
              <w:t>65,288,360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9,000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32406B"/>
                <w:w w:val="99"/>
              </w:rPr>
              <w:t>12,222,267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2,680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87,756,440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29,000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60,468,490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115,007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52,428,242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32406B"/>
              </w:rPr>
              <w:t>177,980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278,163,799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333,667</w:t>
            </w:r>
          </w:p>
        </w:tc>
      </w:tr>
      <w:tr>
        <w:trPr>
          <w:trHeight w:val="20"/>
        </w:trPr>
        <w:tc>
          <w:tcPr>
            <w:tcW w:w="1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were no activities of any Preferred Shares for the year ended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16. Share-based Compensation</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32406B"/>
        </w:rPr>
        <w:t>In December 2014, the board of directors of the Company adopted the Company’s 2015 Equity Incentive Plan (“the 2015 Plan”) and reserved 31,918,690 ordinary shares for issuance under the Plan to grant share-based awards, including restricted shares and share options, to its service providers, defined as the Company’s global employees, director and external consultants. In July 2020, the 2015 Plan was modified to allow the Company with the intentions of i) providing for the award of restricted stock units (“RSUs”) under the Plan and ii) amending the exercise price of certain outstanding share options held by certain optionees located outside of the U.S. to purchase ordinary shares of the Company (the “Share Option Repricing”), and the number of ordinary shares reserved for the 2015 Plan was modified to 60,778,005 (adjusted in accordance with the Share Split). As of December 31, 2020, the Company had not granted any RSUs to anyone yet, neither had the Company entered any repricing agreement with the optionee under the 2015 Plan yet. As of December 31, 2020, the Company had not granted any restricted shares to anyone yet, except that the part of the ordinary shares issued to the Founders with restricted conditions from December 2014 to 2018 was considered as shared based compensation, see below Founders’ Restricted Shares.</w:t>
      </w:r>
    </w:p>
    <w:p>
      <w:pPr>
        <w:spacing w:after="0" w:line="18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32406B"/>
        </w:rPr>
        <w:t>Since adoption of the 2015 Plan, the Company granted options to its global employees, director and external consultants. All options granted have a contractual term of ten years from the grant date, and the vest over a period of four years of continuous service, 50% of the shares subject to the option shall vest on the second anniversary of the vesting commencement date, and the remaining of the shares subject to the option shall vest in equal annual installments over the following two years thereafter on the same day of the month as the vesting commencement date (and if there is no corresponding day, on the last day of the month), subject to the grantee continuing to be a service provider through each such date. On top of the same service conditions and vesting schedule, the share options granted to PRC employee grantee shall become fully vested and, to the extent permissible under applicable law, exercisable upon the occurrence of a Change in Control (as defined in the 2015 Plan).</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32406B"/>
        </w:rPr>
        <w:t>The Company accounted for the share-based compensation costs on a straight-line bases over the requisite service period for the award based on the fair value on their respectively grant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F-38</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Company granted 10,580,000 and 9,705,000 new share options with four-year requisite service period to its employees and nonemployees for year ended December 31, 2019 and 2020, respectively. As of December 31, 2019 and 2020, 41,220,000 and 48,740,000 options were outstanding under the 2015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Share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sets forth the share options activity for the years ended December 31, 2019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32406B"/>
                <w:w w:val="91"/>
              </w:rPr>
              <w:t>Weighted</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32406B"/>
                <w:w w:val="88"/>
              </w:rPr>
              <w:t>Weighted</w:t>
            </w: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32406B"/>
                <w:w w:val="91"/>
              </w:rPr>
              <w:t>Weighted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32406B"/>
                <w:w w:val="90"/>
              </w:rPr>
              <w:t>average</w:t>
            </w:r>
          </w:p>
        </w:tc>
        <w:tc>
          <w:tcPr>
            <w:tcW w:w="11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32406B"/>
                <w:w w:val="90"/>
              </w:rPr>
              <w:t>average</w:t>
            </w: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32406B"/>
                <w:w w:val="97"/>
              </w:rPr>
              <w:t>grant</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32406B"/>
                <w:w w:val="90"/>
              </w:rPr>
              <w:t>average</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32406B"/>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32406B"/>
              </w:rPr>
              <w:t>Number of</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32406B"/>
                <w:w w:val="85"/>
              </w:rPr>
              <w:t>exercise</w:t>
            </w: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32406B"/>
                <w:w w:val="90"/>
              </w:rPr>
              <w:t>date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32406B"/>
                <w:w w:val="92"/>
              </w:rPr>
              <w:t>remaining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32406B"/>
                <w:w w:val="94"/>
              </w:rPr>
              <w:t>price per</w:t>
            </w: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32406B"/>
                <w:w w:val="91"/>
              </w:rPr>
              <w:t>fair value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32406B"/>
                <w:w w:val="92"/>
              </w:rPr>
              <w:t>contractual</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32406B"/>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32406B"/>
              </w:rPr>
              <w:t>shares</w:t>
            </w: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32406B"/>
                <w:w w:val="85"/>
              </w:rPr>
              <w:t>share</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32406B"/>
                <w:w w:val="88"/>
              </w:rPr>
              <w:t>per share</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32406B"/>
                <w:w w:val="98"/>
              </w:rPr>
              <w:t>term</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32406B"/>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Outstanding as of December 31,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5"/>
              </w:rPr>
              <w:t>31,010,000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0.17</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0.37</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7.80</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39,483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32406B"/>
              </w:rPr>
              <w:t>Granted</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32406B"/>
                <w:w w:val="95"/>
              </w:rPr>
              <w:t>10,580,000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32406B"/>
              </w:rPr>
              <w:t>0.80</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32406B"/>
              </w:rPr>
              <w:t>1.85</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Forfeited</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32406B"/>
              </w:rPr>
              <w:t>(370,000)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0.35</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0.76</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32406B"/>
              </w:rPr>
              <w:t>Outstanding as of December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5"/>
              </w:rPr>
              <w:t>41,220,000</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0.33</w:t>
            </w: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0.75</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7.49</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93,889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Granted</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9,705,000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0.42</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2.44</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32406B"/>
              </w:rPr>
              <w:t>Forfeited</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32406B"/>
                <w:w w:val="99"/>
              </w:rPr>
              <w:t>(2,185,000)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32406B"/>
              </w:rPr>
              <w:t>0.62</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32406B"/>
              </w:rPr>
              <w:t>1.52</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Outstanding as of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48,740,000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0.33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1.05</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7.02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98"/>
              </w:rPr>
              <w:t>591,879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The aggregate intrinsic value is calculated as the difference between the exercise price of the underlying awards and the estimated fair value of the underlying stock at each reporting date (December 31, 2019: US$99,426, December 31, 2020: US$608,251).</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32406B"/>
        </w:rPr>
        <w:t>The Group uses the Binominal option pricing model to estimate the fair value of stock options. The assumptions used to value the Company’s options grants were as follow:</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31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32406B"/>
              </w:rPr>
              <w:t>2019</w:t>
            </w:r>
          </w:p>
        </w:tc>
        <w:tc>
          <w:tcPr>
            <w:tcW w:w="500" w:type="dxa"/>
            <w:vAlign w:val="bottom"/>
            <w:tcBorders>
              <w:top w:val="single" w:sz="8" w:color="auto"/>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32406B"/>
              </w:rPr>
              <w:t>2020</w:t>
            </w:r>
          </w:p>
        </w:tc>
        <w:tc>
          <w:tcPr>
            <w:tcW w:w="22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32406B"/>
              </w:rPr>
              <w:t>Exercise price (US$)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0.79~1.08</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0.3~1.08</w:t>
            </w:r>
          </w:p>
        </w:tc>
        <w:tc>
          <w:tcPr>
            <w:tcW w:w="2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32406B"/>
              </w:rPr>
              <w:t>Exercise multiple</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32406B"/>
              </w:rPr>
              <w:t>2.2~2.8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32406B"/>
              </w:rPr>
              <w:t>2.2~2.8</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32406B"/>
              </w:rPr>
              <w:t>Risk-free interest rate</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2.08%~2.79%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0.70%~0.82%</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32406B"/>
              </w:rPr>
              <w:t>Expected term (in years)</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32406B"/>
              </w:rPr>
              <w:t>10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32406B"/>
              </w:rPr>
              <w:t>10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32406B"/>
              </w:rPr>
              <w:t>Expected dividend yield</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32406B"/>
              </w:rPr>
              <w:t>Expected volatility</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32406B"/>
              </w:rPr>
              <w:t>50.30%~51.13%</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32406B"/>
              </w:rPr>
              <w:t>50.66%~50.96%</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32406B"/>
              </w:rPr>
              <w:t>Expected forfeiture rate (post-vesting)</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4.19%</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3.88%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32406B"/>
              </w:rPr>
              <w:t>Fair value of the underlying shares on the date of options grants (US$)</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32406B"/>
              </w:rPr>
              <w:t>1.56~2.66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32406B"/>
              </w:rPr>
              <w:t>2.66~3.02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32406B"/>
              </w:rPr>
              <w:t>Fair value of share option (US$)</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1.02~1.98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1.98~2.54</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Founders’ Restricted Shares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32406B"/>
        </w:rPr>
        <w:t>On December 23, 2014, in connection with the issuance of Series A Preferred Shares, the Founders (also as the key member of the management) agreed to place 200,000,000 ordinary shares, which were previously issued to them in August 2014 (Note 14), into escrow to be released back to them if specified service condition are met (defined as “Founders’ Restricted Shares”), which was, 25% of the Founders’ Restricted Shares were immediately vested and the remaining 75% of the Founders’ Restricted Shares shall be vested annually in equal installments over the next four years. The Company had the right to repurchase these Founders’ Restricted Shares at par value of ordinary share if the service condition requisite was not satisfied. Pursuant to ASC 718-10-S99, such escrowed share arrangements are presumed to be compensatory and equivalent to a reverse stock split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F-39</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32406B"/>
        </w:rPr>
        <w:t>followed by the grant of restricted stock. Accordingly, the 75% of the Founders’ Restricted Shares that were subject to the service condition were considered shared based compensation.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32406B"/>
        </w:rPr>
        <w:t>The fair value of the Founders’ Restricted Shares was determined at its grant date (December 23, 2014) by the Company and was amortized over the four-year vesting period on straight line basis. By December 2018, all of the Founders’ Restricted Shares were fully vested with total related share-based compensation expenses of US$11,797, which was recorded as expenses before the periods presented and included in the opening balance of accumulated losses of the Group as of January 1, 2019.</w:t>
      </w:r>
    </w:p>
    <w:p>
      <w:pPr>
        <w:spacing w:after="0" w:line="291" w:lineRule="exact"/>
        <w:rPr>
          <w:sz w:val="20"/>
          <w:szCs w:val="20"/>
          <w:color w:val="auto"/>
        </w:rPr>
      </w:pPr>
    </w:p>
    <w:p>
      <w:pPr>
        <w:ind w:left="560" w:right="9360" w:hanging="444"/>
        <w:spacing w:after="0" w:line="453" w:lineRule="auto"/>
        <w:tabs>
          <w:tab w:leader="none" w:pos="389" w:val="left"/>
        </w:tabs>
        <w:numPr>
          <w:ilvl w:val="0"/>
          <w:numId w:val="147"/>
        </w:numPr>
        <w:rPr>
          <w:rFonts w:ascii="Arial" w:cs="Arial" w:eastAsia="Arial" w:hAnsi="Arial"/>
          <w:sz w:val="15"/>
          <w:szCs w:val="15"/>
          <w:b w:val="1"/>
          <w:bCs w:val="1"/>
          <w:color w:val="32406B"/>
        </w:rPr>
      </w:pPr>
      <w:r>
        <w:rPr>
          <w:rFonts w:ascii="Arial" w:cs="Arial" w:eastAsia="Arial" w:hAnsi="Arial"/>
          <w:sz w:val="15"/>
          <w:szCs w:val="15"/>
          <w:b w:val="1"/>
          <w:bCs w:val="1"/>
          <w:color w:val="32406B"/>
        </w:rPr>
        <w:t xml:space="preserve">Income Taxes </w:t>
      </w:r>
      <w:r>
        <w:rPr>
          <w:rFonts w:ascii="Arial" w:cs="Arial" w:eastAsia="Arial" w:hAnsi="Arial"/>
          <w:sz w:val="15"/>
          <w:szCs w:val="15"/>
          <w:b w:val="1"/>
          <w:bCs w:val="1"/>
          <w:i w:val="1"/>
          <w:iCs w:val="1"/>
          <w:color w:val="32406B"/>
        </w:rPr>
        <w:t>Cayman Islands</w:t>
      </w:r>
    </w:p>
    <w:p>
      <w:pPr>
        <w:spacing w:after="0" w:line="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32406B"/>
        </w:rPr>
        <w:t>Under the current tax laws of Cayman Islands, the Company is not subject to income, corporation or capital gains tax, and no withholding tax is imposed upon the payment of dividends.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British Virgin Islands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32406B"/>
        </w:rPr>
        <w:t>Under the current laws of the British Virgin Islands, entities incorporated in the British Virgin Islands are not subject to tax on their income or capital gains.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Hong Kong</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32406B"/>
        </w:rPr>
        <w:t>Under the current Hong Kong Inland Revenue Ordinance, the Group’s subsidiaries in Hong Kong are subject to 16.5% Hong Kong profit tax on its taxable income generated from operations in Hong Kong. Additionally, payments of dividends by the subsidiaries incorporated in Hong Kong to the Company are not subject to any Hong Kong withholding tax.</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PRC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PRC Enterprise Income Tax (“EIT”)</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32406B"/>
        </w:rPr>
        <w:t>On March 16, 2007, the National People’s Congress of PRC enacted the Enterprise Income Tax Law (the “new CIT Law”), under which foreign invested enterprises (“FIEs”) and domestic companies would be subject to enterprise income tax (“EIT ”) at a uniform rate of 25%. The new CIT law became effective on January 1, 2008. In accordance with the implementation rules of EIT Law, a qualified “High and New Technology Enterprise” (“HNTE”) is eligible for a preferential tax rate of 15%. The HNTE certificate is effective for a period of three years. An entity could re-apply for the HNTE certificate when the prior certificate expires.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32406B"/>
        </w:rPr>
        <w:t>The WFOE (Hangzhou Tuya Information Technology Co., Ltd.) obtained its HNTE certificate with a valid period of three years in 2018. Therefore, the WFOE is eligible to enjoy a preferential tax rate of 15% from 2018 to 2020 to the extent it has taxable income under the EIT Law, as long as it maintains the HNTE qualification and duly conducts relevant EIT filing procedures with the relevant tax authority.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PRC Withholding Income Tax on Dividends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32406B"/>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2406B"/>
        </w:rPr>
        <w:t>F-40</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32406B"/>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 FIE in China to its immediate holding company in Hong Kong can be subject to withholding tax at a rate of no more than 5% if the immediate holding company in Hong Kong owns directly at least 25% of the shares of the FIE and could be recognized as a Beneficial Owner of the dividend from PRC tax perspective.</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32406B"/>
        </w:rPr>
        <w:t>As of December 31, 2019 and 2020, the Company did not record any withholding tax on the retained earnings of its subsidiaries in the PRC as the Group does not have any plan to require its PRC subsidiaries to distribute their retained earnings and intends to retain them to operate and expand its business in the PRC.</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United States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The Company’s subsidiary in California, United States is subject to U.S. federal corporate tax and California corporate franchise tax on its taxable income as reported in its statutory financial statements adjusted in accordance with relevant U.S. tax laws. The applicable U.S. federal corporate tax rate is 21% and the California corporate franchise tax rate is 8.84% or minimum of $0.8, whatever is larger in 2019 and 2020.</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32406B"/>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 In addition, the California corporate franchise tax remained the same after the enactment of the Tax Act. The Company assessed the impact of Jobs Acts and concluded that it was not material to the Company.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As the Group incurred income tax expense mainly from PRC tax jurisdictions, the following information is based mainly on PRC income taxes.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Composition of income tax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components of loss before tax are as follow:</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40" w:type="dxa"/>
            <w:vAlign w:val="bottom"/>
            <w:gridSpan w:val="4"/>
          </w:tcPr>
          <w:p>
            <w:pPr>
              <w:ind w:left="18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32406B"/>
              </w:rPr>
              <w:t>2019</w:t>
            </w:r>
          </w:p>
        </w:tc>
        <w:tc>
          <w:tcPr>
            <w:tcW w:w="5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32406B"/>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Loss before tax</w:t>
            </w:r>
          </w:p>
        </w:tc>
        <w:tc>
          <w:tcPr>
            <w:tcW w:w="4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32406B"/>
              </w:rPr>
              <w:t>Loss from PRC entities</w:t>
            </w:r>
          </w:p>
        </w:tc>
        <w:tc>
          <w:tcPr>
            <w:tcW w:w="5680" w:type="dxa"/>
            <w:vAlign w:val="bottom"/>
            <w:gridSpan w:val="3"/>
          </w:tcPr>
          <w:p>
            <w:pPr>
              <w:jc w:val="right"/>
              <w:ind w:right="460"/>
              <w:spacing w:after="0"/>
              <w:rPr>
                <w:sz w:val="20"/>
                <w:szCs w:val="20"/>
                <w:color w:val="auto"/>
              </w:rPr>
            </w:pPr>
            <w:r>
              <w:rPr>
                <w:rFonts w:ascii="Arial" w:cs="Arial" w:eastAsia="Arial" w:hAnsi="Arial"/>
                <w:sz w:val="18"/>
                <w:szCs w:val="18"/>
                <w:color w:val="32406B"/>
              </w:rPr>
              <w:t>(60,761)</w:t>
            </w:r>
          </w:p>
        </w:tc>
        <w:tc>
          <w:tcPr>
            <w:tcW w:w="840" w:type="dxa"/>
            <w:vAlign w:val="bottom"/>
            <w:gridSpan w:val="2"/>
          </w:tcPr>
          <w:p>
            <w:pPr>
              <w:ind w:left="180"/>
              <w:spacing w:after="0"/>
              <w:rPr>
                <w:sz w:val="20"/>
                <w:szCs w:val="20"/>
                <w:color w:val="auto"/>
              </w:rPr>
            </w:pPr>
            <w:r>
              <w:rPr>
                <w:rFonts w:ascii="Arial" w:cs="Arial" w:eastAsia="Arial" w:hAnsi="Arial"/>
                <w:sz w:val="18"/>
                <w:szCs w:val="18"/>
                <w:color w:val="32406B"/>
                <w:w w:val="95"/>
              </w:rPr>
              <w:t>(54,776)</w:t>
            </w: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Loss from overseas entities</w:t>
            </w:r>
          </w:p>
        </w:tc>
        <w:tc>
          <w:tcPr>
            <w:tcW w:w="5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32406B"/>
              </w:rPr>
              <w:t>(9,592)</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92"/>
              </w:rPr>
              <w:t>(11,930)</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32406B"/>
              </w:rPr>
              <w:t>Total loss before tax</w:t>
            </w:r>
          </w:p>
        </w:tc>
        <w:tc>
          <w:tcPr>
            <w:tcW w:w="4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(70,353)</w:t>
            </w: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32406B"/>
                <w:w w:val="80"/>
              </w:rPr>
              <w:t>(66,706)</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5680" w:type="dxa"/>
            <w:vAlign w:val="bottom"/>
            <w:gridSpan w:val="3"/>
          </w:tcPr>
          <w:p>
            <w:pPr>
              <w:jc w:val="right"/>
              <w:ind w:right="4040"/>
              <w:spacing w:after="0"/>
              <w:rPr>
                <w:sz w:val="20"/>
                <w:szCs w:val="20"/>
                <w:color w:val="auto"/>
              </w:rPr>
            </w:pPr>
            <w:r>
              <w:rPr>
                <w:rFonts w:ascii="Arial" w:cs="Arial" w:eastAsia="Arial" w:hAnsi="Arial"/>
                <w:sz w:val="18"/>
                <w:szCs w:val="18"/>
                <w:color w:val="32406B"/>
              </w:rPr>
              <w:t>F-41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220" w:type="dxa"/>
            <w:vAlign w:val="bottom"/>
            <w:gridSpan w:val="4"/>
          </w:tcPr>
          <w:p>
            <w:pPr>
              <w:ind w:left="28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79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32406B"/>
              </w:rPr>
              <w:t>2019</w:t>
            </w:r>
          </w:p>
        </w:tc>
        <w:tc>
          <w:tcPr>
            <w:tcW w:w="8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32406B"/>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32406B"/>
              </w:rPr>
              <w:t>Current income tax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124</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206</w:t>
            </w:r>
          </w:p>
        </w:tc>
        <w:tc>
          <w:tcPr>
            <w:tcW w:w="4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32406B"/>
              </w:rPr>
              <w:t>Deferred income tax</w:t>
            </w: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32406B"/>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r>
      <w:tr>
        <w:trPr>
          <w:trHeight w:val="27"/>
        </w:trPr>
        <w:tc>
          <w:tcPr>
            <w:tcW w:w="7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32406B"/>
              </w:rPr>
              <w:t>124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206</w:t>
            </w:r>
          </w:p>
        </w:tc>
      </w:tr>
      <w:tr>
        <w:trPr>
          <w:trHeight w:val="20"/>
        </w:trPr>
        <w:tc>
          <w:tcPr>
            <w:tcW w:w="7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Reconciliation of the differences between statutory tax rate and the effective tax rate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Reconciliation of the differences between the statutory EIT rate applicable to losses of the consolidated entities and the income tax expenses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Group:</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32406B"/>
              </w:rPr>
              <w:t>Year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32406B"/>
              </w:rPr>
              <w:t>2019</w:t>
            </w:r>
          </w:p>
        </w:tc>
        <w:tc>
          <w:tcPr>
            <w:tcW w:w="10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32406B"/>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PRC Statutory income tax rate</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25.0%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25.0%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32406B"/>
              </w:rPr>
              <w:t>Effect on tax rates in different tax jurisdiction</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32406B"/>
              </w:rPr>
              <w:t>-3.2%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Income tax on tax holiday</w:t>
            </w:r>
            <w:r>
              <w:rPr>
                <w:rFonts w:ascii="Arial" w:cs="Arial" w:eastAsia="Arial" w:hAnsi="Arial"/>
                <w:sz w:val="15"/>
                <w:szCs w:val="15"/>
                <w:color w:val="32406B"/>
              </w:rPr>
              <w:t>(1)</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-8.6%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-3.0%</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660" w:type="dxa"/>
            <w:vAlign w:val="bottom"/>
            <w:gridSpan w:val="2"/>
          </w:tcPr>
          <w:p>
            <w:pPr>
              <w:spacing w:after="0" w:line="201" w:lineRule="exact"/>
              <w:rPr>
                <w:sz w:val="20"/>
                <w:szCs w:val="20"/>
                <w:color w:val="auto"/>
              </w:rPr>
            </w:pPr>
            <w:r>
              <w:rPr>
                <w:rFonts w:ascii="Arial" w:cs="Arial" w:eastAsia="Arial" w:hAnsi="Arial"/>
                <w:sz w:val="18"/>
                <w:szCs w:val="18"/>
                <w:color w:val="32406B"/>
              </w:rPr>
              <w:t>Additional deduction for research and</w:t>
            </w: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100" w:type="dxa"/>
            <w:vAlign w:val="bottom"/>
            <w:gridSpan w:val="3"/>
          </w:tcPr>
          <w:p>
            <w:pPr>
              <w:ind w:left="440"/>
              <w:spacing w:after="0"/>
              <w:rPr>
                <w:sz w:val="20"/>
                <w:szCs w:val="20"/>
                <w:color w:val="auto"/>
              </w:rPr>
            </w:pPr>
            <w:r>
              <w:rPr>
                <w:rFonts w:ascii="Arial" w:cs="Arial" w:eastAsia="Arial" w:hAnsi="Arial"/>
                <w:sz w:val="18"/>
                <w:szCs w:val="18"/>
                <w:color w:val="32406B"/>
              </w:rPr>
              <w:t>development expenditures</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32406B"/>
              </w:rPr>
              <w:t>4.4%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Share-based compensation</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-7.4%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32406B"/>
              </w:rPr>
              <w:t>Permanent book-tax differences</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32406B"/>
              </w:rPr>
              <w:t>5.6%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Change in valuation allowance</w:t>
            </w:r>
            <w:r>
              <w:rPr>
                <w:rFonts w:ascii="Arial" w:cs="Arial" w:eastAsia="Arial" w:hAnsi="Arial"/>
                <w:sz w:val="15"/>
                <w:szCs w:val="15"/>
                <w:color w:val="32406B"/>
              </w:rPr>
              <w:t>(2)</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32406B"/>
              </w:rPr>
              <w:t>-16.0%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-24.3%</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440"/>
              <w:spacing w:after="0"/>
              <w:rPr>
                <w:sz w:val="20"/>
                <w:szCs w:val="20"/>
                <w:color w:val="auto"/>
              </w:rPr>
            </w:pPr>
            <w:r>
              <w:rPr>
                <w:rFonts w:ascii="Arial" w:cs="Arial" w:eastAsia="Arial" w:hAnsi="Arial"/>
                <w:sz w:val="18"/>
                <w:szCs w:val="18"/>
                <w:color w:val="32406B"/>
              </w:rPr>
              <w:t>Effective tax rates</w:t>
            </w:r>
          </w:p>
        </w:tc>
        <w:tc>
          <w:tcPr>
            <w:tcW w:w="6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gridSpan w:val="3"/>
            <w:vMerge w:val="continue"/>
          </w:tcPr>
          <w:p>
            <w:pPr>
              <w:spacing w:after="0"/>
              <w:rPr>
                <w:sz w:val="19"/>
                <w:szCs w:val="19"/>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32406B"/>
              </w:rPr>
              <w:t>-0.2%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32406B"/>
              </w:rPr>
              <w:t>-0.3%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32406B"/>
            </w:tcBorders>
          </w:tcPr>
          <w:p>
            <w:pPr>
              <w:spacing w:after="0"/>
              <w:rPr>
                <w:sz w:val="11"/>
                <w:szCs w:val="11"/>
                <w:color w:val="auto"/>
              </w:rPr>
            </w:pPr>
          </w:p>
        </w:tc>
        <w:tc>
          <w:tcPr>
            <w:tcW w:w="780" w:type="dxa"/>
            <w:vAlign w:val="bottom"/>
            <w:tcBorders>
              <w:bottom w:val="single" w:sz="8" w:color="32406B"/>
            </w:tcBorders>
          </w:tcPr>
          <w:p>
            <w:pPr>
              <w:spacing w:after="0"/>
              <w:rPr>
                <w:sz w:val="11"/>
                <w:szCs w:val="11"/>
                <w:color w:val="auto"/>
              </w:rPr>
            </w:pPr>
          </w:p>
        </w:tc>
        <w:tc>
          <w:tcPr>
            <w:tcW w:w="6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91" w:lineRule="auto"/>
        <w:tabs>
          <w:tab w:leader="none" w:pos="540" w:val="left"/>
        </w:tabs>
        <w:numPr>
          <w:ilvl w:val="0"/>
          <w:numId w:val="148"/>
        </w:numPr>
        <w:rPr>
          <w:rFonts w:ascii="Arial" w:cs="Arial" w:eastAsia="Arial" w:hAnsi="Arial"/>
          <w:sz w:val="16"/>
          <w:szCs w:val="16"/>
          <w:color w:val="32406B"/>
        </w:rPr>
      </w:pPr>
      <w:r>
        <w:rPr>
          <w:rFonts w:ascii="Arial" w:cs="Arial" w:eastAsia="Arial" w:hAnsi="Arial"/>
          <w:sz w:val="16"/>
          <w:szCs w:val="16"/>
          <w:color w:val="32406B"/>
        </w:rPr>
        <w:t>The income tax on tax holidays represents the effect of preferential income tax rate that WFOE qualified as an HNTE is entitled to enjoy the beneficial tax rate of 15% for the years ended December 31, 2019 and 2020. WFOE will need to re-apply for HNTE qualification renewal in 2021.</w:t>
      </w:r>
    </w:p>
    <w:p>
      <w:pPr>
        <w:ind w:left="540" w:right="20" w:hanging="424"/>
        <w:spacing w:after="0" w:line="255" w:lineRule="auto"/>
        <w:tabs>
          <w:tab w:leader="none" w:pos="540" w:val="left"/>
        </w:tabs>
        <w:numPr>
          <w:ilvl w:val="0"/>
          <w:numId w:val="148"/>
        </w:numPr>
        <w:rPr>
          <w:rFonts w:ascii="Arial" w:cs="Arial" w:eastAsia="Arial" w:hAnsi="Arial"/>
          <w:sz w:val="18"/>
          <w:szCs w:val="18"/>
          <w:color w:val="32406B"/>
        </w:rPr>
      </w:pPr>
      <w:r>
        <w:rPr>
          <w:rFonts w:ascii="Arial" w:cs="Arial" w:eastAsia="Arial" w:hAnsi="Arial"/>
          <w:sz w:val="18"/>
          <w:szCs w:val="18"/>
          <w:color w:val="32406B"/>
        </w:rPr>
        <w:t>Valuation allowance for the years ended December 31, 2019 and 2020 are related to the deferred tax assets of certain group entities which reported loss. The Group believed that it is more likely than not that these the deferred tax assets of these entities will not be utilized. Therefore, valuation allowance has been provided.</w:t>
      </w:r>
    </w:p>
    <w:p>
      <w:pPr>
        <w:spacing w:after="0" w:line="297"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b w:val="1"/>
          <w:bCs w:val="1"/>
          <w:i w:val="1"/>
          <w:iCs w:val="1"/>
          <w:color w:val="32406B"/>
        </w:rPr>
        <w:t>Deferred tax assets and deferred tax liabilities</w:t>
      </w:r>
    </w:p>
    <w:p>
      <w:pPr>
        <w:spacing w:after="0" w:line="117"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color w:val="32406B"/>
        </w:rPr>
        <w:t>The following table sets forth the significant components of the deferred tax assets: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32406B"/>
                <w:w w:val="91"/>
              </w:rPr>
              <w:t>As of</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1"/>
              </w:rPr>
              <w:t>As of</w:t>
            </w:r>
          </w:p>
        </w:tc>
      </w:tr>
      <w:tr>
        <w:trPr>
          <w:trHeight w:val="149"/>
        </w:trPr>
        <w:tc>
          <w:tcPr>
            <w:tcW w:w="40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92"/>
              </w:rPr>
              <w:t>December 31,</w:t>
            </w:r>
          </w:p>
        </w:tc>
      </w:tr>
      <w:tr>
        <w:trPr>
          <w:trHeight w:val="171"/>
        </w:trPr>
        <w:tc>
          <w:tcPr>
            <w:tcW w:w="4000" w:type="dxa"/>
            <w:vAlign w:val="bottom"/>
          </w:tcPr>
          <w:p>
            <w:pPr>
              <w:spacing w:after="0"/>
              <w:rPr>
                <w:sz w:val="14"/>
                <w:szCs w:val="14"/>
                <w:color w:val="auto"/>
              </w:rPr>
            </w:pPr>
          </w:p>
        </w:tc>
        <w:tc>
          <w:tcPr>
            <w:tcW w:w="4680" w:type="dxa"/>
            <w:vAlign w:val="bottom"/>
            <w:gridSpan w:val="2"/>
          </w:tcPr>
          <w:p>
            <w:pPr>
              <w:jc w:val="center"/>
              <w:ind w:left="3753"/>
              <w:spacing w:after="0"/>
              <w:rPr>
                <w:sz w:val="20"/>
                <w:szCs w:val="20"/>
                <w:color w:val="auto"/>
              </w:rPr>
            </w:pPr>
            <w:r>
              <w:rPr>
                <w:rFonts w:ascii="Arial" w:cs="Arial" w:eastAsia="Arial" w:hAnsi="Arial"/>
                <w:sz w:val="14"/>
                <w:szCs w:val="14"/>
                <w:b w:val="1"/>
                <w:bCs w:val="1"/>
                <w:color w:val="32406B"/>
                <w:w w:val="89"/>
              </w:rPr>
              <w:t>2019</w:t>
            </w: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32406B"/>
                <w:w w:val="89"/>
              </w:rPr>
              <w:t>2020</w:t>
            </w:r>
          </w:p>
        </w:tc>
        <w:tc>
          <w:tcPr>
            <w:tcW w:w="100" w:type="dxa"/>
            <w:vAlign w:val="bottom"/>
          </w:tcPr>
          <w:p>
            <w:pPr>
              <w:spacing w:after="0"/>
              <w:rPr>
                <w:sz w:val="14"/>
                <w:szCs w:val="14"/>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Deferred tax assets</w:t>
            </w:r>
          </w:p>
        </w:tc>
        <w:tc>
          <w:tcPr>
            <w:tcW w:w="38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32406B"/>
              </w:rPr>
              <w:t>Net accumulated losses-carry forward</w:t>
            </w:r>
          </w:p>
        </w:tc>
        <w:tc>
          <w:tcPr>
            <w:tcW w:w="5180" w:type="dxa"/>
            <w:vAlign w:val="bottom"/>
            <w:gridSpan w:val="3"/>
          </w:tcPr>
          <w:p>
            <w:pPr>
              <w:jc w:val="right"/>
              <w:ind w:right="500"/>
              <w:spacing w:after="0"/>
              <w:rPr>
                <w:sz w:val="20"/>
                <w:szCs w:val="20"/>
                <w:color w:val="auto"/>
              </w:rPr>
            </w:pPr>
            <w:r>
              <w:rPr>
                <w:rFonts w:ascii="Arial" w:cs="Arial" w:eastAsia="Arial" w:hAnsi="Arial"/>
                <w:sz w:val="18"/>
                <w:szCs w:val="18"/>
                <w:color w:val="32406B"/>
              </w:rPr>
              <w:t>19,310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2406B"/>
              </w:rPr>
              <w:t>33,277</w:t>
            </w: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Payroll liabilities</w:t>
            </w:r>
          </w:p>
        </w:tc>
        <w:tc>
          <w:tcPr>
            <w:tcW w:w="5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32406B"/>
              </w:rPr>
              <w:t>1,795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3,836</w:t>
            </w: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32406B"/>
              </w:rPr>
              <w:t>Inventory write-downs</w:t>
            </w:r>
          </w:p>
        </w:tc>
        <w:tc>
          <w:tcPr>
            <w:tcW w:w="5180" w:type="dxa"/>
            <w:vAlign w:val="bottom"/>
            <w:gridSpan w:val="3"/>
          </w:tcPr>
          <w:p>
            <w:pPr>
              <w:jc w:val="right"/>
              <w:ind w:right="500"/>
              <w:spacing w:after="0"/>
              <w:rPr>
                <w:sz w:val="20"/>
                <w:szCs w:val="20"/>
                <w:color w:val="auto"/>
              </w:rPr>
            </w:pPr>
            <w:r>
              <w:rPr>
                <w:rFonts w:ascii="Arial" w:cs="Arial" w:eastAsia="Arial" w:hAnsi="Arial"/>
                <w:sz w:val="18"/>
                <w:szCs w:val="18"/>
                <w:color w:val="32406B"/>
              </w:rPr>
              <w:t>43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2406B"/>
              </w:rPr>
              <w:t>183</w:t>
            </w: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Receivables allowances</w:t>
            </w:r>
          </w:p>
        </w:tc>
        <w:tc>
          <w:tcPr>
            <w:tcW w:w="5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32406B"/>
              </w:rPr>
              <w:t>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83</w:t>
            </w: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32406B"/>
              </w:rPr>
              <w:t>Other deductible temporary difference</w:t>
            </w:r>
          </w:p>
        </w:tc>
        <w:tc>
          <w:tcPr>
            <w:tcW w:w="38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2406B"/>
              </w:rPr>
              <w:t>26</w:t>
            </w: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Less: valuation allowance</w:t>
            </w:r>
          </w:p>
        </w:tc>
        <w:tc>
          <w:tcPr>
            <w:tcW w:w="5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32406B"/>
              </w:rPr>
              <w:t>(21,205)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(37,405)</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32406B"/>
              </w:rPr>
              <w:t>Total deferred tax assets</w:t>
            </w:r>
          </w:p>
        </w:tc>
        <w:tc>
          <w:tcPr>
            <w:tcW w:w="3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5180" w:type="dxa"/>
            <w:vAlign w:val="bottom"/>
            <w:gridSpan w:val="3"/>
          </w:tcPr>
          <w:p>
            <w:pPr>
              <w:jc w:val="right"/>
              <w:ind w:right="3940"/>
              <w:spacing w:after="0"/>
              <w:rPr>
                <w:sz w:val="20"/>
                <w:szCs w:val="20"/>
                <w:color w:val="auto"/>
              </w:rPr>
            </w:pPr>
            <w:r>
              <w:rPr>
                <w:rFonts w:ascii="Arial" w:cs="Arial" w:eastAsia="Arial" w:hAnsi="Arial"/>
                <w:sz w:val="18"/>
                <w:szCs w:val="18"/>
                <w:color w:val="32406B"/>
              </w:rPr>
              <w:t>F-42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32406B"/>
        </w:rPr>
        <w:t>As of December 31, 2020, the Group had tax losses carry forwards of approximately US$195,292, which mainly arose from its subsidiaries established in the PRC. These tax losses carry forwards from PRC entities will expire during the period from 2021 to 2030 as follows: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60" w:type="dxa"/>
            <w:vAlign w:val="bottom"/>
            <w:gridSpan w:val="2"/>
          </w:tcPr>
          <w:p>
            <w:pPr>
              <w:spacing w:after="0"/>
              <w:rPr>
                <w:sz w:val="20"/>
                <w:szCs w:val="20"/>
                <w:color w:val="auto"/>
              </w:rPr>
            </w:pPr>
            <w:r>
              <w:rPr>
                <w:rFonts w:ascii="Arial" w:cs="Arial" w:eastAsia="Arial" w:hAnsi="Arial"/>
                <w:sz w:val="14"/>
                <w:szCs w:val="14"/>
                <w:b w:val="1"/>
                <w:bCs w:val="1"/>
                <w:color w:val="32406B"/>
              </w:rPr>
              <w:t>At December 31,</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32406B"/>
              </w:rPr>
              <w:t>US$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32406B"/>
              </w:rPr>
              <w:t>2021</w:t>
            </w:r>
          </w:p>
        </w:tc>
        <w:tc>
          <w:tcPr>
            <w:tcW w:w="60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328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32406B"/>
              </w:rPr>
              <w:t>2022</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32406B"/>
              </w:rPr>
              <w:t>475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32406B"/>
              </w:rPr>
              <w:t>2023</w:t>
            </w: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119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32406B"/>
              </w:rPr>
              <w:t>2024</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32406B"/>
              </w:rPr>
              <w:t>251</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32406B"/>
              </w:rPr>
              <w:t>2025</w:t>
            </w: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83"/>
              </w:rPr>
              <w:t>39,262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32406B"/>
              </w:rPr>
              <w:t>2026</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32406B"/>
              </w:rPr>
              <w:t>2,455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32406B"/>
              </w:rPr>
              <w:t>2027</w:t>
            </w: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5,637</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32406B"/>
              </w:rPr>
              <w:t>2028</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32406B"/>
                <w:w w:val="83"/>
              </w:rPr>
              <w:t>34,550</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32406B"/>
              </w:rPr>
              <w:t>2029</w:t>
            </w: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83"/>
              </w:rPr>
              <w:t>74,715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32406B"/>
              </w:rPr>
              <w:t>2030</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32406B"/>
                <w:w w:val="83"/>
              </w:rPr>
              <w:t>20,846</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32406B"/>
              </w:rPr>
              <w:t>178,638</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5"/>
            <w:vMerge w:val="restart"/>
          </w:tcPr>
          <w:p>
            <w:pPr>
              <w:ind w:left="440"/>
              <w:spacing w:after="0"/>
              <w:rPr>
                <w:sz w:val="20"/>
                <w:szCs w:val="20"/>
                <w:color w:val="auto"/>
              </w:rPr>
            </w:pPr>
            <w:r>
              <w:rPr>
                <w:rFonts w:ascii="Arial" w:cs="Arial" w:eastAsia="Arial" w:hAnsi="Arial"/>
                <w:sz w:val="18"/>
                <w:szCs w:val="18"/>
                <w:i w:val="1"/>
                <w:iCs w:val="1"/>
                <w:color w:val="32406B"/>
              </w:rPr>
              <w:t>Movement of valuation allowance</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4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120" w:type="dxa"/>
            <w:vAlign w:val="bottom"/>
            <w:gridSpan w:val="8"/>
          </w:tcPr>
          <w:p>
            <w:pPr>
              <w:ind w:left="240"/>
              <w:spacing w:after="0"/>
              <w:rPr>
                <w:sz w:val="20"/>
                <w:szCs w:val="20"/>
                <w:color w:val="auto"/>
              </w:rPr>
            </w:pPr>
            <w:r>
              <w:rPr>
                <w:rFonts w:ascii="Arial" w:cs="Arial" w:eastAsia="Arial" w:hAnsi="Arial"/>
                <w:sz w:val="14"/>
                <w:szCs w:val="14"/>
                <w:b w:val="1"/>
                <w:bCs w:val="1"/>
                <w:color w:val="32406B"/>
              </w:rPr>
              <w:t>Year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32406B"/>
              </w:rPr>
              <w:t>2019</w:t>
            </w:r>
          </w:p>
        </w:tc>
        <w:tc>
          <w:tcPr>
            <w:tcW w:w="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ind w:left="940"/>
              <w:spacing w:after="0" w:line="142" w:lineRule="exact"/>
              <w:rPr>
                <w:sz w:val="20"/>
                <w:szCs w:val="20"/>
                <w:color w:val="auto"/>
              </w:rPr>
            </w:pPr>
            <w:r>
              <w:rPr>
                <w:rFonts w:ascii="Arial" w:cs="Arial" w:eastAsia="Arial" w:hAnsi="Arial"/>
                <w:sz w:val="14"/>
                <w:szCs w:val="14"/>
                <w:b w:val="1"/>
                <w:bCs w:val="1"/>
                <w:color w:val="32406B"/>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0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32406B"/>
              </w:rPr>
              <w:t>Balance at beginning of the year</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9,914</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3"/>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32406B"/>
                <w:w w:val="87"/>
              </w:rPr>
              <w:t>21,205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000" w:type="dxa"/>
            <w:vAlign w:val="bottom"/>
            <w:gridSpan w:val="4"/>
          </w:tcPr>
          <w:p>
            <w:pPr>
              <w:spacing w:after="0"/>
              <w:rPr>
                <w:sz w:val="20"/>
                <w:szCs w:val="20"/>
                <w:color w:val="auto"/>
              </w:rPr>
            </w:pPr>
            <w:r>
              <w:rPr>
                <w:rFonts w:ascii="Arial" w:cs="Arial" w:eastAsia="Arial" w:hAnsi="Arial"/>
                <w:sz w:val="18"/>
                <w:szCs w:val="18"/>
                <w:color w:val="32406B"/>
              </w:rPr>
              <w:t>Changes of valuation allowance</w:t>
            </w:r>
            <w:r>
              <w:rPr>
                <w:rFonts w:ascii="Arial" w:cs="Arial" w:eastAsia="Arial" w:hAnsi="Arial"/>
                <w:sz w:val="15"/>
                <w:szCs w:val="15"/>
                <w:color w:val="32406B"/>
              </w:rPr>
              <w:t>(1)</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32406B"/>
              </w:rPr>
              <w:t>11,291</w:t>
            </w:r>
          </w:p>
        </w:tc>
        <w:tc>
          <w:tcPr>
            <w:tcW w:w="1480" w:type="dxa"/>
            <w:vAlign w:val="bottom"/>
            <w:gridSpan w:val="5"/>
          </w:tcPr>
          <w:p>
            <w:pPr>
              <w:ind w:left="940"/>
              <w:spacing w:after="0"/>
              <w:rPr>
                <w:sz w:val="20"/>
                <w:szCs w:val="20"/>
                <w:color w:val="auto"/>
              </w:rPr>
            </w:pPr>
            <w:r>
              <w:rPr>
                <w:rFonts w:ascii="Arial" w:cs="Arial" w:eastAsia="Arial" w:hAnsi="Arial"/>
                <w:sz w:val="18"/>
                <w:szCs w:val="18"/>
                <w:color w:val="32406B"/>
                <w:w w:val="94"/>
              </w:rPr>
              <w:t>16,200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000" w:type="dxa"/>
            <w:vAlign w:val="bottom"/>
            <w:gridSpan w:val="4"/>
            <w:shd w:val="clear" w:color="auto" w:fill="CCEEFF"/>
          </w:tcPr>
          <w:p>
            <w:pPr>
              <w:spacing w:after="0"/>
              <w:rPr>
                <w:sz w:val="20"/>
                <w:szCs w:val="20"/>
                <w:color w:val="auto"/>
              </w:rPr>
            </w:pPr>
            <w:r>
              <w:rPr>
                <w:rFonts w:ascii="Arial" w:cs="Arial" w:eastAsia="Arial" w:hAnsi="Arial"/>
                <w:sz w:val="18"/>
                <w:szCs w:val="18"/>
                <w:color w:val="32406B"/>
              </w:rPr>
              <w:t>Balance at end of the year</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21,205</w:t>
            </w:r>
          </w:p>
        </w:tc>
        <w:tc>
          <w:tcPr>
            <w:tcW w:w="1480" w:type="dxa"/>
            <w:vAlign w:val="bottom"/>
            <w:gridSpan w:val="5"/>
            <w:shd w:val="clear" w:color="auto" w:fill="CCEEFF"/>
          </w:tcPr>
          <w:p>
            <w:pPr>
              <w:ind w:left="940"/>
              <w:spacing w:after="0"/>
              <w:rPr>
                <w:sz w:val="20"/>
                <w:szCs w:val="20"/>
                <w:color w:val="auto"/>
              </w:rPr>
            </w:pPr>
            <w:r>
              <w:rPr>
                <w:rFonts w:ascii="Arial" w:cs="Arial" w:eastAsia="Arial" w:hAnsi="Arial"/>
                <w:sz w:val="18"/>
                <w:szCs w:val="18"/>
                <w:color w:val="32406B"/>
                <w:w w:val="94"/>
              </w:rPr>
              <w:t>37,405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32406B"/>
            </w:tcBorders>
          </w:tcPr>
          <w:p>
            <w:pPr>
              <w:spacing w:after="0"/>
              <w:rPr>
                <w:sz w:val="11"/>
                <w:szCs w:val="11"/>
                <w:color w:val="auto"/>
              </w:rPr>
            </w:pPr>
          </w:p>
        </w:tc>
        <w:tc>
          <w:tcPr>
            <w:tcW w:w="780" w:type="dxa"/>
            <w:vAlign w:val="bottom"/>
            <w:tcBorders>
              <w:bottom w:val="single" w:sz="8" w:color="32406B"/>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75" w:lineRule="auto"/>
        <w:tabs>
          <w:tab w:leader="none" w:pos="540" w:val="left"/>
        </w:tabs>
        <w:numPr>
          <w:ilvl w:val="0"/>
          <w:numId w:val="149"/>
        </w:numPr>
        <w:rPr>
          <w:rFonts w:ascii="Arial" w:cs="Arial" w:eastAsia="Arial" w:hAnsi="Arial"/>
          <w:sz w:val="17"/>
          <w:szCs w:val="17"/>
          <w:color w:val="32406B"/>
        </w:rPr>
      </w:pPr>
      <w:r>
        <w:rPr>
          <w:rFonts w:ascii="Arial" w:cs="Arial" w:eastAsia="Arial" w:hAnsi="Arial"/>
          <w:sz w:val="17"/>
          <w:szCs w:val="17"/>
          <w:color w:val="32406B"/>
        </w:rPr>
        <w:t>Valuation allowances have been provided against deferred tax assets when the Group determines that it is more likely than not that the deferred tax assets will not be utilized in the future. In making such determination, the Group evaluates a variety of factors including the Group’s entities’ operating history, accumulated deficit, existence of taxable temporary differences and reversal periods. As of December 31, 2019 and 2020, full valuation allowances on deferred tax assets were provided because it was more likely than not that the Group will not be able to utilize tax loss carry forwards and other temporary tax difference generated by its unprofitable subsidiaries and the VIE.</w:t>
      </w:r>
    </w:p>
    <w:p>
      <w:pPr>
        <w:spacing w:after="0" w:line="321"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32406B"/>
        </w:rPr>
      </w:pPr>
      <w:r>
        <w:rPr>
          <w:rFonts w:ascii="Arial" w:cs="Arial" w:eastAsia="Arial" w:hAnsi="Arial"/>
          <w:sz w:val="18"/>
          <w:szCs w:val="18"/>
          <w:b w:val="1"/>
          <w:bCs w:val="1"/>
          <w:color w:val="32406B"/>
        </w:rPr>
        <w:t>Basic and Diluted Net Loss per Share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Basic and diluted loss per share have been calculated in accordance with ASC 260 on computation of earnings (loss) per share for each of the year ended December 31, 2019 and 2020 are calculated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32406B"/>
              </w:rPr>
              <w:t>Year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32406B"/>
              </w:rPr>
              <w:t>2019</w:t>
            </w:r>
          </w:p>
        </w:tc>
        <w:tc>
          <w:tcPr>
            <w:tcW w:w="22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Basic and diluted net loss per share calculation</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32406B"/>
              </w:rPr>
              <w:t>Numerator: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Net loss attributable to Tuya Inc.’s ordinary shareholders, basic and diluted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(73,907)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(66,912)</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32406B"/>
              </w:rPr>
              <w:t>Denominator:</w:t>
            </w: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Weighted-average ordinary shares outstanding, basic and diluted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221,980,000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221,980,000</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32406B"/>
              </w:rPr>
              <w:t>Net loss per share attributable to ordinary shareholders:</w:t>
            </w: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Basic</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(0.33)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(0.30)</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32406B"/>
              </w:rPr>
              <w:t>Diluted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32406B"/>
              </w:rPr>
              <w:t>(0.33)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32406B"/>
              </w:rPr>
              <w:t>(0.30)</w:t>
            </w:r>
          </w:p>
        </w:tc>
      </w:tr>
      <w:tr>
        <w:trPr>
          <w:trHeight w:val="350"/>
        </w:trPr>
        <w:tc>
          <w:tcPr>
            <w:tcW w:w="7580" w:type="dxa"/>
            <w:vAlign w:val="bottom"/>
          </w:tcPr>
          <w:p>
            <w:pPr>
              <w:ind w:left="4900"/>
              <w:spacing w:after="0"/>
              <w:rPr>
                <w:sz w:val="20"/>
                <w:szCs w:val="20"/>
                <w:color w:val="auto"/>
              </w:rPr>
            </w:pPr>
            <w:r>
              <w:rPr>
                <w:rFonts w:ascii="Arial" w:cs="Arial" w:eastAsia="Arial" w:hAnsi="Arial"/>
                <w:sz w:val="18"/>
                <w:szCs w:val="18"/>
                <w:color w:val="32406B"/>
              </w:rPr>
              <w:t>F-43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32406B"/>
        </w:rPr>
        <w:t>The following ordinary shares equivalent were excluded from the computation of diluted net loss per ordinary share for the periods presented because including them would have had an anti-dilutive effect:</w:t>
      </w:r>
    </w:p>
    <w:p>
      <w:pPr>
        <w:spacing w:after="0" w:line="189"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32406B"/>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6350</wp:posOffset>
            </wp:positionV>
            <wp:extent cx="16287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8480"/>
        <w:spacing w:after="0"/>
        <w:tabs>
          <w:tab w:leader="none" w:pos="9860" w:val="left"/>
        </w:tabs>
        <w:rPr>
          <w:sz w:val="20"/>
          <w:szCs w:val="20"/>
          <w:color w:val="auto"/>
        </w:rPr>
      </w:pP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2020</w:t>
      </w:r>
    </w:p>
    <w:tbl>
      <w:tblPr>
        <w:tblLayout w:type="fixed"/>
        <w:tblInd w:w="560" w:type="dxa"/>
        <w:tblCellMar>
          <w:top w:w="0" w:type="dxa"/>
          <w:left w:w="0" w:type="dxa"/>
          <w:bottom w:w="0" w:type="dxa"/>
          <w:right w:w="0" w:type="dxa"/>
        </w:tblCellMar>
      </w:tblP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Preferred Shares—weighted shares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279,377,303</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278,163,799</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32406B"/>
              </w:rPr>
              <w:t>Share option—weighted shares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32406B"/>
              </w:rPr>
              <w:t>35,867,233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32406B"/>
              </w:rPr>
              <w:t>44,743,156</w:t>
            </w:r>
          </w:p>
        </w:tc>
      </w:tr>
    </w:tbl>
    <w:p>
      <w:pPr>
        <w:spacing w:after="0" w:line="332"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32406B"/>
        </w:rPr>
      </w:pPr>
      <w:r>
        <w:rPr>
          <w:rFonts w:ascii="Arial" w:cs="Arial" w:eastAsia="Arial" w:hAnsi="Arial"/>
          <w:sz w:val="18"/>
          <w:szCs w:val="18"/>
          <w:b w:val="1"/>
          <w:bCs w:val="1"/>
          <w:color w:val="32406B"/>
        </w:rPr>
        <w:t>Commitments and Contingencies</w:t>
      </w:r>
    </w:p>
    <w:p>
      <w:pPr>
        <w:spacing w:after="0" w:line="121" w:lineRule="exact"/>
        <w:rPr>
          <w:rFonts w:ascii="Arial" w:cs="Arial" w:eastAsia="Arial" w:hAnsi="Arial"/>
          <w:sz w:val="18"/>
          <w:szCs w:val="18"/>
          <w:b w:val="1"/>
          <w:bCs w:val="1"/>
          <w:color w:val="32406B"/>
        </w:rPr>
      </w:pPr>
    </w:p>
    <w:p>
      <w:pPr>
        <w:ind w:left="560"/>
        <w:spacing w:after="0"/>
        <w:rPr>
          <w:rFonts w:ascii="Arial" w:cs="Arial" w:eastAsia="Arial" w:hAnsi="Arial"/>
          <w:sz w:val="18"/>
          <w:szCs w:val="18"/>
          <w:b w:val="1"/>
          <w:bCs w:val="1"/>
          <w:color w:val="32406B"/>
        </w:rPr>
      </w:pPr>
      <w:r>
        <w:rPr>
          <w:rFonts w:ascii="Arial" w:cs="Arial" w:eastAsia="Arial" w:hAnsi="Arial"/>
          <w:sz w:val="18"/>
          <w:szCs w:val="18"/>
          <w:color w:val="32406B"/>
        </w:rPr>
        <w:t>(a) Capital and other commitments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There is no future minimum capital commitments as of December 31, 2019 and 2020.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(b) Operating lease commitment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Group had outstanding commitments on several non-cancellable operating lease agreements. Operating lease commitment within one year or less lease term, for which the Group elected not recognize any lease liability or right-of-use asset, therefore not yet reflected in the consolidated financial statements as of December 31, 2019 and 2020 were US$343 and US$48,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(c) Services purchase commitment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As of December 31, 2019, the Group’s services purchase commitments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32406B"/>
              </w:rPr>
              <w:t>Total</w:t>
            </w: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32406B"/>
                <w:w w:val="89"/>
              </w:rPr>
              <w:t>Less Than 1 year</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32406B"/>
                <w:w w:val="88"/>
              </w:rPr>
              <w:t>1-3 years</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Purchase obligations</w:t>
            </w:r>
            <w:r>
              <w:rPr>
                <w:rFonts w:ascii="Arial" w:cs="Arial" w:eastAsia="Arial" w:hAnsi="Arial"/>
                <w:sz w:val="15"/>
                <w:szCs w:val="15"/>
                <w:color w:val="32406B"/>
              </w:rPr>
              <w:t>(i)</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32406B"/>
                <w:w w:val="84"/>
              </w:rPr>
              <w:t>2,924</w:t>
            </w:r>
          </w:p>
        </w:tc>
        <w:tc>
          <w:tcPr>
            <w:tcW w:w="6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2,924</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As of December 31, 2020, the Group’s products and services purchase commitments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32406B"/>
              </w:rPr>
              <w:t>Total</w:t>
            </w: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32406B"/>
                <w:w w:val="89"/>
              </w:rPr>
              <w:t>Less Than 1 year</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32406B"/>
                <w:w w:val="88"/>
              </w:rPr>
              <w:t>1-3 years</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Purchase obligations</w:t>
            </w:r>
            <w:r>
              <w:rPr>
                <w:rFonts w:ascii="Arial" w:cs="Arial" w:eastAsia="Arial" w:hAnsi="Arial"/>
                <w:sz w:val="15"/>
                <w:szCs w:val="15"/>
                <w:color w:val="32406B"/>
              </w:rPr>
              <w:t>(i)</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32406B"/>
                <w:w w:val="84"/>
              </w:rPr>
              <w:t>2,382</w:t>
            </w:r>
          </w:p>
        </w:tc>
        <w:tc>
          <w:tcPr>
            <w:tcW w:w="6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2,382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79" w:lineRule="auto"/>
        <w:tabs>
          <w:tab w:leader="none" w:pos="540" w:val="left"/>
        </w:tabs>
        <w:numPr>
          <w:ilvl w:val="0"/>
          <w:numId w:val="152"/>
        </w:numPr>
        <w:rPr>
          <w:rFonts w:ascii="Arial" w:cs="Arial" w:eastAsia="Arial" w:hAnsi="Arial"/>
          <w:sz w:val="17"/>
          <w:szCs w:val="17"/>
          <w:color w:val="32406B"/>
        </w:rPr>
      </w:pPr>
      <w:r>
        <w:rPr>
          <w:rFonts w:ascii="Arial" w:cs="Arial" w:eastAsia="Arial" w:hAnsi="Arial"/>
          <w:sz w:val="17"/>
          <w:szCs w:val="17"/>
          <w:color w:val="32406B"/>
        </w:rPr>
        <w:t>Purchase obligations represent US$2,924 and US$2,382 of remaining non-cancelable contractual commitments as of December 31, 2019 and 2020, respectively, related to one of the Group’s third-party cloud infrastructure agreement, under which the Group committed to spend an aggregate of at least US$3,000 between May 1, 2019 and April 30, 2022 with no minimum purchase commitment during any year. The Group had made payments totaling US$76 and US$618 under this agreement as of December 31, 2019 and 2020, respectively.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(d) Contingencies</w:t>
      </w:r>
    </w:p>
    <w:p>
      <w:pPr>
        <w:spacing w:after="0" w:line="117"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32406B"/>
        </w:rPr>
        <w:t>From time to time, the Group is subject to legal proceedings, investigations and claims incidental to the conduct of its business. As of December 31, 2019 and 2020, the Group was not involved in any legal or administrative proceedings that the Group believes may have a material adverse impact on the Group’s business, balance sheets or results of operations and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20. Related Party Transactions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32406B"/>
        </w:rPr>
        <w:t>There has been no related party transaction during year ended December 31, 2019. On December 30, 2020, the Company received the above subscription amount for ordinary shares issued of US$10 from the Founders.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F-44</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related party balance as of December 31, 2019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32406B"/>
                <w:w w:val="90"/>
              </w:rPr>
              <w:t>As of December 31,</w:t>
            </w:r>
          </w:p>
        </w:tc>
        <w:tc>
          <w:tcPr>
            <w:tcW w:w="1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32406B"/>
              </w:rPr>
              <w:t>As of December 31,</w:t>
            </w:r>
          </w:p>
        </w:tc>
      </w:tr>
      <w:tr>
        <w:trPr>
          <w:trHeight w:val="171"/>
        </w:trPr>
        <w:tc>
          <w:tcPr>
            <w:tcW w:w="6460" w:type="dxa"/>
            <w:vAlign w:val="bottom"/>
          </w:tcPr>
          <w:p>
            <w:pPr>
              <w:spacing w:after="0"/>
              <w:rPr>
                <w:sz w:val="14"/>
                <w:szCs w:val="14"/>
                <w:color w:val="auto"/>
              </w:rPr>
            </w:pPr>
          </w:p>
        </w:tc>
        <w:tc>
          <w:tcPr>
            <w:tcW w:w="1200" w:type="dxa"/>
            <w:vAlign w:val="bottom"/>
          </w:tcPr>
          <w:p>
            <w:pPr>
              <w:jc w:val="right"/>
              <w:ind w:right="382"/>
              <w:spacing w:after="0"/>
              <w:rPr>
                <w:sz w:val="20"/>
                <w:szCs w:val="20"/>
                <w:color w:val="auto"/>
              </w:rPr>
            </w:pPr>
            <w:r>
              <w:rPr>
                <w:rFonts w:ascii="Arial" w:cs="Arial" w:eastAsia="Arial" w:hAnsi="Arial"/>
                <w:sz w:val="14"/>
                <w:szCs w:val="14"/>
                <w:b w:val="1"/>
                <w:bCs w:val="1"/>
                <w:color w:val="32406B"/>
              </w:rPr>
              <w:t>2019</w:t>
            </w:r>
          </w:p>
        </w:tc>
        <w:tc>
          <w:tcPr>
            <w:tcW w:w="620" w:type="dxa"/>
            <w:vAlign w:val="bottom"/>
          </w:tcPr>
          <w:p>
            <w:pPr>
              <w:spacing w:after="0"/>
              <w:rPr>
                <w:sz w:val="14"/>
                <w:szCs w:val="14"/>
                <w:color w:val="auto"/>
              </w:rPr>
            </w:pPr>
          </w:p>
        </w:tc>
        <w:tc>
          <w:tcPr>
            <w:tcW w:w="18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32406B"/>
              </w:rPr>
              <w:t>2020</w:t>
            </w:r>
          </w:p>
        </w:tc>
        <w:tc>
          <w:tcPr>
            <w:tcW w:w="40" w:type="dxa"/>
            <w:vAlign w:val="bottom"/>
          </w:tcPr>
          <w:p>
            <w:pPr>
              <w:spacing w:after="0"/>
              <w:rPr>
                <w:sz w:val="14"/>
                <w:szCs w:val="14"/>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Receivables from shareholders (Note 14)</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21. Subsequent Events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32406B"/>
        </w:rPr>
        <w:t>The Company has evaluated subsequent events through February 26, 2021, which is the date these consolidated financial statements are available to be issued.</w:t>
      </w:r>
    </w:p>
    <w:p>
      <w:pPr>
        <w:spacing w:after="0" w:line="170"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32406B"/>
        </w:rPr>
        <w:t>In January 2021, the Company granted total 9,255,000 share options under the 2015 Plan to its employees and non-employees, which is only subject to service conditions. As a result of this share option grant, the Company estimated total share-based compensation expense of approximately US$113.1 million to be recorded in its consolidated financial statements over the vesting period of four years starting from 2021.</w:t>
      </w:r>
    </w:p>
    <w:p>
      <w:pPr>
        <w:spacing w:after="0" w:line="165"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32406B"/>
        </w:rPr>
        <w:t>In January 2021, the Company entered into agreements with certain optionees under the 2015 Plan to amend the exercise price of certain outstanding share options held by these optionees located outside of the U.S. to purchase ordinary shares of the Company. As a result of this share option repricing, the Company estimated total incremental share-based compensation expense of approximately US$8.8 million to be recorded its consolidated financial statements starting from 2021, which included approximately US$2.0 million (related to the legally vested share options) to be recognized immediately in January 2021, and the remaining US$6.8 million (related to the legally unvested share options) to be recognized on a prospective basis over the remaining requisite service period for the optionees.</w:t>
      </w:r>
    </w:p>
    <w:p>
      <w:pPr>
        <w:spacing w:after="0" w:line="178"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32406B"/>
        </w:rPr>
        <w:t>In early February 2021, the Company issued total 16,026,282 shares of ordinary shares for US$12.48 per share, with total consideration of approximately US$200 million from two investors at fair market price, including one holder of its Series D Preferred Shares.</w:t>
      </w:r>
    </w:p>
    <w:p>
      <w:pPr>
        <w:spacing w:after="0" w:line="124"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32406B"/>
        </w:rPr>
        <w:t>Pursuant to a resolution made by the Company’s shareholders on February 6, 2021, the Company adopted a dual-class share structure, which is conditional upon, and will become effective immediately prior to the completion of its IPO. A total of 142,400,000 issued and outstanding ordinary shares will be converted into Class B ordinary shares on a one-for-one basis immediately prior to the completion of the IPO. The remaining issued and outstanding ordinary shares and all the Series A, Series A-1, Series B, Series C and Series D Preferred Shares will be converted into Class A ordinary shares, in each case on a one-for-one basis immediately prior to the completion of the IPO. In respect of matters requiring the votes of shareholders, each Class A ordinary share is entitled to one vote and each Class B ordinary share is entitled to 15 votes. Each Class B ordinary share is convertible into one Class A ordinary share at any time by the holder thereof. Class A ordinary shares are not convertible into Class B ordinary shares under any circumstances. Holders of Class A ordinary shares and Class B ordinary shares have the same rights except for voting and conversion rights.</w:t>
      </w:r>
    </w:p>
    <w:p>
      <w:pPr>
        <w:spacing w:after="0" w:line="165"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32406B"/>
        </w:rPr>
        <w:t>On February 21, 2021, the 2015 Plan was amended to increase the number of ordinary shares available and reserved for issuance under the 2015 Plan to 76,778,005 ordinary shares, which was approved by the board of directors of the Company and the shareholders of the Company.</w:t>
      </w:r>
    </w:p>
    <w:p>
      <w:pPr>
        <w:spacing w:after="0" w:line="12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32406B"/>
        </w:rPr>
        <w:t>In late February 2021, the Company granted total 5,405,000 share options under the 2015 Plan to its employees and non-employees, which is only subject to service conditions. As a result of this share option grant, the Company estimated total share-based compensation expense of approximately US$77.1 million to be recorded in its consolidated financial statements over the vesting period of four years starting from 2021.</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32406B"/>
        </w:rPr>
        <w:t>On February 25, 2021, the board of directors of the Company approved further amendment to the 2015 Plan, which provides that starting on January 1, 2022, on the first day of each fiscal year thereafter, the total number of shares available for issuance under the 2015 Plan will be increased by an amount equal to the least of (i) 2% of the aggregate number of shares of all classes of ordinary shares of the Company’s issued and outstanding on the last day of the immediately preceding fiscal year and (ii) such number of shares as determined by the board of directors.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F-45</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22. Statutory Reserves and Restricted Net Assets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32406B"/>
        </w:rPr>
        <w:t>Relevant PRC laws and regulations permit payments of dividends by the Group’s entities incorporated in the PRC only out of their retained earnings, if any, as determined in accordance with PRC accounting standards and regulations. In addition, the Group’s entities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entities and the VIE subsidiary incorporated in the PRC are restricted in their ability to transfer a portion of their net assets to the Company either in the form of dividends, loans or advances, which restricted portion as calculated under U.S. GAAP amounted to US$14,852 and US$41,776 as of December 31, 2019 and 2020. There are no significant differences between U.S. GAAP and PRC accounting standards in connection with the reported net assets of the legally owned subsidiaries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there is no other restriction on use of proceeds generated by the Group’s subsidiaries and the VIE to satisfy any obligations of the Company.</w:t>
      </w:r>
    </w:p>
    <w:p>
      <w:pPr>
        <w:spacing w:after="0" w:line="17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32406B"/>
        </w:rPr>
        <w:t>For the year ended December 31, 2020, the Company performed a test on the restricted net assets of subsidiaries and VIE in accordance with Securities and Exchange Commission Regulation S-X Rule 4-08 (e) (3), “General Notes to Financial Statements” and concluded that the restricted net assets exceeded 25% of the consolidated net assets of the Company as of December 31, 2020 and the condensed financial information of the Company are required to be presented.</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32406B"/>
        </w:rPr>
        <w:t>Condensed Financial Information of the Parent Company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Balance Sheet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32406B"/>
                <w:w w:val="91"/>
              </w:rPr>
              <w:t>As of</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32406B"/>
                <w:w w:val="91"/>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2019</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ASSETS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32406B"/>
              </w:rPr>
              <w:t>Current assets: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Cash and cash equivalents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151,231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32406B"/>
              </w:rPr>
              <w:t>Amounts due from subsidiaries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32406B"/>
              </w:rPr>
              <w:t>21,577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174,753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Prepayments and other current assets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138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32406B"/>
              </w:rPr>
              <w:t>Total current assets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172,946</w:t>
            </w:r>
          </w:p>
        </w:tc>
        <w:tc>
          <w:tcPr>
            <w:tcW w:w="5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174,773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Non-current assets: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32406B"/>
              </w:rPr>
              <w:t>Investment in subsidiaries and VIE</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32406B"/>
              </w:rPr>
              <w:t>50,687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Other non-current assets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182</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b w:val="1"/>
                <w:bCs w:val="1"/>
                <w:color w:val="32406B"/>
              </w:rPr>
              <w:t>Total non-current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50,687</w:t>
            </w:r>
          </w:p>
        </w:tc>
        <w:tc>
          <w:tcPr>
            <w:tcW w:w="5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assets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223,633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174,955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LIABILITIES, MEZZANINE EQUITY AND SHAREHOLDERS’ DEFICIT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Current liabilities and total liabilities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32406B"/>
              </w:rPr>
              <w:t>Accruals and other payables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32406B"/>
              </w:rPr>
              <w:t>59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2406B"/>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Amounts due to subsidiaries and VIE</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32406B"/>
              </w:rPr>
              <w:t>Investment deficit in subsidiaries and VIE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4,933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59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5,955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4880"/>
              <w:spacing w:after="0"/>
              <w:rPr>
                <w:sz w:val="20"/>
                <w:szCs w:val="20"/>
                <w:color w:val="auto"/>
              </w:rPr>
            </w:pPr>
            <w:r>
              <w:rPr>
                <w:rFonts w:ascii="Arial" w:cs="Arial" w:eastAsia="Arial" w:hAnsi="Arial"/>
                <w:sz w:val="18"/>
                <w:szCs w:val="18"/>
                <w:color w:val="32406B"/>
              </w:rPr>
              <w:t>F-46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32406B"/>
                <w:w w:val="91"/>
              </w:rPr>
              <w:t>As of</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91"/>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32406B"/>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2406B"/>
                <w:w w:val="89"/>
              </w:rPr>
              <w:t>2019</w:t>
            </w: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2406B"/>
                <w:w w:val="8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Mezzanine equity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tcPr>
          <w:p>
            <w:pPr>
              <w:ind w:left="340"/>
              <w:spacing w:after="0" w:line="201" w:lineRule="exact"/>
              <w:rPr>
                <w:sz w:val="20"/>
                <w:szCs w:val="20"/>
                <w:color w:val="auto"/>
              </w:rPr>
            </w:pPr>
            <w:r>
              <w:rPr>
                <w:rFonts w:ascii="Arial" w:cs="Arial" w:eastAsia="Arial" w:hAnsi="Arial"/>
                <w:sz w:val="18"/>
                <w:szCs w:val="18"/>
                <w:color w:val="32406B"/>
              </w:rPr>
              <w:t>Series A convertible preferred shares (US$0.00005 par value; 65,288,360 shares authorized,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520"/>
              <w:spacing w:after="0"/>
              <w:rPr>
                <w:sz w:val="20"/>
                <w:szCs w:val="20"/>
                <w:color w:val="auto"/>
              </w:rPr>
            </w:pPr>
            <w:r>
              <w:rPr>
                <w:rFonts w:ascii="Arial" w:cs="Arial" w:eastAsia="Arial" w:hAnsi="Arial"/>
                <w:sz w:val="18"/>
                <w:szCs w:val="18"/>
                <w:color w:val="32406B"/>
              </w:rPr>
              <w:t>issued and outstanding)</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32406B"/>
              </w:rPr>
              <w:t>9,000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32406B"/>
              </w:rPr>
              <w:t>9,000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w w:val="98"/>
              </w:rPr>
              <w:t>Series A-1 convertible preferred shares (US$0.00005 par value; 15,959,140 shares authorized;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12,222,267 shares issued and outstanding)</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32406B"/>
              </w:rPr>
              <w:t>2,680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2,680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tcPr>
          <w:p>
            <w:pPr>
              <w:ind w:left="340"/>
              <w:spacing w:after="0" w:line="201" w:lineRule="exact"/>
              <w:rPr>
                <w:sz w:val="20"/>
                <w:szCs w:val="20"/>
                <w:color w:val="auto"/>
              </w:rPr>
            </w:pPr>
            <w:r>
              <w:rPr>
                <w:rFonts w:ascii="Arial" w:cs="Arial" w:eastAsia="Arial" w:hAnsi="Arial"/>
                <w:sz w:val="18"/>
                <w:szCs w:val="18"/>
                <w:color w:val="32406B"/>
              </w:rPr>
              <w:t>Series B convertible preferred shares (US$0.00005 par value; 90,782,550 shares authorized;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520"/>
              <w:spacing w:after="0"/>
              <w:rPr>
                <w:sz w:val="20"/>
                <w:szCs w:val="20"/>
                <w:color w:val="auto"/>
              </w:rPr>
            </w:pPr>
            <w:r>
              <w:rPr>
                <w:rFonts w:ascii="Arial" w:cs="Arial" w:eastAsia="Arial" w:hAnsi="Arial"/>
                <w:sz w:val="18"/>
                <w:szCs w:val="18"/>
                <w:color w:val="32406B"/>
              </w:rPr>
              <w:t>87,756,440 shares issued and outstanding)</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32406B"/>
              </w:rPr>
              <w:t>29,000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32406B"/>
              </w:rPr>
              <w:t>29,000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rPr>
              <w:t>Series C convertible preferred shares (US$0.00005 par value; 60,469,840 shares authorized;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60,468,490 shares issued and outstanding)</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32406B"/>
              </w:rPr>
              <w:t>115,007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115,007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tcPr>
          <w:p>
            <w:pPr>
              <w:ind w:left="340"/>
              <w:spacing w:after="0" w:line="201" w:lineRule="exact"/>
              <w:rPr>
                <w:sz w:val="20"/>
                <w:szCs w:val="20"/>
                <w:color w:val="auto"/>
              </w:rPr>
            </w:pPr>
            <w:r>
              <w:rPr>
                <w:rFonts w:ascii="Arial" w:cs="Arial" w:eastAsia="Arial" w:hAnsi="Arial"/>
                <w:sz w:val="18"/>
                <w:szCs w:val="18"/>
                <w:color w:val="32406B"/>
              </w:rPr>
              <w:t>Series D convertible preferred shares (US$0.00005 par value; 75,000,000 shares authorized;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520"/>
              <w:spacing w:after="0"/>
              <w:rPr>
                <w:sz w:val="20"/>
                <w:szCs w:val="20"/>
                <w:color w:val="auto"/>
              </w:rPr>
            </w:pPr>
            <w:r>
              <w:rPr>
                <w:rFonts w:ascii="Arial" w:cs="Arial" w:eastAsia="Arial" w:hAnsi="Arial"/>
                <w:sz w:val="18"/>
                <w:szCs w:val="18"/>
                <w:color w:val="32406B"/>
              </w:rPr>
              <w:t>52,428,242 shares issued and outstanding)</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32406B"/>
              </w:rPr>
              <w:t>177,980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32406B"/>
              </w:rPr>
              <w:t>177,980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mezzanine equity</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32406B"/>
              </w:rPr>
              <w:t>333,667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333,667</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Shareholders’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rPr>
              <w:t>Ordinary shares (US$0.00005 par value; 692,500,110 shares authorized; 221,980,000 shares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issued and outstanding)</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32406B"/>
              </w:rPr>
              <w:t>11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32406B"/>
              </w:rPr>
              <w:t>Additional paid-in capital</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32406B"/>
              </w:rPr>
              <w:t>17,869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32406B"/>
              </w:rPr>
              <w:t>27,315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Receivables from shareholders</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32406B"/>
              </w:rPr>
              <w:t>(10)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32406B"/>
              </w:rPr>
              <w:t>Accumulated other comprehensive loss</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32406B"/>
              </w:rPr>
              <w:t>(2,401)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32406B"/>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Accumulated deficit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32406B"/>
              </w:rPr>
              <w:t>(125,562)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(192,474)</w:t>
            </w: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32406B"/>
              </w:rPr>
              <w:t>Total shareholders’ deficit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(110,093)</w:t>
            </w:r>
          </w:p>
        </w:tc>
        <w:tc>
          <w:tcPr>
            <w:tcW w:w="50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(164,667)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liabilities, mezzanine equity and shareholders’ deficit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32406B"/>
              </w:rPr>
              <w:t>223,633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174,955</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32406B"/>
              </w:rPr>
              <w:t>Statement of Comprehensive Loss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32406B"/>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32406B"/>
              </w:rPr>
              <w:t>2019</w:t>
            </w:r>
          </w:p>
        </w:tc>
        <w:tc>
          <w:tcPr>
            <w:tcW w:w="5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32406B"/>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Operation expense</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32406B"/>
              </w:rPr>
              <w:t>General and administrative expenses</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32406B"/>
              </w:rPr>
              <w:t>(288)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32406B"/>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Share of loss of subsidiaries and VIE</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32406B"/>
              </w:rPr>
              <w:t>(71,359)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(66,982)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32406B"/>
              </w:rPr>
              <w:t>Other operating expenses, net</w:t>
            </w: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32406B"/>
              </w:rPr>
              <w:t>(7)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32406B"/>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operating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(71,654)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(67,773)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32406B"/>
              </w:rPr>
              <w:t>Financial income, net</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32406B"/>
              </w:rPr>
              <w:t>1,179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32406B"/>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Foreign exchange loss</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32406B"/>
              </w:rPr>
              <w:t>(2)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b w:val="1"/>
                <w:bCs w:val="1"/>
                <w:color w:val="32406B"/>
              </w:rPr>
              <w:t>Loss before income tax expense</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(70,477)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(66,912)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32406B"/>
              </w:rPr>
              <w:t>(70,477)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(66,912)</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32406B"/>
              </w:rPr>
              <w:t>Deemed dividend from Preferred Shareholders</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(3,430)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attributable to ordinary shareholders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(73,907)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(66,912)</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Net loss</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40" w:type="dxa"/>
            <w:vAlign w:val="bottom"/>
            <w:gridSpan w:val="2"/>
            <w:vMerge w:val="continue"/>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32406B"/>
              </w:rPr>
              <w:t>(70,477)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32406B"/>
              </w:rPr>
              <w:t>(66,912)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comprehensive (loss)/income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32406B"/>
              </w:rPr>
              <w:t>Foreign currency translation</w:t>
            </w: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32406B"/>
              </w:rPr>
              <w:t>(428)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32406B"/>
              </w:rPr>
              <w:t>2,882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comprehensive loss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(70,905)</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(64,030)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4880"/>
              <w:spacing w:after="0"/>
              <w:rPr>
                <w:sz w:val="20"/>
                <w:szCs w:val="20"/>
                <w:color w:val="auto"/>
              </w:rPr>
            </w:pPr>
            <w:r>
              <w:rPr>
                <w:rFonts w:ascii="Arial" w:cs="Arial" w:eastAsia="Arial" w:hAnsi="Arial"/>
                <w:sz w:val="18"/>
                <w:szCs w:val="18"/>
                <w:color w:val="32406B"/>
              </w:rPr>
              <w:t>F-47</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Statement of Cash Flows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32406B"/>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32406B"/>
              </w:rPr>
              <w:t>2019</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32406B"/>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(used in)/generated from operating activities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(728)</w:t>
            </w:r>
          </w:p>
        </w:tc>
        <w:tc>
          <w:tcPr>
            <w:tcW w:w="52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32406B"/>
              </w:rPr>
              <w:t>Payment for short-term investments</w:t>
            </w:r>
          </w:p>
        </w:tc>
        <w:tc>
          <w:tcPr>
            <w:tcW w:w="660" w:type="dxa"/>
            <w:vAlign w:val="bottom"/>
          </w:tcPr>
          <w:p>
            <w:pPr>
              <w:jc w:val="right"/>
              <w:spacing w:after="0"/>
              <w:rPr>
                <w:sz w:val="20"/>
                <w:szCs w:val="20"/>
                <w:color w:val="auto"/>
              </w:rPr>
            </w:pPr>
            <w:r>
              <w:rPr>
                <w:rFonts w:ascii="Arial" w:cs="Arial" w:eastAsia="Arial" w:hAnsi="Arial"/>
                <w:sz w:val="18"/>
                <w:szCs w:val="18"/>
                <w:color w:val="32406B"/>
                <w:w w:val="95"/>
              </w:rPr>
              <w:t>(94,910)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Proceeds from disposal of short-term investments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95,967</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32406B"/>
              </w:rPr>
              <w:t>Payment to, and investment in subsidiaries</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32406B"/>
              </w:rPr>
              <w:t>(23,329)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32406B"/>
              </w:rPr>
              <w:t>(151,719)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used in investing activities</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32406B"/>
              </w:rPr>
              <w:t>(22,272)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(151,719)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32406B"/>
              </w:rPr>
              <w:t>Proceeds from issuance of convertible preferred shares, net of issuance costs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8"/>
              </w:rPr>
              <w:t>177,980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Payment for repurchase of convertible preferred shares</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32406B"/>
              </w:rPr>
              <w:t>(3,750)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32406B"/>
              </w:rPr>
              <w:t>Subscription contributions from shareholders</w:t>
            </w: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32406B"/>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generated from financing activities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8"/>
              </w:rPr>
              <w:t>174,230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b w:val="1"/>
                <w:bCs w:val="1"/>
                <w:color w:val="32406B"/>
              </w:rPr>
              <w:t>Net increase/(decrease) in cash and cash equivalents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8"/>
              </w:rPr>
              <w:t>151,230</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5"/>
              </w:rPr>
              <w:t>(151,211)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Cash and cash equivalents at beginning of the year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151,231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32406B"/>
              </w:rPr>
              <w:t>Cash and cash equivalents at end of the year</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32406B"/>
                <w:w w:val="98"/>
              </w:rPr>
              <w:t>151,231</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32406B"/>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Notes of the Condensed Financial Information</w:t>
      </w:r>
    </w:p>
    <w:p>
      <w:pPr>
        <w:spacing w:after="0" w:line="374" w:lineRule="exact"/>
        <w:rPr>
          <w:sz w:val="20"/>
          <w:szCs w:val="20"/>
          <w:color w:val="auto"/>
        </w:rPr>
      </w:pPr>
    </w:p>
    <w:p>
      <w:pPr>
        <w:ind w:left="1080" w:hanging="418"/>
        <w:spacing w:after="0"/>
        <w:tabs>
          <w:tab w:leader="none" w:pos="1080" w:val="left"/>
        </w:tabs>
        <w:numPr>
          <w:ilvl w:val="0"/>
          <w:numId w:val="153"/>
        </w:numPr>
        <w:rPr>
          <w:rFonts w:ascii="Arial" w:cs="Arial" w:eastAsia="Arial" w:hAnsi="Arial"/>
          <w:sz w:val="18"/>
          <w:szCs w:val="18"/>
          <w:color w:val="32406B"/>
        </w:rPr>
      </w:pPr>
      <w:r>
        <w:rPr>
          <w:rFonts w:ascii="Arial" w:cs="Arial" w:eastAsia="Arial" w:hAnsi="Arial"/>
          <w:sz w:val="18"/>
          <w:szCs w:val="18"/>
          <w:color w:val="32406B"/>
        </w:rPr>
        <w:t>Basis for Preparation</w:t>
      </w:r>
    </w:p>
    <w:p>
      <w:pPr>
        <w:spacing w:after="0" w:line="117" w:lineRule="exact"/>
        <w:rPr>
          <w:sz w:val="20"/>
          <w:szCs w:val="20"/>
          <w:color w:val="auto"/>
        </w:rPr>
      </w:pPr>
    </w:p>
    <w:p>
      <w:pPr>
        <w:ind w:left="560" w:right="340" w:firstLine="423"/>
        <w:spacing w:after="0" w:line="255" w:lineRule="auto"/>
        <w:rPr>
          <w:sz w:val="20"/>
          <w:szCs w:val="20"/>
          <w:color w:val="auto"/>
        </w:rPr>
      </w:pPr>
      <w:r>
        <w:rPr>
          <w:rFonts w:ascii="Arial" w:cs="Arial" w:eastAsia="Arial" w:hAnsi="Arial"/>
          <w:sz w:val="18"/>
          <w:szCs w:val="18"/>
          <w:color w:val="32406B"/>
        </w:rPr>
        <w:t>The condensed financial information of the Company has been prepared using the same accounting policies as set out in the Group’s consolidated financial statements except that the Company has used the equity method to account for investments in its subsidiaries and VIE.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Group.</w:t>
      </w:r>
    </w:p>
    <w:p>
      <w:pPr>
        <w:spacing w:after="0" w:line="341" w:lineRule="exact"/>
        <w:rPr>
          <w:sz w:val="20"/>
          <w:szCs w:val="20"/>
          <w:color w:val="auto"/>
        </w:rPr>
      </w:pPr>
    </w:p>
    <w:p>
      <w:pPr>
        <w:ind w:left="1080" w:hanging="418"/>
        <w:spacing w:after="0"/>
        <w:tabs>
          <w:tab w:leader="none" w:pos="1080" w:val="left"/>
        </w:tabs>
        <w:numPr>
          <w:ilvl w:val="0"/>
          <w:numId w:val="154"/>
        </w:numPr>
        <w:rPr>
          <w:rFonts w:ascii="Arial" w:cs="Arial" w:eastAsia="Arial" w:hAnsi="Arial"/>
          <w:sz w:val="18"/>
          <w:szCs w:val="18"/>
          <w:color w:val="32406B"/>
        </w:rPr>
      </w:pPr>
      <w:r>
        <w:rPr>
          <w:rFonts w:ascii="Arial" w:cs="Arial" w:eastAsia="Arial" w:hAnsi="Arial"/>
          <w:sz w:val="18"/>
          <w:szCs w:val="18"/>
          <w:color w:val="32406B"/>
        </w:rPr>
        <w:t>Investments in Subsidiaries and VIE</w:t>
      </w:r>
    </w:p>
    <w:p>
      <w:pPr>
        <w:spacing w:after="0" w:line="117"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32406B"/>
        </w:rPr>
        <w:t>The Company, its subsidiaries and VIE were included in the consolidated financial statements where the inter-company transactions and balances were eliminated upon consolidation. For the purpose of the Company’s stand-alone financial statements, its investments in subsidiaries and VIE were reported using the equity method of accounting. The Company’s share of loss from its subsidiaries and VIE were reported as equity in earnings of subsidiaries and VIE in the accompanying parent company financial information.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F-48</w:t>
      </w:r>
    </w:p>
    <w:sectPr>
      <w:pgSz w:w="11900" w:h="16838" w:orient="portrait"/>
      <w:cols w:equalWidth="0" w:num="1">
        <w:col w:w="11060"/>
      </w:cols>
      <w:pgMar w:left="32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1)"/>
      <w:numFmt w:val="decimal"/>
      <w:start w:val="1"/>
    </w:lvl>
  </w:abstractNum>
  <w:abstractNum w:abstractNumId="21">
    <w:nsid w:val="1716703B"/>
    <w:multiLevelType w:val="hybridMultilevel"/>
    <w:lvl w:ilvl="0">
      <w:lvlJc w:val="left"/>
      <w:lvlText w:val="(%1)"/>
      <w:numFmt w:val="decimal"/>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1)"/>
      <w:numFmt w:val="lowerRoman"/>
      <w:start w:val="2"/>
    </w:lvl>
    <w:lvl w:ilvl="1">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1)"/>
      <w:numFmt w:val="decimal"/>
      <w:start w:val="2"/>
    </w:lvl>
  </w:abstractNum>
  <w:abstractNum w:abstractNumId="31">
    <w:nsid w:val="CC1016F"/>
    <w:multiLevelType w:val="hybridMultilevel"/>
    <w:lvl w:ilvl="0">
      <w:lvlJc w:val="left"/>
      <w:lvlText w:val="(%1)"/>
      <w:numFmt w:val="lowerRoman"/>
      <w:start w:val="2"/>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1)"/>
      <w:numFmt w:val="decimal"/>
      <w:start w:val="2"/>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1)"/>
      <w:numFmt w:val="lowerRoman"/>
      <w:start w:val="1"/>
    </w:lvl>
  </w:abstractNum>
  <w:abstractNum w:abstractNumId="43">
    <w:nsid w:val="7672BD23"/>
    <w:multiLevelType w:val="hybridMultilevel"/>
    <w:lvl w:ilvl="0">
      <w:lvlJc w:val="left"/>
      <w:lvlText w:val="(%1)"/>
      <w:numFmt w:val="lowerRoman"/>
      <w:start w:val="1"/>
    </w:lvl>
  </w:abstractNum>
  <w:abstractNum w:abstractNumId="44">
    <w:nsid w:val="6FC75AF8"/>
    <w:multiLevelType w:val="hybridMultilevel"/>
    <w:lvl w:ilvl="0">
      <w:lvlJc w:val="left"/>
      <w:lvlText w:val="(%1)"/>
      <w:numFmt w:val="decimal"/>
      <w:start w:val="1"/>
    </w:lvl>
  </w:abstractNum>
  <w:abstractNum w:abstractNumId="45">
    <w:nsid w:val="6A5F7029"/>
    <w:multiLevelType w:val="hybridMultilevel"/>
    <w:lvl w:ilvl="0">
      <w:lvlJc w:val="left"/>
      <w:lvlText w:val="(%1)"/>
      <w:numFmt w:val="lowerRoman"/>
      <w:start w:val="1"/>
    </w:lvl>
  </w:abstractNum>
  <w:abstractNum w:abstractNumId="46">
    <w:nsid w:val="7D5E18F8"/>
    <w:multiLevelType w:val="hybridMultilevel"/>
    <w:lvl w:ilvl="0">
      <w:lvlJc w:val="left"/>
      <w:lvlText w:val="%1)"/>
      <w:numFmt w:val="decimal"/>
      <w:start w:val="606"/>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lvl w:ilvl="1">
      <w:lvlJc w:val="left"/>
      <w:lvlText w:val="•"/>
      <w:numFmt w:val="bullet"/>
      <w:start w:val="1"/>
    </w:lvl>
  </w:abstractNum>
  <w:abstractNum w:abstractNumId="49">
    <w:nsid w:val="7DE67713"/>
    <w:multiLevelType w:val="hybridMultilevel"/>
    <w:lvl w:ilvl="0">
      <w:lvlJc w:val="left"/>
      <w:lvlText w:val="•"/>
      <w:numFmt w:val="bullet"/>
      <w:start w:val="1"/>
    </w:lvl>
    <w:lvl w:ilvl="1">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lvl w:ilvl="1">
      <w:lvlJc w:val="left"/>
      <w:lvlText w:val="•"/>
      <w:numFmt w:val="bullet"/>
      <w:start w:val="1"/>
    </w:lvl>
  </w:abstractNum>
  <w:abstractNum w:abstractNumId="54">
    <w:nsid w:val="71C91298"/>
    <w:multiLevelType w:val="hybridMultilevel"/>
    <w:lvl w:ilvl="0">
      <w:lvlJc w:val="left"/>
      <w:lvlText w:val="(%1)"/>
      <w:numFmt w:val="decimal"/>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1)"/>
      <w:numFmt w:val="decimal"/>
      <w:start w:val="1"/>
    </w:lvl>
  </w:abstractNum>
  <w:abstractNum w:abstractNumId="57">
    <w:nsid w:val="1FBFE8E0"/>
    <w:multiLevelType w:val="hybridMultilevel"/>
    <w:lvl w:ilvl="0">
      <w:lvlJc w:val="left"/>
      <w:lvlText w:val="•"/>
      <w:numFmt w:val="bullet"/>
      <w:start w:val="1"/>
    </w:lvl>
    <w:lvl w:ilvl="1">
      <w:lvlJc w:val="left"/>
      <w:lvlText w:val="•"/>
      <w:numFmt w:val="bullet"/>
      <w:start w:val="1"/>
    </w:lvl>
  </w:abstractNum>
  <w:abstractNum w:abstractNumId="58">
    <w:nsid w:val="5092CA79"/>
    <w:multiLevelType w:val="hybridMultilevel"/>
    <w:lvl w:ilvl="0">
      <w:lvlJc w:val="left"/>
      <w:lvlText w:val="•"/>
      <w:numFmt w:val="bullet"/>
      <w:start w:val="1"/>
    </w:lvl>
    <w:lvl w:ilvl="1">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lvl w:ilvl="1">
      <w:lvlJc w:val="left"/>
      <w:lvlText w:val="•"/>
      <w:numFmt w:val="bullet"/>
      <w:start w:val="1"/>
    </w:lvl>
  </w:abstractNum>
  <w:abstractNum w:abstractNumId="78">
    <w:nsid w:val="2B0D8DBE"/>
    <w:multiLevelType w:val="hybridMultilevel"/>
    <w:lvl w:ilvl="0">
      <w:lvlJc w:val="left"/>
      <w:lvlText w:val="•"/>
      <w:numFmt w:val="bullet"/>
      <w:start w:val="1"/>
    </w:lvl>
    <w:lvl w:ilvl="1">
      <w:lvlJc w:val="left"/>
      <w:lvlText w:val="•"/>
      <w:numFmt w:val="bullet"/>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lvl w:ilvl="1">
      <w:lvlJc w:val="left"/>
      <w:lvlText w:val="•"/>
      <w:numFmt w:val="bullet"/>
      <w:start w:val="1"/>
    </w:lvl>
  </w:abstractNum>
  <w:abstractNum w:abstractNumId="82">
    <w:nsid w:val="2C27173B"/>
    <w:multiLevelType w:val="hybridMultilevel"/>
    <w:lvl w:ilvl="0">
      <w:lvlJc w:val="left"/>
      <w:lvlText w:val="•"/>
      <w:numFmt w:val="bullet"/>
      <w:start w:val="1"/>
    </w:lvl>
    <w:lvl w:ilvl="1">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1)"/>
      <w:numFmt w:val="decimal"/>
      <w:start w:val="4"/>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
      <w:numFmt w:val="bullet"/>
      <w:start w:val="1"/>
    </w:lvl>
    <w:lvl w:ilvl="1">
      <w:lvlJc w:val="left"/>
      <w:lvlText w:val="•"/>
      <w:numFmt w:val="bullet"/>
      <w:start w:val="1"/>
    </w:lvl>
  </w:abstractNum>
  <w:abstractNum w:abstractNumId="88">
    <w:nsid w:val="3DB012B3"/>
    <w:multiLevelType w:val="hybridMultilevel"/>
    <w:lvl w:ilvl="0">
      <w:lvlJc w:val="left"/>
      <w:lvlText w:val="•"/>
      <w:numFmt w:val="bullet"/>
      <w:start w:val="1"/>
    </w:lvl>
    <w:lvl w:ilvl="1">
      <w:lvlJc w:val="left"/>
      <w:lvlText w:val="•"/>
      <w:numFmt w:val="bullet"/>
      <w:start w:val="1"/>
    </w:lvl>
  </w:abstractNum>
  <w:abstractNum w:abstractNumId="89">
    <w:nsid w:val="2708C9AF"/>
    <w:multiLevelType w:val="hybridMultilevel"/>
    <w:lvl w:ilvl="0">
      <w:lvlJc w:val="left"/>
      <w:lvlText w:val="•"/>
      <w:numFmt w:val="bullet"/>
      <w:start w:val="1"/>
    </w:lvl>
    <w:lvl w:ilvl="1">
      <w:lvlJc w:val="left"/>
      <w:lvlText w:val="•"/>
      <w:numFmt w:val="bullet"/>
      <w:start w:val="1"/>
    </w:lvl>
  </w:abstractNum>
  <w:abstractNum w:abstractNumId="90">
    <w:nsid w:val="5B25ACE2"/>
    <w:multiLevelType w:val="hybridMultilevel"/>
    <w:lvl w:ilvl="0">
      <w:lvlJc w:val="left"/>
      <w:lvlText w:val="(%1)"/>
      <w:numFmt w:val="lowerRoman"/>
      <w:start w:val="2"/>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1)"/>
      <w:numFmt w:val="lowerRoman"/>
      <w:start w:val="2"/>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1)"/>
      <w:numFmt w:val="decimal"/>
      <w:start w:val="1"/>
    </w:lvl>
  </w:abstractNum>
  <w:abstractNum w:abstractNumId="99">
    <w:nsid w:val="17A1B582"/>
    <w:multiLevelType w:val="hybridMultilevel"/>
    <w:lvl w:ilvl="0">
      <w:lvlJc w:val="left"/>
      <w:lvlText w:val="(%1)"/>
      <w:numFmt w:val="decimal"/>
      <w:start w:val="3"/>
    </w:lvl>
  </w:abstractNum>
  <w:abstractNum w:abstractNumId="100">
    <w:nsid w:val="4DF72E4E"/>
    <w:multiLevelType w:val="hybridMultilevel"/>
    <w:lvl w:ilvl="0">
      <w:lvlJc w:val="left"/>
      <w:lvlText w:val="(%1)"/>
      <w:numFmt w:val="lowerRoman"/>
      <w:start w:val="4"/>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1)"/>
      <w:numFmt w:val="lowerLetter"/>
      <w:start w:val="2"/>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
      <w:numFmt w:val="bullet"/>
      <w:start w:val="1"/>
    </w:lvl>
  </w:abstractNum>
  <w:abstractNum w:abstractNumId="115">
    <w:nsid w:val="BFFAE18"/>
    <w:multiLevelType w:val="hybridMultilevel"/>
    <w:lvl w:ilvl="0">
      <w:lvlJc w:val="left"/>
      <w:lvlText w:val="•"/>
      <w:numFmt w:val="bullet"/>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
      <w:numFmt w:val="bullet"/>
      <w:start w:val="1"/>
    </w:lvl>
  </w:abstractNum>
  <w:abstractNum w:abstractNumId="118">
    <w:nsid w:val="49D0FEAC"/>
    <w:multiLevelType w:val="hybridMultilevel"/>
    <w:lvl w:ilvl="0">
      <w:lvlJc w:val="left"/>
      <w:lvlText w:val="•"/>
      <w:numFmt w:val="bullet"/>
      <w:start w:val="1"/>
    </w:lvl>
  </w:abstractNum>
  <w:abstractNum w:abstractNumId="119">
    <w:nsid w:val="4BEE5A5B"/>
    <w:multiLevelType w:val="hybridMultilevel"/>
    <w:lvl w:ilvl="0">
      <w:lvlJc w:val="left"/>
      <w:lvlText w:val="•"/>
      <w:numFmt w:val="bullet"/>
      <w:start w:val="1"/>
    </w:lvl>
  </w:abstractNum>
  <w:abstractNum w:abstractNumId="120">
    <w:nsid w:val="5551B9F3"/>
    <w:multiLevelType w:val="hybridMultilevel"/>
    <w:lvl w:ilvl="0">
      <w:lvlJc w:val="left"/>
      <w:lvlText w:val="•"/>
      <w:numFmt w:val="bullet"/>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
      <w:numFmt w:val="bullet"/>
      <w:start w:val="1"/>
    </w:lvl>
  </w:abstractNum>
  <w:abstractNum w:abstractNumId="123">
    <w:nsid w:val="24E99DD7"/>
    <w:multiLevelType w:val="hybridMultilevel"/>
    <w:lvl w:ilvl="0">
      <w:lvlJc w:val="left"/>
      <w:lvlText w:val="•"/>
      <w:numFmt w:val="bullet"/>
      <w:start w:val="1"/>
    </w:lvl>
  </w:abstractNum>
  <w:abstractNum w:abstractNumId="124">
    <w:nsid w:val="2A31B62D"/>
    <w:multiLevelType w:val="hybridMultilevel"/>
    <w:lvl w:ilvl="0">
      <w:lvlJc w:val="left"/>
      <w:lvlText w:val="•"/>
      <w:numFmt w:val="bullet"/>
      <w:start w:val="1"/>
    </w:lvl>
  </w:abstractNum>
  <w:abstractNum w:abstractNumId="125">
    <w:nsid w:val="1849C29B"/>
    <w:multiLevelType w:val="hybridMultilevel"/>
    <w:lvl w:ilvl="0">
      <w:lvlJc w:val="left"/>
      <w:lvlText w:val="%1)"/>
      <w:numFmt w:val="lowerLetter"/>
      <w:start w:val="1"/>
    </w:lvl>
    <w:lvl w:ilvl="1">
      <w:lvlJc w:val="left"/>
      <w:lvlText w:val="%2."/>
      <w:numFmt w:val="lowerRoman"/>
      <w:start w:val="1"/>
    </w:lvl>
  </w:abstractNum>
  <w:abstractNum w:abstractNumId="126">
    <w:nsid w:val="7DFF9D09"/>
    <w:multiLevelType w:val="hybridMultilevel"/>
    <w:lvl w:ilvl="0">
      <w:lvlJc w:val="left"/>
      <w:lvlText w:val="%1)"/>
      <w:numFmt w:val="lowerLetter"/>
      <w:start w:val="2"/>
    </w:lvl>
  </w:abstractNum>
  <w:abstractNum w:abstractNumId="127">
    <w:nsid w:val="754342"/>
    <w:multiLevelType w:val="hybridMultilevel"/>
    <w:lvl w:ilvl="0">
      <w:lvlJc w:val="left"/>
      <w:lvlText w:val="•"/>
      <w:numFmt w:val="bullet"/>
      <w:start w:val="1"/>
    </w:lvl>
  </w:abstractNum>
  <w:abstractNum w:abstractNumId="128">
    <w:nsid w:val="69E7F3E5"/>
    <w:multiLevelType w:val="hybridMultilevel"/>
    <w:lvl w:ilvl="0">
      <w:lvlJc w:val="left"/>
      <w:lvlText w:val="•"/>
      <w:numFmt w:val="bullet"/>
      <w:start w:val="1"/>
    </w:lvl>
  </w:abstractNum>
  <w:abstractNum w:abstractNumId="129">
    <w:nsid w:val="2A6DE806"/>
    <w:multiLevelType w:val="hybridMultilevel"/>
    <w:lvl w:ilvl="0">
      <w:lvlJc w:val="left"/>
      <w:lvlText w:val="•"/>
      <w:numFmt w:val="bullet"/>
      <w:start w:val="1"/>
    </w:lvl>
  </w:abstractNum>
  <w:abstractNum w:abstractNumId="130">
    <w:nsid w:val="1816F8C4"/>
    <w:multiLevelType w:val="hybridMultilevel"/>
    <w:lvl w:ilvl="0">
      <w:lvlJc w:val="left"/>
      <w:lvlText w:val="•"/>
      <w:numFmt w:val="bullet"/>
      <w:start w:val="1"/>
    </w:lvl>
  </w:abstractNum>
  <w:abstractNum w:abstractNumId="131">
    <w:nsid w:val="37DF2233"/>
    <w:multiLevelType w:val="hybridMultilevel"/>
    <w:lvl w:ilvl="0">
      <w:lvlJc w:val="left"/>
      <w:lvlText w:val="•"/>
      <w:numFmt w:val="bullet"/>
      <w:start w:val="1"/>
    </w:lvl>
  </w:abstractNum>
  <w:abstractNum w:abstractNumId="132">
    <w:nsid w:val="7AB49DAF"/>
    <w:multiLevelType w:val="hybridMultilevel"/>
    <w:lvl w:ilvl="0">
      <w:lvlJc w:val="left"/>
      <w:lvlText w:val="•"/>
      <w:numFmt w:val="bullet"/>
      <w:start w:val="1"/>
    </w:lvl>
  </w:abstractNum>
  <w:abstractNum w:abstractNumId="133">
    <w:nsid w:val="759F82CD"/>
    <w:multiLevelType w:val="hybridMultilevel"/>
    <w:lvl w:ilvl="0">
      <w:lvlJc w:val="left"/>
      <w:lvlText w:val="(%1)"/>
      <w:numFmt w:val="decimal"/>
      <w:start w:val="2"/>
    </w:lvl>
  </w:abstractNum>
  <w:abstractNum w:abstractNumId="134">
    <w:nsid w:val="61E74EA3"/>
    <w:multiLevelType w:val="hybridMultilevel"/>
    <w:lvl w:ilvl="0">
      <w:lvlJc w:val="left"/>
      <w:lvlText w:val="%1."/>
      <w:numFmt w:val="decimal"/>
      <w:start w:val="1"/>
    </w:lvl>
    <w:lvl w:ilvl="1">
      <w:lvlJc w:val="left"/>
      <w:lvlText w:val="(%2)"/>
      <w:numFmt w:val="lowerLetter"/>
      <w:start w:val="1"/>
    </w:lvl>
  </w:abstractNum>
  <w:abstractNum w:abstractNumId="135">
    <w:nsid w:val="597B4D84"/>
    <w:multiLevelType w:val="hybridMultilevel"/>
    <w:lvl w:ilvl="0">
      <w:lvlJc w:val="left"/>
      <w:lvlText w:val="%1."/>
      <w:numFmt w:val="decimal"/>
      <w:start w:val="2"/>
    </w:lvl>
    <w:lvl w:ilvl="1">
      <w:lvlJc w:val="left"/>
      <w:lvlText w:val="(%2)"/>
      <w:numFmt w:val="lowerLetter"/>
      <w:start w:val="1"/>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1)"/>
      <w:numFmt w:val="decimal"/>
      <w:start w:val="2"/>
    </w:lvl>
  </w:abstractNum>
  <w:abstractNum w:abstractNumId="138">
    <w:nsid w:val="312167AD"/>
    <w:multiLevelType w:val="hybridMultilevel"/>
    <w:lvl w:ilvl="0">
      <w:lvlJc w:val="left"/>
      <w:lvlText w:val="%1."/>
      <w:numFmt w:val="decimal"/>
      <w:start w:val="3"/>
    </w:lvl>
    <w:lvl w:ilvl="1">
      <w:lvlJc w:val="left"/>
      <w:lvlText w:val="(%2)"/>
      <w:numFmt w:val="lowerLetter"/>
      <w:start w:val="1"/>
    </w:lvl>
  </w:abstractNum>
  <w:abstractNum w:abstractNumId="139">
    <w:nsid w:val="631B64D4"/>
    <w:multiLevelType w:val="hybridMultilevel"/>
    <w:lvl w:ilvl="0">
      <w:lvlJc w:val="left"/>
      <w:lvlText w:val="*"/>
      <w:numFmt w:val="bullet"/>
      <w:start w:val="1"/>
    </w:lvl>
  </w:abstractNum>
  <w:abstractNum w:abstractNumId="140">
    <w:nsid w:val="78B5E776"/>
    <w:multiLevelType w:val="hybridMultilevel"/>
    <w:lvl w:ilvl="0">
      <w:lvlJc w:val="left"/>
      <w:lvlText w:val="(%1)"/>
      <w:numFmt w:val="decimal"/>
      <w:start w:val="1"/>
    </w:lvl>
  </w:abstractNum>
  <w:abstractNum w:abstractNumId="141">
    <w:nsid w:val="75486E47"/>
    <w:multiLevelType w:val="hybridMultilevel"/>
    <w:lvl w:ilvl="0">
      <w:lvlJc w:val="left"/>
      <w:lvlText w:val="(%1)"/>
      <w:numFmt w:val="decimal"/>
      <w:start w:val="1"/>
    </w:lvl>
  </w:abstractNum>
  <w:abstractNum w:abstractNumId="142">
    <w:nsid w:val="6E534CDE"/>
    <w:multiLevelType w:val="hybridMultilevel"/>
    <w:lvl w:ilvl="0">
      <w:lvlJc w:val="left"/>
      <w:lvlText w:val="(%1)"/>
      <w:numFmt w:val="decimal"/>
      <w:start w:val="1"/>
    </w:lvl>
  </w:abstractNum>
  <w:abstractNum w:abstractNumId="143">
    <w:nsid w:val="1A0DDE32"/>
    <w:multiLevelType w:val="hybridMultilevel"/>
    <w:lvl w:ilvl="0">
      <w:lvlJc w:val="left"/>
      <w:lvlText w:val="(%1)"/>
      <w:numFmt w:val="decimal"/>
      <w:start w:val="1"/>
    </w:lvl>
  </w:abstractNum>
  <w:abstractNum w:abstractNumId="144">
    <w:nsid w:val="65968C1C"/>
    <w:multiLevelType w:val="hybridMultilevel"/>
    <w:lvl w:ilvl="0">
      <w:lvlJc w:val="left"/>
      <w:lvlText w:val="(%1)"/>
      <w:numFmt w:val="decimal"/>
      <w:start w:val="2"/>
    </w:lvl>
  </w:abstractNum>
  <w:abstractNum w:abstractNumId="145">
    <w:nsid w:val="46263DEC"/>
    <w:multiLevelType w:val="hybridMultilevel"/>
    <w:lvl w:ilvl="0">
      <w:lvlJc w:val="left"/>
      <w:lvlText w:val="(%1)"/>
      <w:numFmt w:val="decimal"/>
      <w:start w:val="3"/>
    </w:lvl>
  </w:abstractNum>
  <w:abstractNum w:abstractNumId="146">
    <w:nsid w:val="260D8C4A"/>
    <w:multiLevelType w:val="hybridMultilevel"/>
    <w:lvl w:ilvl="0">
      <w:lvlJc w:val="left"/>
      <w:lvlText w:val="%1."/>
      <w:numFmt w:val="decimal"/>
      <w:start w:val="17"/>
    </w:lvl>
  </w:abstractNum>
  <w:abstractNum w:abstractNumId="147">
    <w:nsid w:val="73D4D3C4"/>
    <w:multiLevelType w:val="hybridMultilevel"/>
    <w:lvl w:ilvl="0">
      <w:lvlJc w:val="left"/>
      <w:lvlText w:val="(%1)"/>
      <w:numFmt w:val="decimal"/>
      <w:start w:val="1"/>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decimal"/>
      <w:start w:val="18"/>
    </w:lvl>
  </w:abstractNum>
  <w:abstractNum w:abstractNumId="150">
    <w:nsid w:val="3FC32E20"/>
    <w:multiLevelType w:val="hybridMultilevel"/>
    <w:lvl w:ilvl="0">
      <w:lvlJc w:val="left"/>
      <w:lvlText w:val="%1."/>
      <w:numFmt w:val="decimal"/>
      <w:start w:val="19"/>
    </w:lvl>
  </w:abstractNum>
  <w:abstractNum w:abstractNumId="151">
    <w:nsid w:val="49C0E823"/>
    <w:multiLevelType w:val="hybridMultilevel"/>
    <w:lvl w:ilvl="0">
      <w:lvlJc w:val="left"/>
      <w:lvlText w:val="(%1)"/>
      <w:numFmt w:val="lowerRoman"/>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2021-03-19T14:18:04Z</dcterms:created>
  <dcterms:modified xsi:type="dcterms:W3CDTF">2021-03-19T14:18:04Z</dcterms:modified>
</cp:coreProperties>
</file>