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Tuya Inc.</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10/F, Building A, Huace Center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Xihu District, Hangzhou City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Zhejiang, 310012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20"/>
        <w:spacing w:after="0" w:line="207" w:lineRule="exact"/>
        <w:tabs>
          <w:tab w:leader="none" w:pos="59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June 19, 2025, the board of directors (the “Board”) of Tuya Inc. (the “Company”) announced that (i) Mr. CHEN Liaohan has ceased to be a member of the nomination committee of the Board (the “Nomination Committee”) with effective from June 19, 2025; and (ii) Ms. ZHANG Yan has been appointed as a member of the Nomination Committee with effect from June 19, 2025.</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After the abovementioned change of the composition of the Nomination Committee, the Nomination Committee will consist of the following members: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Ms. ZHANG Yan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QIU Changheng (Chairman)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KUOK Meng Xiong (alias GUO Mengxiong)</w:t>
      </w:r>
    </w:p>
    <w:p>
      <w:pPr>
        <w:spacing w:after="0" w:line="20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Separately, the Company has published an announcement regarding the poll results of its annual general meeting held on June 19, 2025 on the website of The Stock Exchange of Hong Kong Limited. For details, see the exhibit to this current report on Form 6-K.</w:t>
      </w:r>
    </w:p>
    <w:p>
      <w:pPr>
        <w:spacing w:after="0" w:line="37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60" w:type="dxa"/>
            <w:vAlign w:val="bottom"/>
            <w:gridSpan w:val="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320" w:type="dxa"/>
            <w:vAlign w:val="bottom"/>
            <w:tcBorders>
              <w:top w:val="single" w:sz="8" w:color="auto"/>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top w:val="single" w:sz="8" w:color="auto"/>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Press Release</w:t>
            </w:r>
          </w:p>
        </w:tc>
        <w:tc>
          <w:tcPr>
            <w:tcW w:w="8560" w:type="dxa"/>
            <w:vAlign w:val="bottom"/>
            <w:tcBorders>
              <w:top w:val="single" w:sz="8" w:color="auto"/>
            </w:tcBorders>
            <w:gridSpan w:val="2"/>
          </w:tcPr>
          <w:p>
            <w:pPr>
              <w:spacing w:after="0"/>
              <w:rPr>
                <w:sz w:val="15"/>
                <w:szCs w:val="15"/>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Announcement – Poll Results of the Annual General Meeting Held on June 19, 2025</w:t>
            </w:r>
          </w:p>
        </w:tc>
      </w:tr>
      <w:tr>
        <w:trPr>
          <w:trHeight w:val="668"/>
        </w:trPr>
        <w:tc>
          <w:tcPr>
            <w:tcW w:w="320" w:type="dxa"/>
            <w:vAlign w:val="bottom"/>
            <w:tcBorders>
              <w:top w:val="single" w:sz="8" w:color="0000EE"/>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100" w:type="dxa"/>
            <w:vAlign w:val="bottom"/>
            <w:tcBorders>
              <w:top w:val="single" w:sz="8" w:color="0000EE"/>
              <w:bottom w:val="single" w:sz="8" w:color="auto"/>
            </w:tcBorders>
            <w:gridSpan w:val="2"/>
          </w:tcPr>
          <w:p>
            <w:pPr>
              <w:jc w:val="right"/>
              <w:ind w:right="2030"/>
              <w:spacing w:after="0"/>
              <w:rPr>
                <w:sz w:val="20"/>
                <w:szCs w:val="20"/>
                <w:color w:val="auto"/>
              </w:rPr>
            </w:pPr>
            <w:r>
              <w:rPr>
                <w:rFonts w:ascii="Times New Roman" w:cs="Times New Roman" w:eastAsia="Times New Roman" w:hAnsi="Times New Roman"/>
                <w:sz w:val="18"/>
                <w:szCs w:val="18"/>
                <w:color w:val="auto"/>
              </w:rPr>
              <w:t>3</w:t>
            </w: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Tuya Inc.</w:t>
            </w:r>
          </w:p>
        </w:tc>
        <w:tc>
          <w:tcPr>
            <w:tcW w:w="48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 (Alex) Yang</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 (Alex) Yang</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20,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Tuya Inc. Announces Results of Annual General Meeting</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SANTA CLARA, Calif. June 19, 2025 /PRNewswire/—Tuya Inc. (“Tuya” or the “Company”) (NYSE: TUYA; HKEX: 2391), a global leading cloud platform service provider, today announced the results of its annual general meeting (the “Annual General Meeting”) held at 2:00 p.m. Hong Kong time on June 19, 2025 in Hangzhou, China. The Company announced that each of the proposed resolutions submitted for shareholders’ approval as set forth in the notice of Annual General Meeting dated May 16, 2025, Hong Kong time, has been adopted at the Annual General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Tuya Inc.</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Tuya Inc. (NYSE: TUYA; HKEX: 2391) is a global leading AI cloud platform service provider with a mission to build an AIoT developer ecosystem and enable everything to be smart. Tuya has pioneered a purpose-built AI cloud platform with cloud and generative AI capabilities that delivers a full suite of offerings, including Platform-as-a-Service, or PaaS, Software-as-a-Service, or SaaS, and smart solutions for developers of smart device, commercial applications, and industries. Through its AIoT developer platform, Tuya has activated a vibrant global developer community of brands, OEMs, AI agents, system integrators and independent software vendors to collectively strive for smart solutions ecosystem embodying the principles of green and low-carbon, security, high efficiency, agility, and openness.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Tuya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ir@tuya.com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Dvorchak,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(323) 240-5796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gary@blueshirtgroup.co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HL Strategy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Haiyan LI-LABBE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hl@hl-strategy.com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ind w:left="1012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123190</wp:posOffset>
            </wp:positionV>
            <wp:extent cx="977265" cy="506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7726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Tuya Inc.</w:t>
      </w:r>
    </w:p>
    <w:p>
      <w:pPr>
        <w:spacing w:after="0" w:line="31" w:lineRule="exact"/>
        <w:rPr>
          <w:sz w:val="20"/>
          <w:szCs w:val="20"/>
          <w:color w:val="auto"/>
        </w:rPr>
      </w:pPr>
    </w:p>
    <w:p>
      <w:pPr>
        <w:jc w:val="center"/>
        <w:spacing w:after="0" w:line="219" w:lineRule="exact"/>
        <w:rPr>
          <w:sz w:val="20"/>
          <w:szCs w:val="20"/>
          <w:color w:val="auto"/>
        </w:rPr>
      </w:pPr>
      <w:r>
        <w:rPr>
          <w:rFonts w:ascii="PMingLiU" w:cs="PMingLiU" w:eastAsia="PMingLiU" w:hAnsi="PMingLiU"/>
          <w:sz w:val="18"/>
          <w:szCs w:val="18"/>
          <w:color w:val="000000"/>
          <w:shd w:val="clear" w:color="auto" w:fill="231F20"/>
        </w:rPr>
        <w:t>塗鴉智能</w:t>
      </w:r>
      <w:r>
        <w:rPr>
          <w:rFonts w:ascii="Times New Roman" w:cs="Times New Roman" w:eastAsia="Times New Roman" w:hAnsi="Times New Roman"/>
          <w:sz w:val="18"/>
          <w:szCs w:val="18"/>
          <w:b w:val="1"/>
          <w:bCs w:val="1"/>
          <w:color w:val="231F20"/>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(A company controlled through weighted voting rights and incorporated in the Cayman Islands with limited liability)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(HKEX Stock Code: 2391)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(NYSE Stock Ticker: TUYA)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POLL RESULTS OF THE ANNUAL GENERAL MEETING HELD ON JUNE 19, 2025</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231F20"/>
        </w:rPr>
        <w:t>References are made to the Notice (the “</w:t>
      </w:r>
      <w:r>
        <w:rPr>
          <w:rFonts w:ascii="Times New Roman" w:cs="Times New Roman" w:eastAsia="Times New Roman" w:hAnsi="Times New Roman"/>
          <w:sz w:val="18"/>
          <w:szCs w:val="18"/>
          <w:b w:val="1"/>
          <w:bCs w:val="1"/>
          <w:color w:val="231F20"/>
        </w:rPr>
        <w:t>Notice</w:t>
      </w:r>
      <w:r>
        <w:rPr>
          <w:rFonts w:ascii="Times New Roman" w:cs="Times New Roman" w:eastAsia="Times New Roman" w:hAnsi="Times New Roman"/>
          <w:sz w:val="18"/>
          <w:szCs w:val="18"/>
          <w:color w:val="231F20"/>
        </w:rPr>
        <w:t>”) of Annual General Meeting (the “</w:t>
      </w:r>
      <w:r>
        <w:rPr>
          <w:rFonts w:ascii="Times New Roman" w:cs="Times New Roman" w:eastAsia="Times New Roman" w:hAnsi="Times New Roman"/>
          <w:sz w:val="18"/>
          <w:szCs w:val="18"/>
          <w:b w:val="1"/>
          <w:bCs w:val="1"/>
          <w:color w:val="231F20"/>
        </w:rPr>
        <w:t>AGM</w:t>
      </w:r>
      <w:r>
        <w:rPr>
          <w:rFonts w:ascii="Times New Roman" w:cs="Times New Roman" w:eastAsia="Times New Roman" w:hAnsi="Times New Roman"/>
          <w:sz w:val="18"/>
          <w:szCs w:val="18"/>
          <w:color w:val="231F20"/>
        </w:rPr>
        <w:t>”) dated May 16, 2025 and the circular to the shareholders of the Company of even date (the “</w:t>
      </w:r>
      <w:r>
        <w:rPr>
          <w:rFonts w:ascii="Times New Roman" w:cs="Times New Roman" w:eastAsia="Times New Roman" w:hAnsi="Times New Roman"/>
          <w:sz w:val="18"/>
          <w:szCs w:val="18"/>
          <w:b w:val="1"/>
          <w:bCs w:val="1"/>
          <w:color w:val="231F20"/>
        </w:rPr>
        <w:t>Circular</w:t>
      </w:r>
      <w:r>
        <w:rPr>
          <w:rFonts w:ascii="Times New Roman" w:cs="Times New Roman" w:eastAsia="Times New Roman" w:hAnsi="Times New Roman"/>
          <w:sz w:val="18"/>
          <w:szCs w:val="18"/>
          <w:color w:val="231F20"/>
        </w:rPr>
        <w:t>”) of Tuya Inc.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Unless otherwise required by the context, capitalized terms used in this announcement shall have the same meanings as defined in the Circular and the Notice.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Board is pleased to announce that the AGM was held at 2:00 p.m., Hong Kong time, on June 19, 2025 at Huace Center, Building A, 3/F VVIP room, Xihu District, Hangzhou City, Zhejiang Province, 310012, China.</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All resolutions proposed at the AGM have been duly passed. As of the Share Record Date, the total number of issued Shares was 609,721,949 Shares, comprising 539,516,649 Class A Ordinary Shares and 70,205,300 Class B Ordinary Shares, which was the total number of Shares entitling Shareholders to attend and vote in favour of, against or in abstention on the resolutions proposed at the AGM. There was no Shareholder who was required to abstain from voting under the Listing Rules on any resolution proposed at the AGM, nor any Shareholder who was entitled to attend the AGM but was required to abstain from voting in favour of any resolution proposed at the AGM pursuant to Rule 13.40 of the Listing Rules. No Shareholder has indicated in the Circular that he or she intends to vote against or in abstention in respect of any resolution proposed at the AGM.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Accordingly, the total number of Shares entitling the holder to attend and vote on the resolutions numbered 1 to 7 proposed at the AGM was 609,498,176 Shares, comprising 539,292,876 Class A Ordinary Shares and 70,205,300 Class B Ordinary Shares. As at the date of this announcement, there were (i) no treasury shares held by the Company (including any treasury shares held or deposited with CCASS), and (ii) 223,773 repurchased Shares (including Class A Ordinary Shares and Class B Ordinary Shares) which are pending cancellation and should be excluded from the total number of issued Shares for the purpose of the AGM.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According to the Company’s ninth amended and restated memorandum and articles of association:</w:t>
      </w:r>
    </w:p>
    <w:p>
      <w:pPr>
        <w:spacing w:after="0" w:line="225" w:lineRule="exact"/>
        <w:rPr>
          <w:sz w:val="20"/>
          <w:szCs w:val="20"/>
          <w:color w:val="auto"/>
        </w:rPr>
      </w:pPr>
    </w:p>
    <w:p>
      <w:pPr>
        <w:ind w:left="380" w:hanging="372"/>
        <w:spacing w:after="0" w:line="282" w:lineRule="auto"/>
        <w:tabs>
          <w:tab w:leader="none" w:pos="3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 regard to the resolutions numbered 1, 2(a)(i), 2(a)(ii), 2(b), 3, 4 and 5, each Class A Ordinary Share shall entitle its holder to one vote and the exercise of voting rights attached to each Class B Ordinary Share will be capped at ten votes on a poll at the AGM; and</w:t>
      </w:r>
    </w:p>
    <w:p>
      <w:pPr>
        <w:spacing w:after="0" w:line="161" w:lineRule="exact"/>
        <w:rPr>
          <w:rFonts w:ascii="Times New Roman" w:cs="Times New Roman" w:eastAsia="Times New Roman" w:hAnsi="Times New Roman"/>
          <w:sz w:val="18"/>
          <w:szCs w:val="18"/>
          <w:color w:val="231F20"/>
        </w:rPr>
      </w:pPr>
    </w:p>
    <w:p>
      <w:pPr>
        <w:ind w:left="380" w:hanging="372"/>
        <w:spacing w:after="0" w:line="282" w:lineRule="auto"/>
        <w:tabs>
          <w:tab w:leader="none" w:pos="3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 regard to the resolutions numbered 2(a)(iii), 6 and 7, each Class A Ordinary Share and each Class B Ordinary Share shall entitle its holder to one vote on a poll at the AGM.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right="20"/>
        <w:spacing w:after="0" w:line="282" w:lineRule="auto"/>
        <w:rPr>
          <w:sz w:val="20"/>
          <w:szCs w:val="20"/>
          <w:color w:val="auto"/>
        </w:rPr>
      </w:pPr>
      <w:r>
        <w:rPr>
          <w:rFonts w:ascii="Times New Roman" w:cs="Times New Roman" w:eastAsia="Times New Roman" w:hAnsi="Times New Roman"/>
          <w:sz w:val="18"/>
          <w:szCs w:val="18"/>
          <w:color w:val="231F20"/>
        </w:rPr>
        <w:t>In accordance with the provisions of the Listing Rules, voting on the resolutions proposed at the AGM was conducted by way of poll. The voting results in respect of the resolutions proposed at the AGM are set out as follows: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00" w:type="dxa"/>
            <w:vAlign w:val="bottom"/>
            <w:tcBorders>
              <w:top w:val="single" w:sz="8" w:color="231F20"/>
              <w:left w:val="single" w:sz="8" w:color="auto"/>
            </w:tcBorders>
          </w:tcPr>
          <w:p>
            <w:pPr>
              <w:spacing w:after="0"/>
              <w:rPr>
                <w:sz w:val="19"/>
                <w:szCs w:val="19"/>
                <w:color w:val="auto"/>
              </w:rPr>
            </w:pPr>
          </w:p>
        </w:tc>
        <w:tc>
          <w:tcPr>
            <w:tcW w:w="2700" w:type="dxa"/>
            <w:vAlign w:val="bottom"/>
            <w:tcBorders>
              <w:top w:val="single" w:sz="8" w:color="231F20"/>
            </w:tcBorders>
          </w:tcPr>
          <w:p>
            <w:pPr>
              <w:spacing w:after="0"/>
              <w:rPr>
                <w:sz w:val="19"/>
                <w:szCs w:val="19"/>
                <w:color w:val="auto"/>
              </w:rPr>
            </w:pPr>
          </w:p>
        </w:tc>
        <w:tc>
          <w:tcPr>
            <w:tcW w:w="1240" w:type="dxa"/>
            <w:vAlign w:val="bottom"/>
            <w:tcBorders>
              <w:top w:val="single" w:sz="8" w:color="231F20"/>
              <w:right w:val="single" w:sz="8" w:color="231F20"/>
            </w:tcBorders>
          </w:tcPr>
          <w:p>
            <w:pPr>
              <w:spacing w:after="0"/>
              <w:rPr>
                <w:sz w:val="19"/>
                <w:szCs w:val="19"/>
                <w:color w:val="auto"/>
              </w:rPr>
            </w:pPr>
          </w:p>
        </w:tc>
        <w:tc>
          <w:tcPr>
            <w:tcW w:w="3700" w:type="dxa"/>
            <w:vAlign w:val="bottom"/>
            <w:tcBorders>
              <w:top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NUMBER OF VOTES</w:t>
            </w:r>
          </w:p>
        </w:tc>
        <w:tc>
          <w:tcPr>
            <w:tcW w:w="14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w:t>
            </w:r>
          </w:p>
        </w:tc>
        <w:tc>
          <w:tcPr>
            <w:tcW w:w="14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w:t>
            </w:r>
          </w:p>
        </w:tc>
        <w:tc>
          <w:tcPr>
            <w:tcW w:w="0" w:type="dxa"/>
            <w:vAlign w:val="bottom"/>
          </w:tcPr>
          <w:p>
            <w:pPr>
              <w:spacing w:after="0"/>
              <w:rPr>
                <w:sz w:val="1"/>
                <w:szCs w:val="1"/>
                <w:color w:val="auto"/>
              </w:rPr>
            </w:pPr>
          </w:p>
        </w:tc>
      </w:tr>
      <w:tr>
        <w:trPr>
          <w:trHeight w:val="194"/>
        </w:trPr>
        <w:tc>
          <w:tcPr>
            <w:tcW w:w="700" w:type="dxa"/>
            <w:vAlign w:val="bottom"/>
            <w:tcBorders>
              <w:left w:val="single" w:sz="8" w:color="231F20"/>
            </w:tcBorders>
          </w:tcPr>
          <w:p>
            <w:pPr>
              <w:spacing w:after="0"/>
              <w:rPr>
                <w:sz w:val="16"/>
                <w:szCs w:val="16"/>
                <w:color w:val="auto"/>
              </w:rPr>
            </w:pPr>
          </w:p>
        </w:tc>
        <w:tc>
          <w:tcPr>
            <w:tcW w:w="3940" w:type="dxa"/>
            <w:vAlign w:val="bottom"/>
            <w:tcBorders>
              <w:right w:val="single" w:sz="8" w:color="231F20"/>
            </w:tcBorders>
            <w:gridSpan w:val="2"/>
          </w:tcPr>
          <w:p>
            <w:pPr>
              <w:ind w:left="460"/>
              <w:spacing w:after="0" w:line="194" w:lineRule="exact"/>
              <w:rPr>
                <w:sz w:val="20"/>
                <w:szCs w:val="20"/>
                <w:color w:val="auto"/>
              </w:rPr>
            </w:pPr>
            <w:r>
              <w:rPr>
                <w:rFonts w:ascii="Times New Roman" w:cs="Times New Roman" w:eastAsia="Times New Roman" w:hAnsi="Times New Roman"/>
                <w:sz w:val="18"/>
                <w:szCs w:val="18"/>
                <w:b w:val="1"/>
                <w:bCs w:val="1"/>
                <w:color w:val="231F20"/>
              </w:rPr>
              <w:t>ORDINARY RESOLUTIONS</w:t>
            </w:r>
          </w:p>
        </w:tc>
        <w:tc>
          <w:tcPr>
            <w:tcW w:w="3700" w:type="dxa"/>
            <w:vAlign w:val="bottom"/>
            <w:tcBorders>
              <w:right w:val="single" w:sz="8" w:color="231F20"/>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231F20"/>
                <w:w w:val="99"/>
              </w:rPr>
              <w:t>CAST AND PERCENTAGE (%)</w:t>
            </w:r>
          </w:p>
        </w:tc>
        <w:tc>
          <w:tcPr>
            <w:tcW w:w="1440" w:type="dxa"/>
            <w:vAlign w:val="bottom"/>
            <w:tcBorders>
              <w:right w:val="single" w:sz="8" w:color="231F20"/>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231F20"/>
              </w:rPr>
              <w:t>NUMBER OF</w:t>
            </w:r>
          </w:p>
        </w:tc>
        <w:tc>
          <w:tcPr>
            <w:tcW w:w="1460" w:type="dxa"/>
            <w:vAlign w:val="bottom"/>
            <w:tcBorders>
              <w:right w:val="single" w:sz="8" w:color="231F20"/>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231F20"/>
              </w:rPr>
              <w:t>NUMBER OF</w:t>
            </w:r>
          </w:p>
        </w:tc>
        <w:tc>
          <w:tcPr>
            <w:tcW w:w="0" w:type="dxa"/>
            <w:vAlign w:val="bottom"/>
          </w:tcPr>
          <w:p>
            <w:pPr>
              <w:spacing w:after="0"/>
              <w:rPr>
                <w:sz w:val="1"/>
                <w:szCs w:val="1"/>
                <w:color w:val="auto"/>
              </w:rPr>
            </w:pPr>
          </w:p>
        </w:tc>
      </w:tr>
      <w:tr>
        <w:trPr>
          <w:trHeight w:val="90"/>
        </w:trPr>
        <w:tc>
          <w:tcPr>
            <w:tcW w:w="700" w:type="dxa"/>
            <w:vAlign w:val="bottom"/>
            <w:tcBorders>
              <w:left w:val="single" w:sz="8" w:color="231F20"/>
            </w:tcBorders>
          </w:tcPr>
          <w:p>
            <w:pPr>
              <w:spacing w:after="0"/>
              <w:rPr>
                <w:sz w:val="7"/>
                <w:szCs w:val="7"/>
                <w:color w:val="auto"/>
              </w:rPr>
            </w:pPr>
          </w:p>
        </w:tc>
        <w:tc>
          <w:tcPr>
            <w:tcW w:w="2700" w:type="dxa"/>
            <w:vAlign w:val="bottom"/>
          </w:tcPr>
          <w:p>
            <w:pPr>
              <w:spacing w:after="0"/>
              <w:rPr>
                <w:sz w:val="7"/>
                <w:szCs w:val="7"/>
                <w:color w:val="auto"/>
              </w:rPr>
            </w:pPr>
          </w:p>
        </w:tc>
        <w:tc>
          <w:tcPr>
            <w:tcW w:w="1240" w:type="dxa"/>
            <w:vAlign w:val="bottom"/>
            <w:tcBorders>
              <w:right w:val="single" w:sz="8" w:color="231F20"/>
            </w:tcBorders>
          </w:tcPr>
          <w:p>
            <w:pPr>
              <w:spacing w:after="0"/>
              <w:rPr>
                <w:sz w:val="7"/>
                <w:szCs w:val="7"/>
                <w:color w:val="auto"/>
              </w:rPr>
            </w:pPr>
          </w:p>
        </w:tc>
        <w:tc>
          <w:tcPr>
            <w:tcW w:w="1240" w:type="dxa"/>
            <w:vAlign w:val="bottom"/>
            <w:tcBorders>
              <w:bottom w:val="single" w:sz="8" w:color="231F20"/>
            </w:tcBorders>
          </w:tcPr>
          <w:p>
            <w:pPr>
              <w:spacing w:after="0"/>
              <w:rPr>
                <w:sz w:val="7"/>
                <w:szCs w:val="7"/>
                <w:color w:val="auto"/>
              </w:rPr>
            </w:pPr>
          </w:p>
        </w:tc>
        <w:tc>
          <w:tcPr>
            <w:tcW w:w="1220" w:type="dxa"/>
            <w:vAlign w:val="bottom"/>
            <w:tcBorders>
              <w:bottom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4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VOTING</w:t>
            </w:r>
          </w:p>
        </w:tc>
        <w:tc>
          <w:tcPr>
            <w:tcW w:w="14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VOTES CAST</w:t>
            </w:r>
          </w:p>
        </w:tc>
        <w:tc>
          <w:tcPr>
            <w:tcW w:w="0" w:type="dxa"/>
            <w:vAlign w:val="bottom"/>
          </w:tcPr>
          <w:p>
            <w:pPr>
              <w:spacing w:after="0"/>
              <w:rPr>
                <w:sz w:val="1"/>
                <w:szCs w:val="1"/>
                <w:color w:val="auto"/>
              </w:rPr>
            </w:pPr>
          </w:p>
        </w:tc>
      </w:tr>
      <w:tr>
        <w:trPr>
          <w:trHeight w:val="106"/>
        </w:trPr>
        <w:tc>
          <w:tcPr>
            <w:tcW w:w="700" w:type="dxa"/>
            <w:vAlign w:val="bottom"/>
            <w:tcBorders>
              <w:left w:val="single" w:sz="8" w:color="231F20"/>
            </w:tcBorders>
          </w:tcPr>
          <w:p>
            <w:pPr>
              <w:spacing w:after="0"/>
              <w:rPr>
                <w:sz w:val="9"/>
                <w:szCs w:val="9"/>
                <w:color w:val="auto"/>
              </w:rPr>
            </w:pPr>
          </w:p>
        </w:tc>
        <w:tc>
          <w:tcPr>
            <w:tcW w:w="2700" w:type="dxa"/>
            <w:vAlign w:val="bottom"/>
          </w:tcPr>
          <w:p>
            <w:pPr>
              <w:spacing w:after="0"/>
              <w:rPr>
                <w:sz w:val="9"/>
                <w:szCs w:val="9"/>
                <w:color w:val="auto"/>
              </w:rPr>
            </w:pPr>
          </w:p>
        </w:tc>
        <w:tc>
          <w:tcPr>
            <w:tcW w:w="1240" w:type="dxa"/>
            <w:vAlign w:val="bottom"/>
            <w:tcBorders>
              <w:right w:val="single" w:sz="8" w:color="231F20"/>
            </w:tcBorders>
          </w:tcPr>
          <w:p>
            <w:pPr>
              <w:spacing w:after="0"/>
              <w:rPr>
                <w:sz w:val="9"/>
                <w:szCs w:val="9"/>
                <w:color w:val="auto"/>
              </w:rPr>
            </w:pPr>
          </w:p>
        </w:tc>
        <w:tc>
          <w:tcPr>
            <w:tcW w:w="1240" w:type="dxa"/>
            <w:vAlign w:val="bottom"/>
            <w:tcBorders>
              <w:right w:val="single" w:sz="8" w:color="231F20"/>
            </w:tcBorders>
          </w:tcPr>
          <w:p>
            <w:pPr>
              <w:spacing w:after="0"/>
              <w:rPr>
                <w:sz w:val="9"/>
                <w:szCs w:val="9"/>
                <w:color w:val="auto"/>
              </w:rPr>
            </w:pPr>
          </w:p>
        </w:tc>
        <w:tc>
          <w:tcPr>
            <w:tcW w:w="12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AGAINST</w:t>
            </w:r>
          </w:p>
        </w:tc>
        <w:tc>
          <w:tcPr>
            <w:tcW w:w="1240" w:type="dxa"/>
            <w:vAlign w:val="bottom"/>
            <w:tcBorders>
              <w:right w:val="single" w:sz="8" w:color="231F20"/>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231F20"/>
              </w:rPr>
              <w:t>ABSTAIN</w:t>
            </w:r>
            <w:r>
              <w:rPr>
                <w:rFonts w:ascii="Times New Roman" w:cs="Times New Roman" w:eastAsia="Times New Roman" w:hAnsi="Times New Roman"/>
                <w:sz w:val="29"/>
                <w:szCs w:val="29"/>
                <w:b w:val="1"/>
                <w:bCs w:val="1"/>
                <w:color w:val="231F20"/>
                <w:vertAlign w:val="superscript"/>
              </w:rPr>
              <w:t>1</w:t>
            </w:r>
          </w:p>
        </w:tc>
        <w:tc>
          <w:tcPr>
            <w:tcW w:w="1440" w:type="dxa"/>
            <w:vAlign w:val="bottom"/>
            <w:tcBorders>
              <w:right w:val="single" w:sz="8" w:color="231F20"/>
            </w:tcBorders>
            <w:vMerge w:val="continue"/>
          </w:tcPr>
          <w:p>
            <w:pPr>
              <w:spacing w:after="0"/>
              <w:rPr>
                <w:sz w:val="9"/>
                <w:szCs w:val="9"/>
                <w:color w:val="auto"/>
              </w:rPr>
            </w:pPr>
          </w:p>
        </w:tc>
        <w:tc>
          <w:tcPr>
            <w:tcW w:w="1460" w:type="dxa"/>
            <w:vAlign w:val="bottom"/>
            <w:tcBorders>
              <w:right w:val="single" w:sz="8" w:color="231F2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700" w:type="dxa"/>
            <w:vAlign w:val="bottom"/>
            <w:tcBorders>
              <w:left w:val="single" w:sz="8" w:color="231F20"/>
              <w:bottom w:val="single" w:sz="8" w:color="231F20"/>
            </w:tcBorders>
          </w:tcPr>
          <w:p>
            <w:pPr>
              <w:spacing w:after="0"/>
              <w:rPr>
                <w:sz w:val="20"/>
                <w:szCs w:val="20"/>
                <w:color w:val="auto"/>
              </w:rPr>
            </w:pPr>
          </w:p>
        </w:tc>
        <w:tc>
          <w:tcPr>
            <w:tcW w:w="270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31F20"/>
              </w:rPr>
              <w:t>FOR</w:t>
            </w:r>
          </w:p>
        </w:tc>
        <w:tc>
          <w:tcPr>
            <w:tcW w:w="1220" w:type="dxa"/>
            <w:vAlign w:val="bottom"/>
            <w:tcBorders>
              <w:bottom w:val="single" w:sz="8" w:color="231F20"/>
              <w:right w:val="single" w:sz="8" w:color="231F20"/>
            </w:tcBorders>
            <w:vMerge w:val="continue"/>
          </w:tcPr>
          <w:p>
            <w:pPr>
              <w:spacing w:after="0"/>
              <w:rPr>
                <w:sz w:val="20"/>
                <w:szCs w:val="20"/>
                <w:color w:val="auto"/>
              </w:rPr>
            </w:pPr>
          </w:p>
        </w:tc>
        <w:tc>
          <w:tcPr>
            <w:tcW w:w="1240" w:type="dxa"/>
            <w:vAlign w:val="bottom"/>
            <w:tcBorders>
              <w:bottom w:val="single" w:sz="8" w:color="231F20"/>
              <w:right w:val="single" w:sz="8" w:color="231F20"/>
            </w:tcBorders>
            <w:vMerge w:val="continue"/>
          </w:tcPr>
          <w:p>
            <w:pPr>
              <w:spacing w:after="0"/>
              <w:rPr>
                <w:sz w:val="20"/>
                <w:szCs w:val="20"/>
                <w:color w:val="auto"/>
              </w:rPr>
            </w:pP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SHARES</w:t>
            </w: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231F20"/>
              </w:rPr>
              <w:t>1.</w:t>
            </w:r>
          </w:p>
        </w:tc>
        <w:tc>
          <w:tcPr>
            <w:tcW w:w="270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To receive, consider, and adopt the</w:t>
            </w: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Class A</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165,650,739</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83,238</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9,599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165,733,977</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165,733,977</w:t>
            </w: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right w:val="single" w:sz="8" w:color="231F20"/>
            </w:tcBorders>
          </w:tcPr>
          <w:p>
            <w:pPr>
              <w:spacing w:after="0"/>
              <w:rPr>
                <w:sz w:val="20"/>
                <w:szCs w:val="20"/>
                <w:color w:val="auto"/>
              </w:rPr>
            </w:pPr>
          </w:p>
        </w:tc>
        <w:tc>
          <w:tcPr>
            <w:tcW w:w="27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audited consolidated financial</w:t>
            </w: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(99.949776%)</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(0.050224%)</w:t>
            </w: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00" w:type="dxa"/>
            <w:vAlign w:val="bottom"/>
            <w:tcBorders>
              <w:left w:val="single" w:sz="8" w:color="231F20"/>
              <w:right w:val="single" w:sz="8" w:color="231F20"/>
            </w:tcBorders>
          </w:tcPr>
          <w:p>
            <w:pPr>
              <w:spacing w:after="0"/>
              <w:rPr>
                <w:sz w:val="15"/>
                <w:szCs w:val="15"/>
                <w:color w:val="auto"/>
              </w:rPr>
            </w:pPr>
          </w:p>
        </w:tc>
        <w:tc>
          <w:tcPr>
            <w:tcW w:w="2700" w:type="dxa"/>
            <w:vAlign w:val="bottom"/>
            <w:tcBorders>
              <w:right w:val="single" w:sz="8" w:color="231F20"/>
            </w:tcBorders>
          </w:tcPr>
          <w:p>
            <w:pPr>
              <w:ind w:left="40"/>
              <w:spacing w:after="0" w:line="177" w:lineRule="exact"/>
              <w:rPr>
                <w:sz w:val="20"/>
                <w:szCs w:val="20"/>
                <w:color w:val="auto"/>
              </w:rPr>
            </w:pPr>
            <w:r>
              <w:rPr>
                <w:rFonts w:ascii="Times New Roman" w:cs="Times New Roman" w:eastAsia="Times New Roman" w:hAnsi="Times New Roman"/>
                <w:sz w:val="18"/>
                <w:szCs w:val="18"/>
                <w:color w:val="231F20"/>
              </w:rPr>
              <w:t>statements of the Company as of</w:t>
            </w:r>
          </w:p>
        </w:tc>
        <w:tc>
          <w:tcPr>
            <w:tcW w:w="1240" w:type="dxa"/>
            <w:vAlign w:val="bottom"/>
            <w:tcBorders>
              <w:right w:val="single" w:sz="8" w:color="231F20"/>
            </w:tcBorders>
          </w:tcPr>
          <w:p>
            <w:pPr>
              <w:ind w:left="40"/>
              <w:spacing w:after="0" w:line="177" w:lineRule="exact"/>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9"/>
              </w:rPr>
              <w:t>702,053,000</w:t>
            </w:r>
          </w:p>
        </w:tc>
        <w:tc>
          <w:tcPr>
            <w:tcW w:w="122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rPr>
              <w:t>0</w:t>
            </w:r>
          </w:p>
        </w:tc>
        <w:tc>
          <w:tcPr>
            <w:tcW w:w="12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rPr>
              <w:t>0 (-)</w:t>
            </w:r>
          </w:p>
        </w:tc>
        <w:tc>
          <w:tcPr>
            <w:tcW w:w="14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rPr>
              <w:t>70,205,300</w:t>
            </w:r>
          </w:p>
        </w:tc>
        <w:tc>
          <w:tcPr>
            <w:tcW w:w="146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9"/>
              </w:rPr>
              <w:t>702,053,000</w:t>
            </w:r>
          </w:p>
        </w:tc>
        <w:tc>
          <w:tcPr>
            <w:tcW w:w="0" w:type="dxa"/>
            <w:vAlign w:val="bottom"/>
          </w:tcPr>
          <w:p>
            <w:pPr>
              <w:spacing w:after="0"/>
              <w:rPr>
                <w:sz w:val="1"/>
                <w:szCs w:val="1"/>
                <w:color w:val="auto"/>
              </w:rPr>
            </w:pP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27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and for the year ended</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(100.000000%)</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(0.000000%)</w:t>
            </w: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700" w:type="dxa"/>
            <w:vAlign w:val="bottom"/>
            <w:tcBorders>
              <w:left w:val="single" w:sz="8" w:color="231F20"/>
              <w:right w:val="single" w:sz="8" w:color="231F20"/>
            </w:tcBorders>
          </w:tcPr>
          <w:p>
            <w:pPr>
              <w:spacing w:after="0"/>
              <w:rPr>
                <w:sz w:val="2"/>
                <w:szCs w:val="2"/>
                <w:color w:val="auto"/>
              </w:rPr>
            </w:pPr>
          </w:p>
        </w:tc>
        <w:tc>
          <w:tcPr>
            <w:tcW w:w="270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December 31, 2024 and the report</w:t>
            </w: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2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440" w:type="dxa"/>
            <w:vAlign w:val="bottom"/>
            <w:tcBorders>
              <w:bottom w:val="single" w:sz="8" w:color="231F20"/>
              <w:right w:val="single" w:sz="8" w:color="231F20"/>
            </w:tcBorders>
          </w:tcPr>
          <w:p>
            <w:pPr>
              <w:spacing w:after="0"/>
              <w:rPr>
                <w:sz w:val="2"/>
                <w:szCs w:val="2"/>
                <w:color w:val="auto"/>
              </w:rPr>
            </w:pPr>
          </w:p>
        </w:tc>
        <w:tc>
          <w:tcPr>
            <w:tcW w:w="14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700" w:type="dxa"/>
            <w:vAlign w:val="bottom"/>
            <w:tcBorders>
              <w:left w:val="single" w:sz="8" w:color="231F20"/>
              <w:right w:val="single" w:sz="8" w:color="231F20"/>
            </w:tcBorders>
          </w:tcPr>
          <w:p>
            <w:pPr>
              <w:spacing w:after="0"/>
              <w:rPr>
                <w:sz w:val="14"/>
                <w:szCs w:val="14"/>
                <w:color w:val="auto"/>
              </w:rPr>
            </w:pPr>
          </w:p>
        </w:tc>
        <w:tc>
          <w:tcPr>
            <w:tcW w:w="2700" w:type="dxa"/>
            <w:vAlign w:val="bottom"/>
            <w:tcBorders>
              <w:right w:val="single" w:sz="8" w:color="231F20"/>
            </w:tcBorders>
            <w:vMerge w:val="continue"/>
          </w:tcPr>
          <w:p>
            <w:pPr>
              <w:spacing w:after="0"/>
              <w:rPr>
                <w:sz w:val="14"/>
                <w:szCs w:val="14"/>
                <w:color w:val="auto"/>
              </w:rPr>
            </w:pPr>
          </w:p>
        </w:tc>
        <w:tc>
          <w:tcPr>
            <w:tcW w:w="1240" w:type="dxa"/>
            <w:vAlign w:val="bottom"/>
            <w:tcBorders>
              <w:right w:val="single" w:sz="8" w:color="231F20"/>
            </w:tcBorders>
          </w:tcPr>
          <w:p>
            <w:pPr>
              <w:ind w:left="40"/>
              <w:spacing w:after="0" w:line="164" w:lineRule="exact"/>
              <w:rPr>
                <w:sz w:val="20"/>
                <w:szCs w:val="20"/>
                <w:color w:val="auto"/>
              </w:rPr>
            </w:pPr>
            <w:r>
              <w:rPr>
                <w:rFonts w:ascii="Times New Roman" w:cs="Times New Roman" w:eastAsia="Times New Roman" w:hAnsi="Times New Roman"/>
                <w:sz w:val="18"/>
                <w:szCs w:val="18"/>
                <w:color w:val="231F20"/>
              </w:rPr>
              <w:t>TOTAL</w:t>
            </w:r>
          </w:p>
        </w:tc>
        <w:tc>
          <w:tcPr>
            <w:tcW w:w="124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231F20"/>
                <w:w w:val="99"/>
              </w:rPr>
              <w:t>867,703,739</w:t>
            </w:r>
          </w:p>
        </w:tc>
        <w:tc>
          <w:tcPr>
            <w:tcW w:w="122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231F20"/>
              </w:rPr>
              <w:t>83,238</w:t>
            </w:r>
          </w:p>
        </w:tc>
        <w:tc>
          <w:tcPr>
            <w:tcW w:w="124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231F20"/>
              </w:rPr>
              <w:t>9,599 (-)</w:t>
            </w:r>
          </w:p>
        </w:tc>
        <w:tc>
          <w:tcPr>
            <w:tcW w:w="144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231F20"/>
                <w:w w:val="99"/>
              </w:rPr>
              <w:t>235,939,277</w:t>
            </w:r>
          </w:p>
        </w:tc>
        <w:tc>
          <w:tcPr>
            <w:tcW w:w="146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231F20"/>
                <w:w w:val="99"/>
              </w:rPr>
              <w:t>867,786,977</w:t>
            </w:r>
          </w:p>
        </w:tc>
        <w:tc>
          <w:tcPr>
            <w:tcW w:w="0" w:type="dxa"/>
            <w:vAlign w:val="bottom"/>
          </w:tcPr>
          <w:p>
            <w:pPr>
              <w:spacing w:after="0"/>
              <w:rPr>
                <w:sz w:val="1"/>
                <w:szCs w:val="1"/>
                <w:color w:val="auto"/>
              </w:rPr>
            </w:pPr>
          </w:p>
        </w:tc>
      </w:tr>
      <w:tr>
        <w:trPr>
          <w:trHeight w:val="243"/>
        </w:trPr>
        <w:tc>
          <w:tcPr>
            <w:tcW w:w="700" w:type="dxa"/>
            <w:vAlign w:val="bottom"/>
            <w:tcBorders>
              <w:left w:val="single" w:sz="8" w:color="231F20"/>
              <w:right w:val="single" w:sz="8" w:color="231F20"/>
            </w:tcBorders>
          </w:tcPr>
          <w:p>
            <w:pPr>
              <w:spacing w:after="0"/>
              <w:rPr>
                <w:sz w:val="21"/>
                <w:szCs w:val="21"/>
                <w:color w:val="auto"/>
              </w:rPr>
            </w:pPr>
          </w:p>
        </w:tc>
        <w:tc>
          <w:tcPr>
            <w:tcW w:w="27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of the auditor thereon.</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(99.990408%)</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(0.009592%)</w:t>
            </w:r>
          </w:p>
        </w:tc>
        <w:tc>
          <w:tcPr>
            <w:tcW w:w="1240" w:type="dxa"/>
            <w:vAlign w:val="bottom"/>
            <w:tcBorders>
              <w:right w:val="single" w:sz="8" w:color="231F20"/>
            </w:tcBorders>
          </w:tcPr>
          <w:p>
            <w:pPr>
              <w:spacing w:after="0"/>
              <w:rPr>
                <w:sz w:val="21"/>
                <w:szCs w:val="21"/>
                <w:color w:val="auto"/>
              </w:rPr>
            </w:pPr>
          </w:p>
        </w:tc>
        <w:tc>
          <w:tcPr>
            <w:tcW w:w="1440" w:type="dxa"/>
            <w:vAlign w:val="bottom"/>
            <w:tcBorders>
              <w:right w:val="single" w:sz="8" w:color="231F20"/>
            </w:tcBorders>
          </w:tcPr>
          <w:p>
            <w:pPr>
              <w:spacing w:after="0"/>
              <w:rPr>
                <w:sz w:val="21"/>
                <w:szCs w:val="21"/>
                <w:color w:val="auto"/>
              </w:rPr>
            </w:pPr>
          </w:p>
        </w:tc>
        <w:tc>
          <w:tcPr>
            <w:tcW w:w="146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270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A &amp;</w:t>
            </w:r>
          </w:p>
        </w:tc>
        <w:tc>
          <w:tcPr>
            <w:tcW w:w="124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270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spacing w:after="0"/>
              <w:rPr>
                <w:sz w:val="16"/>
                <w:szCs w:val="16"/>
                <w:color w:val="auto"/>
              </w:rPr>
            </w:pPr>
          </w:p>
        </w:tc>
        <w:tc>
          <w:tcPr>
            <w:tcW w:w="10540" w:type="dxa"/>
            <w:vAlign w:val="bottom"/>
            <w:tcBorders>
              <w:right w:val="single" w:sz="8" w:color="231F20"/>
            </w:tcBorders>
            <w:gridSpan w:val="7"/>
          </w:tcPr>
          <w:p>
            <w:pPr>
              <w:ind w:left="40"/>
              <w:spacing w:after="0" w:line="191" w:lineRule="exact"/>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394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24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231F20"/>
              </w:rPr>
              <w:t>2.(a)(i)</w:t>
            </w:r>
          </w:p>
        </w:tc>
        <w:tc>
          <w:tcPr>
            <w:tcW w:w="270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To re-elect Mr. YANG Yi as an</w:t>
            </w: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Class A</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159,826,991</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5,913,055</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3,392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165,740,046</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165,740,046</w:t>
            </w: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right w:val="single" w:sz="8" w:color="231F20"/>
            </w:tcBorders>
          </w:tcPr>
          <w:p>
            <w:pPr>
              <w:spacing w:after="0"/>
              <w:rPr>
                <w:sz w:val="20"/>
                <w:szCs w:val="20"/>
                <w:color w:val="auto"/>
              </w:rPr>
            </w:pPr>
          </w:p>
        </w:tc>
        <w:tc>
          <w:tcPr>
            <w:tcW w:w="27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executive Director.</w:t>
            </w: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(96.432332%)</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(3.567668%)</w:t>
            </w: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spacing w:after="0"/>
              <w:rPr>
                <w:sz w:val="16"/>
                <w:szCs w:val="16"/>
                <w:color w:val="auto"/>
              </w:rPr>
            </w:pPr>
          </w:p>
        </w:tc>
        <w:tc>
          <w:tcPr>
            <w:tcW w:w="270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702,053,000</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0</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0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70,205,300</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702,053,000</w:t>
            </w: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right w:val="single" w:sz="8" w:color="231F20"/>
            </w:tcBorders>
          </w:tcPr>
          <w:p>
            <w:pPr>
              <w:spacing w:after="0"/>
              <w:rPr>
                <w:sz w:val="20"/>
                <w:szCs w:val="20"/>
                <w:color w:val="auto"/>
              </w:rPr>
            </w:pPr>
          </w:p>
        </w:tc>
        <w:tc>
          <w:tcPr>
            <w:tcW w:w="2700" w:type="dxa"/>
            <w:vAlign w:val="bottom"/>
            <w:tcBorders>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(100.000000%)</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(0.000000%)</w:t>
            </w: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spacing w:after="0"/>
              <w:rPr>
                <w:sz w:val="16"/>
                <w:szCs w:val="16"/>
                <w:color w:val="auto"/>
              </w:rPr>
            </w:pPr>
          </w:p>
        </w:tc>
        <w:tc>
          <w:tcPr>
            <w:tcW w:w="270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TOTAL</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861,879,991</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5,913,055</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3,392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235,945,346</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867,793,046</w:t>
            </w:r>
          </w:p>
        </w:tc>
        <w:tc>
          <w:tcPr>
            <w:tcW w:w="0" w:type="dxa"/>
            <w:vAlign w:val="bottom"/>
          </w:tcPr>
          <w:p>
            <w:pPr>
              <w:spacing w:after="0"/>
              <w:rPr>
                <w:sz w:val="1"/>
                <w:szCs w:val="1"/>
                <w:color w:val="auto"/>
              </w:rPr>
            </w:pP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270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(99.318610%)</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(0.681390%)</w:t>
            </w: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270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A &amp;</w:t>
            </w:r>
          </w:p>
        </w:tc>
        <w:tc>
          <w:tcPr>
            <w:tcW w:w="124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270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spacing w:after="0"/>
              <w:rPr>
                <w:sz w:val="16"/>
                <w:szCs w:val="16"/>
                <w:color w:val="auto"/>
              </w:rPr>
            </w:pPr>
          </w:p>
        </w:tc>
        <w:tc>
          <w:tcPr>
            <w:tcW w:w="10540" w:type="dxa"/>
            <w:vAlign w:val="bottom"/>
            <w:tcBorders>
              <w:right w:val="single" w:sz="8" w:color="231F20"/>
            </w:tcBorders>
            <w:gridSpan w:val="7"/>
          </w:tcPr>
          <w:p>
            <w:pPr>
              <w:ind w:left="40"/>
              <w:spacing w:after="0" w:line="191" w:lineRule="exact"/>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394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24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231F20"/>
              </w:rPr>
              <w:t>2.(a)(ii)</w:t>
            </w:r>
          </w:p>
        </w:tc>
        <w:tc>
          <w:tcPr>
            <w:tcW w:w="270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To re-elect Ms. ZHANG Yan as an</w:t>
            </w: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Class A</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164,874,679</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865,532</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3,437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165,740,211</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165,740,211</w:t>
            </w: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right w:val="single" w:sz="8" w:color="231F20"/>
            </w:tcBorders>
          </w:tcPr>
          <w:p>
            <w:pPr>
              <w:spacing w:after="0"/>
              <w:rPr>
                <w:sz w:val="20"/>
                <w:szCs w:val="20"/>
                <w:color w:val="auto"/>
              </w:rPr>
            </w:pPr>
          </w:p>
        </w:tc>
        <w:tc>
          <w:tcPr>
            <w:tcW w:w="27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executive Director.</w:t>
            </w: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(99.477778%)</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(0.522222%)</w:t>
            </w: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spacing w:after="0"/>
              <w:rPr>
                <w:sz w:val="16"/>
                <w:szCs w:val="16"/>
                <w:color w:val="auto"/>
              </w:rPr>
            </w:pPr>
          </w:p>
        </w:tc>
        <w:tc>
          <w:tcPr>
            <w:tcW w:w="270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702,053,000</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0</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0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70,205,300</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702,053,000</w:t>
            </w: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right w:val="single" w:sz="8" w:color="231F20"/>
            </w:tcBorders>
          </w:tcPr>
          <w:p>
            <w:pPr>
              <w:spacing w:after="0"/>
              <w:rPr>
                <w:sz w:val="20"/>
                <w:szCs w:val="20"/>
                <w:color w:val="auto"/>
              </w:rPr>
            </w:pPr>
          </w:p>
        </w:tc>
        <w:tc>
          <w:tcPr>
            <w:tcW w:w="2700" w:type="dxa"/>
            <w:vAlign w:val="bottom"/>
            <w:tcBorders>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(100.000000%)</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(0.000000%)</w:t>
            </w: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spacing w:after="0"/>
              <w:rPr>
                <w:sz w:val="16"/>
                <w:szCs w:val="16"/>
                <w:color w:val="auto"/>
              </w:rPr>
            </w:pPr>
          </w:p>
        </w:tc>
        <w:tc>
          <w:tcPr>
            <w:tcW w:w="270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TOTAL</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866,927,679</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865,532</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3,437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235,945,511</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867,793,211</w:t>
            </w:r>
          </w:p>
        </w:tc>
        <w:tc>
          <w:tcPr>
            <w:tcW w:w="0" w:type="dxa"/>
            <w:vAlign w:val="bottom"/>
          </w:tcPr>
          <w:p>
            <w:pPr>
              <w:spacing w:after="0"/>
              <w:rPr>
                <w:sz w:val="1"/>
                <w:szCs w:val="1"/>
                <w:color w:val="auto"/>
              </w:rPr>
            </w:pP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270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(99.900261%)</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(0.099739%)</w:t>
            </w: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270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A &amp;</w:t>
            </w:r>
          </w:p>
        </w:tc>
        <w:tc>
          <w:tcPr>
            <w:tcW w:w="124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270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spacing w:after="0"/>
              <w:rPr>
                <w:sz w:val="16"/>
                <w:szCs w:val="16"/>
                <w:color w:val="auto"/>
              </w:rPr>
            </w:pPr>
          </w:p>
        </w:tc>
        <w:tc>
          <w:tcPr>
            <w:tcW w:w="10540" w:type="dxa"/>
            <w:vAlign w:val="bottom"/>
            <w:tcBorders>
              <w:right w:val="single" w:sz="8" w:color="231F20"/>
            </w:tcBorders>
            <w:gridSpan w:val="7"/>
          </w:tcPr>
          <w:p>
            <w:pPr>
              <w:ind w:left="40"/>
              <w:spacing w:after="0" w:line="191" w:lineRule="exact"/>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394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24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7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00" w:type="dxa"/>
            <w:vAlign w:val="bottom"/>
            <w:tcBorders>
              <w:top w:val="single" w:sz="8" w:color="231F20"/>
              <w:left w:val="single" w:sz="8" w:color="auto"/>
            </w:tcBorders>
          </w:tcPr>
          <w:p>
            <w:pPr>
              <w:spacing w:after="0"/>
              <w:rPr>
                <w:sz w:val="19"/>
                <w:szCs w:val="19"/>
                <w:color w:val="auto"/>
              </w:rPr>
            </w:pPr>
          </w:p>
        </w:tc>
        <w:tc>
          <w:tcPr>
            <w:tcW w:w="2700" w:type="dxa"/>
            <w:vAlign w:val="bottom"/>
            <w:tcBorders>
              <w:top w:val="single" w:sz="8" w:color="231F20"/>
            </w:tcBorders>
          </w:tcPr>
          <w:p>
            <w:pPr>
              <w:spacing w:after="0"/>
              <w:rPr>
                <w:sz w:val="19"/>
                <w:szCs w:val="19"/>
                <w:color w:val="auto"/>
              </w:rPr>
            </w:pPr>
          </w:p>
        </w:tc>
        <w:tc>
          <w:tcPr>
            <w:tcW w:w="1240" w:type="dxa"/>
            <w:vAlign w:val="bottom"/>
            <w:tcBorders>
              <w:top w:val="single" w:sz="8" w:color="231F20"/>
              <w:right w:val="single" w:sz="8" w:color="231F20"/>
            </w:tcBorders>
          </w:tcPr>
          <w:p>
            <w:pPr>
              <w:spacing w:after="0"/>
              <w:rPr>
                <w:sz w:val="19"/>
                <w:szCs w:val="19"/>
                <w:color w:val="auto"/>
              </w:rPr>
            </w:pPr>
          </w:p>
        </w:tc>
        <w:tc>
          <w:tcPr>
            <w:tcW w:w="3700" w:type="dxa"/>
            <w:vAlign w:val="bottom"/>
            <w:tcBorders>
              <w:top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NUMBER OF VOTES</w:t>
            </w:r>
          </w:p>
        </w:tc>
        <w:tc>
          <w:tcPr>
            <w:tcW w:w="14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w:t>
            </w:r>
          </w:p>
        </w:tc>
        <w:tc>
          <w:tcPr>
            <w:tcW w:w="14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w:t>
            </w:r>
          </w:p>
        </w:tc>
        <w:tc>
          <w:tcPr>
            <w:tcW w:w="0" w:type="dxa"/>
            <w:vAlign w:val="bottom"/>
          </w:tcPr>
          <w:p>
            <w:pPr>
              <w:spacing w:after="0"/>
              <w:rPr>
                <w:sz w:val="1"/>
                <w:szCs w:val="1"/>
                <w:color w:val="auto"/>
              </w:rPr>
            </w:pPr>
          </w:p>
        </w:tc>
      </w:tr>
      <w:tr>
        <w:trPr>
          <w:trHeight w:val="194"/>
        </w:trPr>
        <w:tc>
          <w:tcPr>
            <w:tcW w:w="700" w:type="dxa"/>
            <w:vAlign w:val="bottom"/>
            <w:tcBorders>
              <w:left w:val="single" w:sz="8" w:color="231F20"/>
            </w:tcBorders>
          </w:tcPr>
          <w:p>
            <w:pPr>
              <w:spacing w:after="0"/>
              <w:rPr>
                <w:sz w:val="16"/>
                <w:szCs w:val="16"/>
                <w:color w:val="auto"/>
              </w:rPr>
            </w:pPr>
          </w:p>
        </w:tc>
        <w:tc>
          <w:tcPr>
            <w:tcW w:w="3940" w:type="dxa"/>
            <w:vAlign w:val="bottom"/>
            <w:tcBorders>
              <w:right w:val="single" w:sz="8" w:color="231F20"/>
            </w:tcBorders>
            <w:gridSpan w:val="2"/>
          </w:tcPr>
          <w:p>
            <w:pPr>
              <w:ind w:left="460"/>
              <w:spacing w:after="0" w:line="194" w:lineRule="exact"/>
              <w:rPr>
                <w:sz w:val="20"/>
                <w:szCs w:val="20"/>
                <w:color w:val="auto"/>
              </w:rPr>
            </w:pPr>
            <w:r>
              <w:rPr>
                <w:rFonts w:ascii="Times New Roman" w:cs="Times New Roman" w:eastAsia="Times New Roman" w:hAnsi="Times New Roman"/>
                <w:sz w:val="18"/>
                <w:szCs w:val="18"/>
                <w:b w:val="1"/>
                <w:bCs w:val="1"/>
                <w:color w:val="231F20"/>
              </w:rPr>
              <w:t>ORDINARY RESOLUTIONS</w:t>
            </w:r>
          </w:p>
        </w:tc>
        <w:tc>
          <w:tcPr>
            <w:tcW w:w="3700" w:type="dxa"/>
            <w:vAlign w:val="bottom"/>
            <w:tcBorders>
              <w:right w:val="single" w:sz="8" w:color="231F20"/>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231F20"/>
                <w:w w:val="99"/>
              </w:rPr>
              <w:t>CAST AND PERCENTAGE (%)</w:t>
            </w:r>
          </w:p>
        </w:tc>
        <w:tc>
          <w:tcPr>
            <w:tcW w:w="1440" w:type="dxa"/>
            <w:vAlign w:val="bottom"/>
            <w:tcBorders>
              <w:right w:val="single" w:sz="8" w:color="231F20"/>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231F20"/>
              </w:rPr>
              <w:t>NUMBER OF</w:t>
            </w:r>
          </w:p>
        </w:tc>
        <w:tc>
          <w:tcPr>
            <w:tcW w:w="1460" w:type="dxa"/>
            <w:vAlign w:val="bottom"/>
            <w:tcBorders>
              <w:right w:val="single" w:sz="8" w:color="231F20"/>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231F20"/>
              </w:rPr>
              <w:t>NUMBER OF</w:t>
            </w:r>
          </w:p>
        </w:tc>
        <w:tc>
          <w:tcPr>
            <w:tcW w:w="0" w:type="dxa"/>
            <w:vAlign w:val="bottom"/>
          </w:tcPr>
          <w:p>
            <w:pPr>
              <w:spacing w:after="0"/>
              <w:rPr>
                <w:sz w:val="1"/>
                <w:szCs w:val="1"/>
                <w:color w:val="auto"/>
              </w:rPr>
            </w:pPr>
          </w:p>
        </w:tc>
      </w:tr>
      <w:tr>
        <w:trPr>
          <w:trHeight w:val="90"/>
        </w:trPr>
        <w:tc>
          <w:tcPr>
            <w:tcW w:w="700" w:type="dxa"/>
            <w:vAlign w:val="bottom"/>
            <w:tcBorders>
              <w:left w:val="single" w:sz="8" w:color="231F20"/>
            </w:tcBorders>
          </w:tcPr>
          <w:p>
            <w:pPr>
              <w:spacing w:after="0"/>
              <w:rPr>
                <w:sz w:val="7"/>
                <w:szCs w:val="7"/>
                <w:color w:val="auto"/>
              </w:rPr>
            </w:pPr>
          </w:p>
        </w:tc>
        <w:tc>
          <w:tcPr>
            <w:tcW w:w="2700" w:type="dxa"/>
            <w:vAlign w:val="bottom"/>
          </w:tcPr>
          <w:p>
            <w:pPr>
              <w:spacing w:after="0"/>
              <w:rPr>
                <w:sz w:val="7"/>
                <w:szCs w:val="7"/>
                <w:color w:val="auto"/>
              </w:rPr>
            </w:pPr>
          </w:p>
        </w:tc>
        <w:tc>
          <w:tcPr>
            <w:tcW w:w="1240" w:type="dxa"/>
            <w:vAlign w:val="bottom"/>
            <w:tcBorders>
              <w:right w:val="single" w:sz="8" w:color="231F20"/>
            </w:tcBorders>
          </w:tcPr>
          <w:p>
            <w:pPr>
              <w:spacing w:after="0"/>
              <w:rPr>
                <w:sz w:val="7"/>
                <w:szCs w:val="7"/>
                <w:color w:val="auto"/>
              </w:rPr>
            </w:pPr>
          </w:p>
        </w:tc>
        <w:tc>
          <w:tcPr>
            <w:tcW w:w="1240" w:type="dxa"/>
            <w:vAlign w:val="bottom"/>
            <w:tcBorders>
              <w:bottom w:val="single" w:sz="8" w:color="231F20"/>
            </w:tcBorders>
          </w:tcPr>
          <w:p>
            <w:pPr>
              <w:spacing w:after="0"/>
              <w:rPr>
                <w:sz w:val="7"/>
                <w:szCs w:val="7"/>
                <w:color w:val="auto"/>
              </w:rPr>
            </w:pPr>
          </w:p>
        </w:tc>
        <w:tc>
          <w:tcPr>
            <w:tcW w:w="1220" w:type="dxa"/>
            <w:vAlign w:val="bottom"/>
            <w:tcBorders>
              <w:bottom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4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VOTING</w:t>
            </w:r>
          </w:p>
        </w:tc>
        <w:tc>
          <w:tcPr>
            <w:tcW w:w="14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VOTES CAST</w:t>
            </w:r>
          </w:p>
        </w:tc>
        <w:tc>
          <w:tcPr>
            <w:tcW w:w="0" w:type="dxa"/>
            <w:vAlign w:val="bottom"/>
          </w:tcPr>
          <w:p>
            <w:pPr>
              <w:spacing w:after="0"/>
              <w:rPr>
                <w:sz w:val="1"/>
                <w:szCs w:val="1"/>
                <w:color w:val="auto"/>
              </w:rPr>
            </w:pPr>
          </w:p>
        </w:tc>
      </w:tr>
      <w:tr>
        <w:trPr>
          <w:trHeight w:val="106"/>
        </w:trPr>
        <w:tc>
          <w:tcPr>
            <w:tcW w:w="700" w:type="dxa"/>
            <w:vAlign w:val="bottom"/>
            <w:tcBorders>
              <w:left w:val="single" w:sz="8" w:color="231F20"/>
            </w:tcBorders>
          </w:tcPr>
          <w:p>
            <w:pPr>
              <w:spacing w:after="0"/>
              <w:rPr>
                <w:sz w:val="9"/>
                <w:szCs w:val="9"/>
                <w:color w:val="auto"/>
              </w:rPr>
            </w:pPr>
          </w:p>
        </w:tc>
        <w:tc>
          <w:tcPr>
            <w:tcW w:w="2700" w:type="dxa"/>
            <w:vAlign w:val="bottom"/>
          </w:tcPr>
          <w:p>
            <w:pPr>
              <w:spacing w:after="0"/>
              <w:rPr>
                <w:sz w:val="9"/>
                <w:szCs w:val="9"/>
                <w:color w:val="auto"/>
              </w:rPr>
            </w:pPr>
          </w:p>
        </w:tc>
        <w:tc>
          <w:tcPr>
            <w:tcW w:w="1240" w:type="dxa"/>
            <w:vAlign w:val="bottom"/>
            <w:tcBorders>
              <w:right w:val="single" w:sz="8" w:color="231F20"/>
            </w:tcBorders>
          </w:tcPr>
          <w:p>
            <w:pPr>
              <w:spacing w:after="0"/>
              <w:rPr>
                <w:sz w:val="9"/>
                <w:szCs w:val="9"/>
                <w:color w:val="auto"/>
              </w:rPr>
            </w:pPr>
          </w:p>
        </w:tc>
        <w:tc>
          <w:tcPr>
            <w:tcW w:w="1240" w:type="dxa"/>
            <w:vAlign w:val="bottom"/>
            <w:tcBorders>
              <w:right w:val="single" w:sz="8" w:color="231F20"/>
            </w:tcBorders>
          </w:tcPr>
          <w:p>
            <w:pPr>
              <w:spacing w:after="0"/>
              <w:rPr>
                <w:sz w:val="9"/>
                <w:szCs w:val="9"/>
                <w:color w:val="auto"/>
              </w:rPr>
            </w:pPr>
          </w:p>
        </w:tc>
        <w:tc>
          <w:tcPr>
            <w:tcW w:w="12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AGAINST</w:t>
            </w:r>
          </w:p>
        </w:tc>
        <w:tc>
          <w:tcPr>
            <w:tcW w:w="1240" w:type="dxa"/>
            <w:vAlign w:val="bottom"/>
            <w:tcBorders>
              <w:right w:val="single" w:sz="8" w:color="231F20"/>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231F20"/>
              </w:rPr>
              <w:t>ABSTAIN</w:t>
            </w:r>
            <w:r>
              <w:rPr>
                <w:rFonts w:ascii="Times New Roman" w:cs="Times New Roman" w:eastAsia="Times New Roman" w:hAnsi="Times New Roman"/>
                <w:sz w:val="29"/>
                <w:szCs w:val="29"/>
                <w:b w:val="1"/>
                <w:bCs w:val="1"/>
                <w:color w:val="231F20"/>
                <w:vertAlign w:val="superscript"/>
              </w:rPr>
              <w:t>1</w:t>
            </w:r>
          </w:p>
        </w:tc>
        <w:tc>
          <w:tcPr>
            <w:tcW w:w="1440" w:type="dxa"/>
            <w:vAlign w:val="bottom"/>
            <w:tcBorders>
              <w:right w:val="single" w:sz="8" w:color="231F20"/>
            </w:tcBorders>
            <w:vMerge w:val="continue"/>
          </w:tcPr>
          <w:p>
            <w:pPr>
              <w:spacing w:after="0"/>
              <w:rPr>
                <w:sz w:val="9"/>
                <w:szCs w:val="9"/>
                <w:color w:val="auto"/>
              </w:rPr>
            </w:pPr>
          </w:p>
        </w:tc>
        <w:tc>
          <w:tcPr>
            <w:tcW w:w="1460" w:type="dxa"/>
            <w:vAlign w:val="bottom"/>
            <w:tcBorders>
              <w:right w:val="single" w:sz="8" w:color="231F2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700" w:type="dxa"/>
            <w:vAlign w:val="bottom"/>
            <w:tcBorders>
              <w:left w:val="single" w:sz="8" w:color="231F20"/>
              <w:bottom w:val="single" w:sz="8" w:color="231F20"/>
            </w:tcBorders>
          </w:tcPr>
          <w:p>
            <w:pPr>
              <w:spacing w:after="0"/>
              <w:rPr>
                <w:sz w:val="20"/>
                <w:szCs w:val="20"/>
                <w:color w:val="auto"/>
              </w:rPr>
            </w:pPr>
          </w:p>
        </w:tc>
        <w:tc>
          <w:tcPr>
            <w:tcW w:w="270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31F20"/>
              </w:rPr>
              <w:t>FOR</w:t>
            </w:r>
          </w:p>
        </w:tc>
        <w:tc>
          <w:tcPr>
            <w:tcW w:w="1220" w:type="dxa"/>
            <w:vAlign w:val="bottom"/>
            <w:tcBorders>
              <w:bottom w:val="single" w:sz="8" w:color="231F20"/>
              <w:right w:val="single" w:sz="8" w:color="231F20"/>
            </w:tcBorders>
            <w:vMerge w:val="continue"/>
          </w:tcPr>
          <w:p>
            <w:pPr>
              <w:spacing w:after="0"/>
              <w:rPr>
                <w:sz w:val="20"/>
                <w:szCs w:val="20"/>
                <w:color w:val="auto"/>
              </w:rPr>
            </w:pPr>
          </w:p>
        </w:tc>
        <w:tc>
          <w:tcPr>
            <w:tcW w:w="1240" w:type="dxa"/>
            <w:vAlign w:val="bottom"/>
            <w:tcBorders>
              <w:bottom w:val="single" w:sz="8" w:color="231F20"/>
              <w:right w:val="single" w:sz="8" w:color="231F20"/>
            </w:tcBorders>
            <w:vMerge w:val="continue"/>
          </w:tcPr>
          <w:p>
            <w:pPr>
              <w:spacing w:after="0"/>
              <w:rPr>
                <w:sz w:val="20"/>
                <w:szCs w:val="20"/>
                <w:color w:val="auto"/>
              </w:rPr>
            </w:pP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SHARES</w:t>
            </w: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231F20"/>
                <w:w w:val="95"/>
              </w:rPr>
              <w:t>2.(a)(iii)</w:t>
            </w:r>
          </w:p>
        </w:tc>
        <w:tc>
          <w:tcPr>
            <w:tcW w:w="270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To re-elect Mr. YIP Pak Tung Jason</w:t>
            </w: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Class A</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161,592,890</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4,146,792</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3,292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165,739,682</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165,739,682</w:t>
            </w: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right w:val="single" w:sz="8" w:color="231F20"/>
            </w:tcBorders>
          </w:tcPr>
          <w:p>
            <w:pPr>
              <w:spacing w:after="0"/>
              <w:rPr>
                <w:sz w:val="20"/>
                <w:szCs w:val="20"/>
                <w:color w:val="auto"/>
              </w:rPr>
            </w:pPr>
          </w:p>
        </w:tc>
        <w:tc>
          <w:tcPr>
            <w:tcW w:w="27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as an independent non-executive</w:t>
            </w: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(97.498009%)</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(2.501991%)</w:t>
            </w: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spacing w:after="0"/>
              <w:rPr>
                <w:sz w:val="16"/>
                <w:szCs w:val="16"/>
                <w:color w:val="auto"/>
              </w:rPr>
            </w:pPr>
          </w:p>
        </w:tc>
        <w:tc>
          <w:tcPr>
            <w:tcW w:w="270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Director.</w:t>
            </w: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70,205,300</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0</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0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70,205,300</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8"/>
              </w:rPr>
              <w:t>70,205,300</w:t>
            </w: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right w:val="single" w:sz="8" w:color="231F20"/>
            </w:tcBorders>
          </w:tcPr>
          <w:p>
            <w:pPr>
              <w:spacing w:after="0"/>
              <w:rPr>
                <w:sz w:val="20"/>
                <w:szCs w:val="20"/>
                <w:color w:val="auto"/>
              </w:rPr>
            </w:pPr>
          </w:p>
        </w:tc>
        <w:tc>
          <w:tcPr>
            <w:tcW w:w="2700" w:type="dxa"/>
            <w:vAlign w:val="bottom"/>
            <w:tcBorders>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(100.000000%)</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(0.000000%)</w:t>
            </w: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spacing w:after="0"/>
              <w:rPr>
                <w:sz w:val="16"/>
                <w:szCs w:val="16"/>
                <w:color w:val="auto"/>
              </w:rPr>
            </w:pPr>
          </w:p>
        </w:tc>
        <w:tc>
          <w:tcPr>
            <w:tcW w:w="270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TOTAL</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231,798,190</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4,146,792</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3,292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235,944,982</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235,944,982</w:t>
            </w:r>
          </w:p>
        </w:tc>
        <w:tc>
          <w:tcPr>
            <w:tcW w:w="0" w:type="dxa"/>
            <w:vAlign w:val="bottom"/>
          </w:tcPr>
          <w:p>
            <w:pPr>
              <w:spacing w:after="0"/>
              <w:rPr>
                <w:sz w:val="1"/>
                <w:szCs w:val="1"/>
                <w:color w:val="auto"/>
              </w:rPr>
            </w:pP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270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(98.242475%)</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(1.757525%)</w:t>
            </w: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270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A &amp;</w:t>
            </w:r>
          </w:p>
        </w:tc>
        <w:tc>
          <w:tcPr>
            <w:tcW w:w="124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270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spacing w:after="0"/>
              <w:rPr>
                <w:sz w:val="16"/>
                <w:szCs w:val="16"/>
                <w:color w:val="auto"/>
              </w:rPr>
            </w:pPr>
          </w:p>
        </w:tc>
        <w:tc>
          <w:tcPr>
            <w:tcW w:w="10540" w:type="dxa"/>
            <w:vAlign w:val="bottom"/>
            <w:tcBorders>
              <w:right w:val="single" w:sz="8" w:color="231F20"/>
            </w:tcBorders>
            <w:gridSpan w:val="7"/>
          </w:tcPr>
          <w:p>
            <w:pPr>
              <w:ind w:left="40"/>
              <w:spacing w:after="0" w:line="191" w:lineRule="exact"/>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394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24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231F20"/>
              </w:rPr>
              <w:t>2.(b)</w:t>
            </w:r>
          </w:p>
        </w:tc>
        <w:tc>
          <w:tcPr>
            <w:tcW w:w="270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To authorize the Board or the</w:t>
            </w: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Class A</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163,553,429</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2,186,081</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4,164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165,739,510</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165,739,510</w:t>
            </w: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right w:val="single" w:sz="8" w:color="231F20"/>
            </w:tcBorders>
          </w:tcPr>
          <w:p>
            <w:pPr>
              <w:spacing w:after="0"/>
              <w:rPr>
                <w:sz w:val="20"/>
                <w:szCs w:val="20"/>
                <w:color w:val="auto"/>
              </w:rPr>
            </w:pPr>
          </w:p>
        </w:tc>
        <w:tc>
          <w:tcPr>
            <w:tcW w:w="27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Compensation Committee to fix the</w:t>
            </w: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(98.681014%)</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(1.318986%)</w:t>
            </w: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spacing w:after="0"/>
              <w:rPr>
                <w:sz w:val="16"/>
                <w:szCs w:val="16"/>
                <w:color w:val="auto"/>
              </w:rPr>
            </w:pPr>
          </w:p>
        </w:tc>
        <w:tc>
          <w:tcPr>
            <w:tcW w:w="270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remuneration of the Directors.</w:t>
            </w: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702,053,000</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0</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0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70,205,300</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702,053,000</w:t>
            </w: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right w:val="single" w:sz="8" w:color="231F20"/>
            </w:tcBorders>
          </w:tcPr>
          <w:p>
            <w:pPr>
              <w:spacing w:after="0"/>
              <w:rPr>
                <w:sz w:val="20"/>
                <w:szCs w:val="20"/>
                <w:color w:val="auto"/>
              </w:rPr>
            </w:pPr>
          </w:p>
        </w:tc>
        <w:tc>
          <w:tcPr>
            <w:tcW w:w="2700" w:type="dxa"/>
            <w:vAlign w:val="bottom"/>
            <w:tcBorders>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(100.000000%)</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(0.000000%)</w:t>
            </w: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spacing w:after="0"/>
              <w:rPr>
                <w:sz w:val="16"/>
                <w:szCs w:val="16"/>
                <w:color w:val="auto"/>
              </w:rPr>
            </w:pPr>
          </w:p>
        </w:tc>
        <w:tc>
          <w:tcPr>
            <w:tcW w:w="270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TOTAL</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865,606,429</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2,186,081</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4,164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235,944,810</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867,792,510</w:t>
            </w:r>
          </w:p>
        </w:tc>
        <w:tc>
          <w:tcPr>
            <w:tcW w:w="0" w:type="dxa"/>
            <w:vAlign w:val="bottom"/>
          </w:tcPr>
          <w:p>
            <w:pPr>
              <w:spacing w:after="0"/>
              <w:rPr>
                <w:sz w:val="1"/>
                <w:szCs w:val="1"/>
                <w:color w:val="auto"/>
              </w:rPr>
            </w:pP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270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(99.748087%)</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(0.251913%)</w:t>
            </w: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270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A &amp;</w:t>
            </w:r>
          </w:p>
        </w:tc>
        <w:tc>
          <w:tcPr>
            <w:tcW w:w="124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270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spacing w:after="0"/>
              <w:rPr>
                <w:sz w:val="16"/>
                <w:szCs w:val="16"/>
                <w:color w:val="auto"/>
              </w:rPr>
            </w:pPr>
          </w:p>
        </w:tc>
        <w:tc>
          <w:tcPr>
            <w:tcW w:w="10540" w:type="dxa"/>
            <w:vAlign w:val="bottom"/>
            <w:tcBorders>
              <w:right w:val="single" w:sz="8" w:color="231F20"/>
            </w:tcBorders>
            <w:gridSpan w:val="7"/>
          </w:tcPr>
          <w:p>
            <w:pPr>
              <w:ind w:left="40"/>
              <w:spacing w:after="0" w:line="191" w:lineRule="exact"/>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394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24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231F20"/>
              </w:rPr>
              <w:t>3.</w:t>
            </w:r>
          </w:p>
        </w:tc>
        <w:tc>
          <w:tcPr>
            <w:tcW w:w="270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To grant a general mandate to the</w:t>
            </w: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Class A</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128,676,660</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37,064,598</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2,414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165,741,258</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165,741,258</w:t>
            </w:r>
          </w:p>
        </w:tc>
        <w:tc>
          <w:tcPr>
            <w:tcW w:w="0" w:type="dxa"/>
            <w:vAlign w:val="bottom"/>
          </w:tcPr>
          <w:p>
            <w:pPr>
              <w:spacing w:after="0"/>
              <w:rPr>
                <w:sz w:val="1"/>
                <w:szCs w:val="1"/>
                <w:color w:val="auto"/>
              </w:rPr>
            </w:pP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27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Directors to issue, allot, and deal</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(77.637072%)</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(22.362928%)</w:t>
            </w: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 w:type="dxa"/>
            <w:vAlign w:val="bottom"/>
            <w:tcBorders>
              <w:left w:val="single" w:sz="8" w:color="231F20"/>
              <w:right w:val="single" w:sz="8" w:color="231F20"/>
            </w:tcBorders>
          </w:tcPr>
          <w:p>
            <w:pPr>
              <w:spacing w:after="0"/>
              <w:rPr>
                <w:sz w:val="19"/>
                <w:szCs w:val="19"/>
                <w:color w:val="auto"/>
              </w:rPr>
            </w:pPr>
          </w:p>
        </w:tc>
        <w:tc>
          <w:tcPr>
            <w:tcW w:w="27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with additional Class A Ordinary</w:t>
            </w:r>
          </w:p>
        </w:tc>
        <w:tc>
          <w:tcPr>
            <w:tcW w:w="1240" w:type="dxa"/>
            <w:vAlign w:val="bottom"/>
            <w:tcBorders>
              <w:bottom w:val="single" w:sz="8" w:color="231F20"/>
              <w:right w:val="single" w:sz="8" w:color="231F20"/>
            </w:tcBorders>
          </w:tcPr>
          <w:p>
            <w:pPr>
              <w:spacing w:after="0"/>
              <w:rPr>
                <w:sz w:val="19"/>
                <w:szCs w:val="19"/>
                <w:color w:val="auto"/>
              </w:rPr>
            </w:pPr>
          </w:p>
        </w:tc>
        <w:tc>
          <w:tcPr>
            <w:tcW w:w="1240" w:type="dxa"/>
            <w:vAlign w:val="bottom"/>
            <w:tcBorders>
              <w:bottom w:val="single" w:sz="8" w:color="231F20"/>
              <w:right w:val="single" w:sz="8" w:color="231F20"/>
            </w:tcBorders>
          </w:tcPr>
          <w:p>
            <w:pPr>
              <w:spacing w:after="0"/>
              <w:rPr>
                <w:sz w:val="19"/>
                <w:szCs w:val="19"/>
                <w:color w:val="auto"/>
              </w:rPr>
            </w:pPr>
          </w:p>
        </w:tc>
        <w:tc>
          <w:tcPr>
            <w:tcW w:w="1220" w:type="dxa"/>
            <w:vAlign w:val="bottom"/>
            <w:tcBorders>
              <w:bottom w:val="single" w:sz="8" w:color="231F20"/>
              <w:right w:val="single" w:sz="8" w:color="231F20"/>
            </w:tcBorders>
          </w:tcPr>
          <w:p>
            <w:pPr>
              <w:spacing w:after="0"/>
              <w:rPr>
                <w:sz w:val="19"/>
                <w:szCs w:val="19"/>
                <w:color w:val="auto"/>
              </w:rPr>
            </w:pPr>
          </w:p>
        </w:tc>
        <w:tc>
          <w:tcPr>
            <w:tcW w:w="1240" w:type="dxa"/>
            <w:vAlign w:val="bottom"/>
            <w:tcBorders>
              <w:bottom w:val="single" w:sz="8" w:color="231F20"/>
              <w:right w:val="single" w:sz="8" w:color="231F20"/>
            </w:tcBorders>
          </w:tcPr>
          <w:p>
            <w:pPr>
              <w:spacing w:after="0"/>
              <w:rPr>
                <w:sz w:val="19"/>
                <w:szCs w:val="19"/>
                <w:color w:val="auto"/>
              </w:rPr>
            </w:pPr>
          </w:p>
        </w:tc>
        <w:tc>
          <w:tcPr>
            <w:tcW w:w="1440" w:type="dxa"/>
            <w:vAlign w:val="bottom"/>
            <w:tcBorders>
              <w:bottom w:val="single" w:sz="8" w:color="231F20"/>
              <w:right w:val="single" w:sz="8" w:color="231F20"/>
            </w:tcBorders>
          </w:tcPr>
          <w:p>
            <w:pPr>
              <w:spacing w:after="0"/>
              <w:rPr>
                <w:sz w:val="19"/>
                <w:szCs w:val="19"/>
                <w:color w:val="auto"/>
              </w:rPr>
            </w:pPr>
          </w:p>
        </w:tc>
        <w:tc>
          <w:tcPr>
            <w:tcW w:w="1460" w:type="dxa"/>
            <w:vAlign w:val="bottom"/>
            <w:tcBorders>
              <w:bottom w:val="single" w:sz="8" w:color="231F20"/>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spacing w:after="0"/>
              <w:rPr>
                <w:sz w:val="16"/>
                <w:szCs w:val="16"/>
                <w:color w:val="auto"/>
              </w:rPr>
            </w:pPr>
          </w:p>
        </w:tc>
        <w:tc>
          <w:tcPr>
            <w:tcW w:w="270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Shares and/or ADSs of the</w:t>
            </w: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702,053,000</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0</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0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70,205,300</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702,053,000</w:t>
            </w:r>
          </w:p>
        </w:tc>
        <w:tc>
          <w:tcPr>
            <w:tcW w:w="0" w:type="dxa"/>
            <w:vAlign w:val="bottom"/>
          </w:tcPr>
          <w:p>
            <w:pPr>
              <w:spacing w:after="0"/>
              <w:rPr>
                <w:sz w:val="1"/>
                <w:szCs w:val="1"/>
                <w:color w:val="auto"/>
              </w:rPr>
            </w:pP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27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Company, or sell and/or transfer</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(100.000000%)</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(0.000000%)</w:t>
            </w: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right w:val="single" w:sz="8" w:color="231F20"/>
            </w:tcBorders>
          </w:tcPr>
          <w:p>
            <w:pPr>
              <w:spacing w:after="0"/>
              <w:rPr>
                <w:sz w:val="20"/>
                <w:szCs w:val="20"/>
                <w:color w:val="auto"/>
              </w:rPr>
            </w:pPr>
          </w:p>
        </w:tc>
        <w:tc>
          <w:tcPr>
            <w:tcW w:w="27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A Ordinary Shares out of</w:t>
            </w:r>
          </w:p>
        </w:tc>
        <w:tc>
          <w:tcPr>
            <w:tcW w:w="12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00" w:type="dxa"/>
            <w:vAlign w:val="bottom"/>
            <w:tcBorders>
              <w:left w:val="single" w:sz="8" w:color="231F20"/>
              <w:right w:val="single" w:sz="8" w:color="231F20"/>
            </w:tcBorders>
          </w:tcPr>
          <w:p>
            <w:pPr>
              <w:spacing w:after="0"/>
              <w:rPr>
                <w:sz w:val="15"/>
                <w:szCs w:val="15"/>
                <w:color w:val="auto"/>
              </w:rPr>
            </w:pPr>
          </w:p>
        </w:tc>
        <w:tc>
          <w:tcPr>
            <w:tcW w:w="2700" w:type="dxa"/>
            <w:vAlign w:val="bottom"/>
            <w:tcBorders>
              <w:right w:val="single" w:sz="8" w:color="231F20"/>
            </w:tcBorders>
          </w:tcPr>
          <w:p>
            <w:pPr>
              <w:ind w:left="40"/>
              <w:spacing w:after="0" w:line="177" w:lineRule="exact"/>
              <w:rPr>
                <w:sz w:val="20"/>
                <w:szCs w:val="20"/>
                <w:color w:val="auto"/>
              </w:rPr>
            </w:pPr>
            <w:r>
              <w:rPr>
                <w:rFonts w:ascii="Times New Roman" w:cs="Times New Roman" w:eastAsia="Times New Roman" w:hAnsi="Times New Roman"/>
                <w:sz w:val="18"/>
                <w:szCs w:val="18"/>
                <w:color w:val="231F20"/>
              </w:rPr>
              <w:t>treasury that are held as treasury</w:t>
            </w:r>
          </w:p>
        </w:tc>
        <w:tc>
          <w:tcPr>
            <w:tcW w:w="1240" w:type="dxa"/>
            <w:vAlign w:val="bottom"/>
            <w:tcBorders>
              <w:right w:val="single" w:sz="8" w:color="231F20"/>
            </w:tcBorders>
          </w:tcPr>
          <w:p>
            <w:pPr>
              <w:ind w:left="40"/>
              <w:spacing w:after="0" w:line="177" w:lineRule="exact"/>
              <w:rPr>
                <w:sz w:val="20"/>
                <w:szCs w:val="20"/>
                <w:color w:val="auto"/>
              </w:rPr>
            </w:pPr>
            <w:r>
              <w:rPr>
                <w:rFonts w:ascii="Times New Roman" w:cs="Times New Roman" w:eastAsia="Times New Roman" w:hAnsi="Times New Roman"/>
                <w:sz w:val="18"/>
                <w:szCs w:val="18"/>
                <w:color w:val="231F20"/>
              </w:rPr>
              <w:t>TOTAL</w:t>
            </w:r>
          </w:p>
        </w:tc>
        <w:tc>
          <w:tcPr>
            <w:tcW w:w="12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9"/>
              </w:rPr>
              <w:t>830,729,660</w:t>
            </w:r>
          </w:p>
        </w:tc>
        <w:tc>
          <w:tcPr>
            <w:tcW w:w="122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rPr>
              <w:t>37,064,598</w:t>
            </w:r>
          </w:p>
        </w:tc>
        <w:tc>
          <w:tcPr>
            <w:tcW w:w="12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rPr>
              <w:t>2,414 (-)</w:t>
            </w:r>
          </w:p>
        </w:tc>
        <w:tc>
          <w:tcPr>
            <w:tcW w:w="14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9"/>
              </w:rPr>
              <w:t>235,946,558</w:t>
            </w:r>
          </w:p>
        </w:tc>
        <w:tc>
          <w:tcPr>
            <w:tcW w:w="146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9"/>
              </w:rPr>
              <w:t>867,794,258</w:t>
            </w:r>
          </w:p>
        </w:tc>
        <w:tc>
          <w:tcPr>
            <w:tcW w:w="0" w:type="dxa"/>
            <w:vAlign w:val="bottom"/>
          </w:tcPr>
          <w:p>
            <w:pPr>
              <w:spacing w:after="0"/>
              <w:rPr>
                <w:sz w:val="1"/>
                <w:szCs w:val="1"/>
                <w:color w:val="auto"/>
              </w:rPr>
            </w:pP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27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shares not exceeding 20% of the</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(95.728873%)</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(4.271127%)</w:t>
            </w: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27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total number of issued Shares</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A &amp;</w:t>
            </w:r>
          </w:p>
        </w:tc>
        <w:tc>
          <w:tcPr>
            <w:tcW w:w="124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27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(excluding any treasury shares) of</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231F20"/>
              <w:right w:val="single" w:sz="8" w:color="231F20"/>
            </w:tcBorders>
          </w:tcPr>
          <w:p>
            <w:pPr>
              <w:spacing w:after="0"/>
              <w:rPr>
                <w:sz w:val="18"/>
                <w:szCs w:val="18"/>
                <w:color w:val="auto"/>
              </w:rPr>
            </w:pPr>
          </w:p>
        </w:tc>
        <w:tc>
          <w:tcPr>
            <w:tcW w:w="27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the Company as of the date of</w:t>
            </w:r>
          </w:p>
        </w:tc>
        <w:tc>
          <w:tcPr>
            <w:tcW w:w="12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270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passing of this resolution.</w:t>
            </w:r>
          </w:p>
        </w:tc>
        <w:tc>
          <w:tcPr>
            <w:tcW w:w="12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231F20"/>
              <w:right w:val="single" w:sz="8" w:color="231F20"/>
            </w:tcBorders>
          </w:tcPr>
          <w:p>
            <w:pPr>
              <w:spacing w:after="0"/>
              <w:rPr>
                <w:sz w:val="16"/>
                <w:szCs w:val="16"/>
                <w:color w:val="auto"/>
              </w:rPr>
            </w:pPr>
          </w:p>
        </w:tc>
        <w:tc>
          <w:tcPr>
            <w:tcW w:w="10540" w:type="dxa"/>
            <w:vAlign w:val="bottom"/>
            <w:tcBorders>
              <w:right w:val="single" w:sz="8" w:color="231F20"/>
            </w:tcBorders>
            <w:gridSpan w:val="7"/>
          </w:tcPr>
          <w:p>
            <w:pPr>
              <w:ind w:left="40"/>
              <w:spacing w:after="0" w:line="191" w:lineRule="exact"/>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700" w:type="dxa"/>
            <w:vAlign w:val="bottom"/>
            <w:tcBorders>
              <w:left w:val="single" w:sz="8" w:color="231F20"/>
              <w:bottom w:val="single" w:sz="8" w:color="231F20"/>
              <w:right w:val="single" w:sz="8" w:color="231F20"/>
            </w:tcBorders>
          </w:tcPr>
          <w:p>
            <w:pPr>
              <w:spacing w:after="0"/>
              <w:rPr>
                <w:sz w:val="20"/>
                <w:szCs w:val="20"/>
                <w:color w:val="auto"/>
              </w:rPr>
            </w:pPr>
          </w:p>
        </w:tc>
        <w:tc>
          <w:tcPr>
            <w:tcW w:w="394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24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7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00" w:type="dxa"/>
            <w:vAlign w:val="bottom"/>
            <w:tcBorders>
              <w:top w:val="single" w:sz="8" w:color="231F20"/>
              <w:left w:val="single" w:sz="8" w:color="auto"/>
            </w:tcBorders>
          </w:tcPr>
          <w:p>
            <w:pPr>
              <w:spacing w:after="0"/>
              <w:rPr>
                <w:sz w:val="19"/>
                <w:szCs w:val="19"/>
                <w:color w:val="auto"/>
              </w:rPr>
            </w:pPr>
          </w:p>
        </w:tc>
        <w:tc>
          <w:tcPr>
            <w:tcW w:w="2800" w:type="dxa"/>
            <w:vAlign w:val="bottom"/>
            <w:tcBorders>
              <w:top w:val="single" w:sz="8" w:color="231F20"/>
            </w:tcBorders>
          </w:tcPr>
          <w:p>
            <w:pPr>
              <w:spacing w:after="0"/>
              <w:rPr>
                <w:sz w:val="19"/>
                <w:szCs w:val="19"/>
                <w:color w:val="auto"/>
              </w:rPr>
            </w:pPr>
          </w:p>
        </w:tc>
        <w:tc>
          <w:tcPr>
            <w:tcW w:w="1240" w:type="dxa"/>
            <w:vAlign w:val="bottom"/>
            <w:tcBorders>
              <w:top w:val="single" w:sz="8" w:color="231F20"/>
              <w:right w:val="single" w:sz="8" w:color="231F20"/>
            </w:tcBorders>
          </w:tcPr>
          <w:p>
            <w:pPr>
              <w:spacing w:after="0"/>
              <w:rPr>
                <w:sz w:val="19"/>
                <w:szCs w:val="19"/>
                <w:color w:val="auto"/>
              </w:rPr>
            </w:pPr>
          </w:p>
        </w:tc>
        <w:tc>
          <w:tcPr>
            <w:tcW w:w="3700" w:type="dxa"/>
            <w:vAlign w:val="bottom"/>
            <w:tcBorders>
              <w:top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NUMBER OF VOTES</w:t>
            </w:r>
          </w:p>
        </w:tc>
        <w:tc>
          <w:tcPr>
            <w:tcW w:w="14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w:t>
            </w:r>
          </w:p>
        </w:tc>
        <w:tc>
          <w:tcPr>
            <w:tcW w:w="14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w:t>
            </w:r>
          </w:p>
        </w:tc>
        <w:tc>
          <w:tcPr>
            <w:tcW w:w="0" w:type="dxa"/>
            <w:vAlign w:val="bottom"/>
          </w:tcPr>
          <w:p>
            <w:pPr>
              <w:spacing w:after="0"/>
              <w:rPr>
                <w:sz w:val="1"/>
                <w:szCs w:val="1"/>
                <w:color w:val="auto"/>
              </w:rPr>
            </w:pPr>
          </w:p>
        </w:tc>
      </w:tr>
      <w:tr>
        <w:trPr>
          <w:trHeight w:val="194"/>
        </w:trPr>
        <w:tc>
          <w:tcPr>
            <w:tcW w:w="600" w:type="dxa"/>
            <w:vAlign w:val="bottom"/>
            <w:tcBorders>
              <w:left w:val="single" w:sz="8" w:color="231F20"/>
            </w:tcBorders>
          </w:tcPr>
          <w:p>
            <w:pPr>
              <w:spacing w:after="0"/>
              <w:rPr>
                <w:sz w:val="16"/>
                <w:szCs w:val="16"/>
                <w:color w:val="auto"/>
              </w:rPr>
            </w:pPr>
          </w:p>
        </w:tc>
        <w:tc>
          <w:tcPr>
            <w:tcW w:w="4040" w:type="dxa"/>
            <w:vAlign w:val="bottom"/>
            <w:tcBorders>
              <w:right w:val="single" w:sz="8" w:color="231F20"/>
            </w:tcBorders>
            <w:gridSpan w:val="2"/>
          </w:tcPr>
          <w:p>
            <w:pPr>
              <w:ind w:left="560"/>
              <w:spacing w:after="0" w:line="194" w:lineRule="exact"/>
              <w:rPr>
                <w:sz w:val="20"/>
                <w:szCs w:val="20"/>
                <w:color w:val="auto"/>
              </w:rPr>
            </w:pPr>
            <w:r>
              <w:rPr>
                <w:rFonts w:ascii="Times New Roman" w:cs="Times New Roman" w:eastAsia="Times New Roman" w:hAnsi="Times New Roman"/>
                <w:sz w:val="18"/>
                <w:szCs w:val="18"/>
                <w:b w:val="1"/>
                <w:bCs w:val="1"/>
                <w:color w:val="231F20"/>
              </w:rPr>
              <w:t>ORDINARY RESOLUTIONS</w:t>
            </w:r>
          </w:p>
        </w:tc>
        <w:tc>
          <w:tcPr>
            <w:tcW w:w="3700" w:type="dxa"/>
            <w:vAlign w:val="bottom"/>
            <w:tcBorders>
              <w:right w:val="single" w:sz="8" w:color="231F20"/>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231F20"/>
                <w:w w:val="99"/>
              </w:rPr>
              <w:t>CAST AND PERCENTAGE (%)</w:t>
            </w:r>
          </w:p>
        </w:tc>
        <w:tc>
          <w:tcPr>
            <w:tcW w:w="1440" w:type="dxa"/>
            <w:vAlign w:val="bottom"/>
            <w:tcBorders>
              <w:right w:val="single" w:sz="8" w:color="231F20"/>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231F20"/>
              </w:rPr>
              <w:t>NUMBER OF</w:t>
            </w:r>
          </w:p>
        </w:tc>
        <w:tc>
          <w:tcPr>
            <w:tcW w:w="1460" w:type="dxa"/>
            <w:vAlign w:val="bottom"/>
            <w:tcBorders>
              <w:right w:val="single" w:sz="8" w:color="231F20"/>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231F20"/>
              </w:rPr>
              <w:t>NUMBER OF</w:t>
            </w:r>
          </w:p>
        </w:tc>
        <w:tc>
          <w:tcPr>
            <w:tcW w:w="0" w:type="dxa"/>
            <w:vAlign w:val="bottom"/>
          </w:tcPr>
          <w:p>
            <w:pPr>
              <w:spacing w:after="0"/>
              <w:rPr>
                <w:sz w:val="1"/>
                <w:szCs w:val="1"/>
                <w:color w:val="auto"/>
              </w:rPr>
            </w:pPr>
          </w:p>
        </w:tc>
      </w:tr>
      <w:tr>
        <w:trPr>
          <w:trHeight w:val="90"/>
        </w:trPr>
        <w:tc>
          <w:tcPr>
            <w:tcW w:w="600" w:type="dxa"/>
            <w:vAlign w:val="bottom"/>
            <w:tcBorders>
              <w:left w:val="single" w:sz="8" w:color="231F20"/>
            </w:tcBorders>
          </w:tcPr>
          <w:p>
            <w:pPr>
              <w:spacing w:after="0"/>
              <w:rPr>
                <w:sz w:val="7"/>
                <w:szCs w:val="7"/>
                <w:color w:val="auto"/>
              </w:rPr>
            </w:pPr>
          </w:p>
        </w:tc>
        <w:tc>
          <w:tcPr>
            <w:tcW w:w="2800" w:type="dxa"/>
            <w:vAlign w:val="bottom"/>
          </w:tcPr>
          <w:p>
            <w:pPr>
              <w:spacing w:after="0"/>
              <w:rPr>
                <w:sz w:val="7"/>
                <w:szCs w:val="7"/>
                <w:color w:val="auto"/>
              </w:rPr>
            </w:pPr>
          </w:p>
        </w:tc>
        <w:tc>
          <w:tcPr>
            <w:tcW w:w="1240" w:type="dxa"/>
            <w:vAlign w:val="bottom"/>
            <w:tcBorders>
              <w:right w:val="single" w:sz="8" w:color="231F20"/>
            </w:tcBorders>
          </w:tcPr>
          <w:p>
            <w:pPr>
              <w:spacing w:after="0"/>
              <w:rPr>
                <w:sz w:val="7"/>
                <w:szCs w:val="7"/>
                <w:color w:val="auto"/>
              </w:rPr>
            </w:pPr>
          </w:p>
        </w:tc>
        <w:tc>
          <w:tcPr>
            <w:tcW w:w="1240" w:type="dxa"/>
            <w:vAlign w:val="bottom"/>
            <w:tcBorders>
              <w:bottom w:val="single" w:sz="8" w:color="231F20"/>
            </w:tcBorders>
          </w:tcPr>
          <w:p>
            <w:pPr>
              <w:spacing w:after="0"/>
              <w:rPr>
                <w:sz w:val="7"/>
                <w:szCs w:val="7"/>
                <w:color w:val="auto"/>
              </w:rPr>
            </w:pPr>
          </w:p>
        </w:tc>
        <w:tc>
          <w:tcPr>
            <w:tcW w:w="1220" w:type="dxa"/>
            <w:vAlign w:val="bottom"/>
            <w:tcBorders>
              <w:bottom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4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VOTING</w:t>
            </w:r>
          </w:p>
        </w:tc>
        <w:tc>
          <w:tcPr>
            <w:tcW w:w="14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VOTES CAST</w:t>
            </w:r>
          </w:p>
        </w:tc>
        <w:tc>
          <w:tcPr>
            <w:tcW w:w="0" w:type="dxa"/>
            <w:vAlign w:val="bottom"/>
          </w:tcPr>
          <w:p>
            <w:pPr>
              <w:spacing w:after="0"/>
              <w:rPr>
                <w:sz w:val="1"/>
                <w:szCs w:val="1"/>
                <w:color w:val="auto"/>
              </w:rPr>
            </w:pPr>
          </w:p>
        </w:tc>
      </w:tr>
      <w:tr>
        <w:trPr>
          <w:trHeight w:val="106"/>
        </w:trPr>
        <w:tc>
          <w:tcPr>
            <w:tcW w:w="600" w:type="dxa"/>
            <w:vAlign w:val="bottom"/>
            <w:tcBorders>
              <w:left w:val="single" w:sz="8" w:color="231F20"/>
            </w:tcBorders>
          </w:tcPr>
          <w:p>
            <w:pPr>
              <w:spacing w:after="0"/>
              <w:rPr>
                <w:sz w:val="9"/>
                <w:szCs w:val="9"/>
                <w:color w:val="auto"/>
              </w:rPr>
            </w:pPr>
          </w:p>
        </w:tc>
        <w:tc>
          <w:tcPr>
            <w:tcW w:w="2800" w:type="dxa"/>
            <w:vAlign w:val="bottom"/>
          </w:tcPr>
          <w:p>
            <w:pPr>
              <w:spacing w:after="0"/>
              <w:rPr>
                <w:sz w:val="9"/>
                <w:szCs w:val="9"/>
                <w:color w:val="auto"/>
              </w:rPr>
            </w:pPr>
          </w:p>
        </w:tc>
        <w:tc>
          <w:tcPr>
            <w:tcW w:w="1240" w:type="dxa"/>
            <w:vAlign w:val="bottom"/>
            <w:tcBorders>
              <w:right w:val="single" w:sz="8" w:color="231F20"/>
            </w:tcBorders>
          </w:tcPr>
          <w:p>
            <w:pPr>
              <w:spacing w:after="0"/>
              <w:rPr>
                <w:sz w:val="9"/>
                <w:szCs w:val="9"/>
                <w:color w:val="auto"/>
              </w:rPr>
            </w:pPr>
          </w:p>
        </w:tc>
        <w:tc>
          <w:tcPr>
            <w:tcW w:w="1240" w:type="dxa"/>
            <w:vAlign w:val="bottom"/>
            <w:tcBorders>
              <w:right w:val="single" w:sz="8" w:color="231F20"/>
            </w:tcBorders>
          </w:tcPr>
          <w:p>
            <w:pPr>
              <w:spacing w:after="0"/>
              <w:rPr>
                <w:sz w:val="9"/>
                <w:szCs w:val="9"/>
                <w:color w:val="auto"/>
              </w:rPr>
            </w:pPr>
          </w:p>
        </w:tc>
        <w:tc>
          <w:tcPr>
            <w:tcW w:w="12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AGAINST</w:t>
            </w:r>
          </w:p>
        </w:tc>
        <w:tc>
          <w:tcPr>
            <w:tcW w:w="1240" w:type="dxa"/>
            <w:vAlign w:val="bottom"/>
            <w:tcBorders>
              <w:right w:val="single" w:sz="8" w:color="231F20"/>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231F20"/>
              </w:rPr>
              <w:t>ABSTAIN</w:t>
            </w:r>
            <w:r>
              <w:rPr>
                <w:rFonts w:ascii="Times New Roman" w:cs="Times New Roman" w:eastAsia="Times New Roman" w:hAnsi="Times New Roman"/>
                <w:sz w:val="29"/>
                <w:szCs w:val="29"/>
                <w:b w:val="1"/>
                <w:bCs w:val="1"/>
                <w:color w:val="231F20"/>
                <w:vertAlign w:val="superscript"/>
              </w:rPr>
              <w:t>1</w:t>
            </w:r>
          </w:p>
        </w:tc>
        <w:tc>
          <w:tcPr>
            <w:tcW w:w="1440" w:type="dxa"/>
            <w:vAlign w:val="bottom"/>
            <w:tcBorders>
              <w:right w:val="single" w:sz="8" w:color="231F20"/>
            </w:tcBorders>
            <w:vMerge w:val="continue"/>
          </w:tcPr>
          <w:p>
            <w:pPr>
              <w:spacing w:after="0"/>
              <w:rPr>
                <w:sz w:val="9"/>
                <w:szCs w:val="9"/>
                <w:color w:val="auto"/>
              </w:rPr>
            </w:pPr>
          </w:p>
        </w:tc>
        <w:tc>
          <w:tcPr>
            <w:tcW w:w="1460" w:type="dxa"/>
            <w:vAlign w:val="bottom"/>
            <w:tcBorders>
              <w:right w:val="single" w:sz="8" w:color="231F2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600" w:type="dxa"/>
            <w:vAlign w:val="bottom"/>
            <w:tcBorders>
              <w:left w:val="single" w:sz="8" w:color="231F20"/>
              <w:bottom w:val="single" w:sz="8" w:color="231F20"/>
            </w:tcBorders>
          </w:tcPr>
          <w:p>
            <w:pPr>
              <w:spacing w:after="0"/>
              <w:rPr>
                <w:sz w:val="20"/>
                <w:szCs w:val="20"/>
                <w:color w:val="auto"/>
              </w:rPr>
            </w:pPr>
          </w:p>
        </w:tc>
        <w:tc>
          <w:tcPr>
            <w:tcW w:w="280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31F20"/>
              </w:rPr>
              <w:t>FOR</w:t>
            </w:r>
          </w:p>
        </w:tc>
        <w:tc>
          <w:tcPr>
            <w:tcW w:w="1220" w:type="dxa"/>
            <w:vAlign w:val="bottom"/>
            <w:tcBorders>
              <w:bottom w:val="single" w:sz="8" w:color="231F20"/>
              <w:right w:val="single" w:sz="8" w:color="231F20"/>
            </w:tcBorders>
            <w:vMerge w:val="continue"/>
          </w:tcPr>
          <w:p>
            <w:pPr>
              <w:spacing w:after="0"/>
              <w:rPr>
                <w:sz w:val="20"/>
                <w:szCs w:val="20"/>
                <w:color w:val="auto"/>
              </w:rPr>
            </w:pPr>
          </w:p>
        </w:tc>
        <w:tc>
          <w:tcPr>
            <w:tcW w:w="1240" w:type="dxa"/>
            <w:vAlign w:val="bottom"/>
            <w:tcBorders>
              <w:bottom w:val="single" w:sz="8" w:color="231F20"/>
              <w:right w:val="single" w:sz="8" w:color="231F20"/>
            </w:tcBorders>
            <w:vMerge w:val="continue"/>
          </w:tcPr>
          <w:p>
            <w:pPr>
              <w:spacing w:after="0"/>
              <w:rPr>
                <w:sz w:val="20"/>
                <w:szCs w:val="20"/>
                <w:color w:val="auto"/>
              </w:rPr>
            </w:pP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SHARES</w:t>
            </w: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0" w:type="dxa"/>
            <w:vAlign w:val="bottom"/>
            <w:tcBorders>
              <w:left w:val="single" w:sz="8" w:color="231F20"/>
              <w:right w:val="single" w:sz="8" w:color="231F20"/>
            </w:tcBorders>
          </w:tcPr>
          <w:p>
            <w:pPr>
              <w:jc w:val="right"/>
              <w:ind w:right="310"/>
              <w:spacing w:after="0" w:line="191" w:lineRule="exact"/>
              <w:rPr>
                <w:sz w:val="20"/>
                <w:szCs w:val="20"/>
                <w:color w:val="auto"/>
              </w:rPr>
            </w:pPr>
            <w:r>
              <w:rPr>
                <w:rFonts w:ascii="Times New Roman" w:cs="Times New Roman" w:eastAsia="Times New Roman" w:hAnsi="Times New Roman"/>
                <w:sz w:val="18"/>
                <w:szCs w:val="18"/>
                <w:color w:val="231F20"/>
              </w:rPr>
              <w:t>4.</w:t>
            </w:r>
          </w:p>
        </w:tc>
        <w:tc>
          <w:tcPr>
            <w:tcW w:w="280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To grant a general mandate to the</w:t>
            </w: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Class A</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165,592,421</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149,670</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1,583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165,742,091</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165,742,091</w:t>
            </w: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Directors to repurchase Shares and/or</w:t>
            </w: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(99.909697%)</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(0.090303%)</w:t>
            </w: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0" w:type="dxa"/>
            <w:vAlign w:val="bottom"/>
            <w:tcBorders>
              <w:left w:val="single" w:sz="8" w:color="231F20"/>
              <w:right w:val="single" w:sz="8" w:color="231F20"/>
            </w:tcBorders>
          </w:tcPr>
          <w:p>
            <w:pPr>
              <w:spacing w:after="0"/>
              <w:rPr>
                <w:sz w:val="15"/>
                <w:szCs w:val="15"/>
                <w:color w:val="auto"/>
              </w:rPr>
            </w:pPr>
          </w:p>
        </w:tc>
        <w:tc>
          <w:tcPr>
            <w:tcW w:w="2800" w:type="dxa"/>
            <w:vAlign w:val="bottom"/>
            <w:tcBorders>
              <w:right w:val="single" w:sz="8" w:color="231F20"/>
            </w:tcBorders>
          </w:tcPr>
          <w:p>
            <w:pPr>
              <w:ind w:left="40"/>
              <w:spacing w:after="0" w:line="177" w:lineRule="exact"/>
              <w:rPr>
                <w:sz w:val="20"/>
                <w:szCs w:val="20"/>
                <w:color w:val="auto"/>
              </w:rPr>
            </w:pPr>
            <w:r>
              <w:rPr>
                <w:rFonts w:ascii="Times New Roman" w:cs="Times New Roman" w:eastAsia="Times New Roman" w:hAnsi="Times New Roman"/>
                <w:sz w:val="18"/>
                <w:szCs w:val="18"/>
                <w:color w:val="231F20"/>
              </w:rPr>
              <w:t>ADSs of the Company not exceeding</w:t>
            </w:r>
          </w:p>
        </w:tc>
        <w:tc>
          <w:tcPr>
            <w:tcW w:w="1240" w:type="dxa"/>
            <w:vAlign w:val="bottom"/>
            <w:tcBorders>
              <w:right w:val="single" w:sz="8" w:color="231F20"/>
            </w:tcBorders>
          </w:tcPr>
          <w:p>
            <w:pPr>
              <w:ind w:left="40"/>
              <w:spacing w:after="0" w:line="177" w:lineRule="exact"/>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9"/>
              </w:rPr>
              <w:t>702,053,000</w:t>
            </w:r>
          </w:p>
        </w:tc>
        <w:tc>
          <w:tcPr>
            <w:tcW w:w="122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rPr>
              <w:t>0</w:t>
            </w:r>
          </w:p>
        </w:tc>
        <w:tc>
          <w:tcPr>
            <w:tcW w:w="12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rPr>
              <w:t>0 (-)</w:t>
            </w:r>
          </w:p>
        </w:tc>
        <w:tc>
          <w:tcPr>
            <w:tcW w:w="14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rPr>
              <w:t>70,205,300</w:t>
            </w:r>
          </w:p>
        </w:tc>
        <w:tc>
          <w:tcPr>
            <w:tcW w:w="146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9"/>
              </w:rPr>
              <w:t>702,053,000</w:t>
            </w: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10% of the total number of issued</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(100.000000%)</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(0.000000%)</w:t>
            </w: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00" w:type="dxa"/>
            <w:vAlign w:val="bottom"/>
            <w:tcBorders>
              <w:left w:val="single" w:sz="8" w:color="231F20"/>
              <w:right w:val="single" w:sz="8" w:color="231F20"/>
            </w:tcBorders>
          </w:tcPr>
          <w:p>
            <w:pPr>
              <w:spacing w:after="0"/>
              <w:rPr>
                <w:sz w:val="2"/>
                <w:szCs w:val="2"/>
                <w:color w:val="auto"/>
              </w:rPr>
            </w:pPr>
          </w:p>
        </w:tc>
        <w:tc>
          <w:tcPr>
            <w:tcW w:w="280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Shares of the Company (excluding</w:t>
            </w: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2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440" w:type="dxa"/>
            <w:vAlign w:val="bottom"/>
            <w:tcBorders>
              <w:bottom w:val="single" w:sz="8" w:color="231F20"/>
              <w:right w:val="single" w:sz="8" w:color="231F20"/>
            </w:tcBorders>
          </w:tcPr>
          <w:p>
            <w:pPr>
              <w:spacing w:after="0"/>
              <w:rPr>
                <w:sz w:val="2"/>
                <w:szCs w:val="2"/>
                <w:color w:val="auto"/>
              </w:rPr>
            </w:pPr>
          </w:p>
        </w:tc>
        <w:tc>
          <w:tcPr>
            <w:tcW w:w="14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00" w:type="dxa"/>
            <w:vAlign w:val="bottom"/>
            <w:tcBorders>
              <w:left w:val="single" w:sz="8" w:color="231F20"/>
              <w:right w:val="single" w:sz="8" w:color="231F20"/>
            </w:tcBorders>
          </w:tcPr>
          <w:p>
            <w:pPr>
              <w:spacing w:after="0"/>
              <w:rPr>
                <w:sz w:val="14"/>
                <w:szCs w:val="14"/>
                <w:color w:val="auto"/>
              </w:rPr>
            </w:pPr>
          </w:p>
        </w:tc>
        <w:tc>
          <w:tcPr>
            <w:tcW w:w="2800" w:type="dxa"/>
            <w:vAlign w:val="bottom"/>
            <w:tcBorders>
              <w:right w:val="single" w:sz="8" w:color="231F20"/>
            </w:tcBorders>
            <w:vMerge w:val="continue"/>
          </w:tcPr>
          <w:p>
            <w:pPr>
              <w:spacing w:after="0"/>
              <w:rPr>
                <w:sz w:val="14"/>
                <w:szCs w:val="14"/>
                <w:color w:val="auto"/>
              </w:rPr>
            </w:pPr>
          </w:p>
        </w:tc>
        <w:tc>
          <w:tcPr>
            <w:tcW w:w="1240" w:type="dxa"/>
            <w:vAlign w:val="bottom"/>
            <w:tcBorders>
              <w:right w:val="single" w:sz="8" w:color="231F20"/>
            </w:tcBorders>
          </w:tcPr>
          <w:p>
            <w:pPr>
              <w:ind w:left="40"/>
              <w:spacing w:after="0" w:line="164" w:lineRule="exact"/>
              <w:rPr>
                <w:sz w:val="20"/>
                <w:szCs w:val="20"/>
                <w:color w:val="auto"/>
              </w:rPr>
            </w:pPr>
            <w:r>
              <w:rPr>
                <w:rFonts w:ascii="Times New Roman" w:cs="Times New Roman" w:eastAsia="Times New Roman" w:hAnsi="Times New Roman"/>
                <w:sz w:val="18"/>
                <w:szCs w:val="18"/>
                <w:color w:val="231F20"/>
              </w:rPr>
              <w:t>TOTAL</w:t>
            </w:r>
          </w:p>
        </w:tc>
        <w:tc>
          <w:tcPr>
            <w:tcW w:w="124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231F20"/>
                <w:w w:val="99"/>
              </w:rPr>
              <w:t>867,645,421</w:t>
            </w:r>
          </w:p>
        </w:tc>
        <w:tc>
          <w:tcPr>
            <w:tcW w:w="122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231F20"/>
                <w:w w:val="99"/>
              </w:rPr>
              <w:t>149,670</w:t>
            </w:r>
          </w:p>
        </w:tc>
        <w:tc>
          <w:tcPr>
            <w:tcW w:w="124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231F20"/>
              </w:rPr>
              <w:t>1,583 (-)</w:t>
            </w:r>
          </w:p>
        </w:tc>
        <w:tc>
          <w:tcPr>
            <w:tcW w:w="144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231F20"/>
                <w:w w:val="99"/>
              </w:rPr>
              <w:t>235,947,391</w:t>
            </w:r>
          </w:p>
        </w:tc>
        <w:tc>
          <w:tcPr>
            <w:tcW w:w="146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231F20"/>
                <w:w w:val="99"/>
              </w:rPr>
              <w:t>867,795,091</w:t>
            </w: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any treasury shares) as of the date of</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(99.982753%)</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(0.017247%)</w:t>
            </w: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0" w:type="dxa"/>
            <w:vAlign w:val="bottom"/>
            <w:tcBorders>
              <w:left w:val="single" w:sz="8" w:color="231F20"/>
              <w:right w:val="single" w:sz="8" w:color="231F20"/>
            </w:tcBorders>
          </w:tcPr>
          <w:p>
            <w:pPr>
              <w:spacing w:after="0"/>
              <w:rPr>
                <w:sz w:val="21"/>
                <w:szCs w:val="21"/>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passing of this resolution.</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A &amp;</w:t>
            </w:r>
          </w:p>
        </w:tc>
        <w:tc>
          <w:tcPr>
            <w:tcW w:w="1240" w:type="dxa"/>
            <w:vAlign w:val="bottom"/>
            <w:tcBorders>
              <w:right w:val="single" w:sz="8" w:color="231F20"/>
            </w:tcBorders>
          </w:tcPr>
          <w:p>
            <w:pPr>
              <w:spacing w:after="0"/>
              <w:rPr>
                <w:sz w:val="21"/>
                <w:szCs w:val="21"/>
                <w:color w:val="auto"/>
              </w:rPr>
            </w:pPr>
          </w:p>
        </w:tc>
        <w:tc>
          <w:tcPr>
            <w:tcW w:w="1220" w:type="dxa"/>
            <w:vAlign w:val="bottom"/>
            <w:tcBorders>
              <w:right w:val="single" w:sz="8" w:color="231F20"/>
            </w:tcBorders>
          </w:tcPr>
          <w:p>
            <w:pPr>
              <w:spacing w:after="0"/>
              <w:rPr>
                <w:sz w:val="21"/>
                <w:szCs w:val="21"/>
                <w:color w:val="auto"/>
              </w:rPr>
            </w:pPr>
          </w:p>
        </w:tc>
        <w:tc>
          <w:tcPr>
            <w:tcW w:w="1240" w:type="dxa"/>
            <w:vAlign w:val="bottom"/>
            <w:tcBorders>
              <w:right w:val="single" w:sz="8" w:color="231F20"/>
            </w:tcBorders>
          </w:tcPr>
          <w:p>
            <w:pPr>
              <w:spacing w:after="0"/>
              <w:rPr>
                <w:sz w:val="21"/>
                <w:szCs w:val="21"/>
                <w:color w:val="auto"/>
              </w:rPr>
            </w:pPr>
          </w:p>
        </w:tc>
        <w:tc>
          <w:tcPr>
            <w:tcW w:w="1440" w:type="dxa"/>
            <w:vAlign w:val="bottom"/>
            <w:tcBorders>
              <w:right w:val="single" w:sz="8" w:color="231F20"/>
            </w:tcBorders>
          </w:tcPr>
          <w:p>
            <w:pPr>
              <w:spacing w:after="0"/>
              <w:rPr>
                <w:sz w:val="21"/>
                <w:szCs w:val="21"/>
                <w:color w:val="auto"/>
              </w:rPr>
            </w:pPr>
          </w:p>
        </w:tc>
        <w:tc>
          <w:tcPr>
            <w:tcW w:w="146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bottom w:val="single" w:sz="8" w:color="231F20"/>
              <w:right w:val="single" w:sz="8" w:color="231F20"/>
            </w:tcBorders>
          </w:tcPr>
          <w:p>
            <w:pPr>
              <w:spacing w:after="0"/>
              <w:rPr>
                <w:sz w:val="20"/>
                <w:szCs w:val="20"/>
                <w:color w:val="auto"/>
              </w:rPr>
            </w:pPr>
          </w:p>
        </w:tc>
        <w:tc>
          <w:tcPr>
            <w:tcW w:w="280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10640" w:type="dxa"/>
            <w:vAlign w:val="bottom"/>
            <w:tcBorders>
              <w:right w:val="single" w:sz="8" w:color="231F20"/>
            </w:tcBorders>
            <w:gridSpan w:val="7"/>
          </w:tcPr>
          <w:p>
            <w:pPr>
              <w:ind w:left="40"/>
              <w:spacing w:after="0" w:line="191" w:lineRule="exact"/>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bottom w:val="single" w:sz="8" w:color="231F20"/>
              <w:right w:val="single" w:sz="8" w:color="231F20"/>
            </w:tcBorders>
          </w:tcPr>
          <w:p>
            <w:pPr>
              <w:spacing w:after="0"/>
              <w:rPr>
                <w:sz w:val="20"/>
                <w:szCs w:val="20"/>
                <w:color w:val="auto"/>
              </w:rPr>
            </w:pPr>
          </w:p>
        </w:tc>
        <w:tc>
          <w:tcPr>
            <w:tcW w:w="404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24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0" w:type="dxa"/>
            <w:vAlign w:val="bottom"/>
            <w:tcBorders>
              <w:left w:val="single" w:sz="8" w:color="231F20"/>
              <w:right w:val="single" w:sz="8" w:color="231F20"/>
            </w:tcBorders>
          </w:tcPr>
          <w:p>
            <w:pPr>
              <w:jc w:val="right"/>
              <w:ind w:right="310"/>
              <w:spacing w:after="0" w:line="191" w:lineRule="exact"/>
              <w:rPr>
                <w:sz w:val="20"/>
                <w:szCs w:val="20"/>
                <w:color w:val="auto"/>
              </w:rPr>
            </w:pPr>
            <w:r>
              <w:rPr>
                <w:rFonts w:ascii="Times New Roman" w:cs="Times New Roman" w:eastAsia="Times New Roman" w:hAnsi="Times New Roman"/>
                <w:sz w:val="18"/>
                <w:szCs w:val="18"/>
                <w:color w:val="231F20"/>
              </w:rPr>
              <w:t>5.</w:t>
            </w:r>
          </w:p>
        </w:tc>
        <w:tc>
          <w:tcPr>
            <w:tcW w:w="280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To extend the general mandate</w:t>
            </w: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Class A</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131,779,496</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8"/>
              </w:rPr>
              <w:t>33,911,455</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2,720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165,690,951</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165,690,951</w:t>
            </w: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granted to the Directors to issue,</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(79.533309%)</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(20.466691%)</w:t>
            </w: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600" w:type="dxa"/>
            <w:vAlign w:val="bottom"/>
            <w:tcBorders>
              <w:left w:val="single" w:sz="8" w:color="231F20"/>
              <w:right w:val="single" w:sz="8" w:color="231F20"/>
            </w:tcBorders>
          </w:tcPr>
          <w:p>
            <w:pPr>
              <w:spacing w:after="0"/>
              <w:rPr>
                <w:sz w:val="9"/>
                <w:szCs w:val="9"/>
                <w:color w:val="auto"/>
              </w:rPr>
            </w:pPr>
          </w:p>
        </w:tc>
        <w:tc>
          <w:tcPr>
            <w:tcW w:w="280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allot, and deal with additional Shares</w:t>
            </w:r>
          </w:p>
        </w:tc>
        <w:tc>
          <w:tcPr>
            <w:tcW w:w="1240" w:type="dxa"/>
            <w:vAlign w:val="bottom"/>
            <w:tcBorders>
              <w:bottom w:val="single" w:sz="8" w:color="231F20"/>
              <w:right w:val="single" w:sz="8" w:color="231F20"/>
            </w:tcBorders>
          </w:tcPr>
          <w:p>
            <w:pPr>
              <w:spacing w:after="0"/>
              <w:rPr>
                <w:sz w:val="9"/>
                <w:szCs w:val="9"/>
                <w:color w:val="auto"/>
              </w:rPr>
            </w:pPr>
          </w:p>
        </w:tc>
        <w:tc>
          <w:tcPr>
            <w:tcW w:w="1240" w:type="dxa"/>
            <w:vAlign w:val="bottom"/>
            <w:tcBorders>
              <w:bottom w:val="single" w:sz="8" w:color="231F20"/>
              <w:right w:val="single" w:sz="8" w:color="231F20"/>
            </w:tcBorders>
          </w:tcPr>
          <w:p>
            <w:pPr>
              <w:spacing w:after="0"/>
              <w:rPr>
                <w:sz w:val="9"/>
                <w:szCs w:val="9"/>
                <w:color w:val="auto"/>
              </w:rPr>
            </w:pPr>
          </w:p>
        </w:tc>
        <w:tc>
          <w:tcPr>
            <w:tcW w:w="1220" w:type="dxa"/>
            <w:vAlign w:val="bottom"/>
            <w:tcBorders>
              <w:bottom w:val="single" w:sz="8" w:color="231F20"/>
              <w:right w:val="single" w:sz="8" w:color="231F20"/>
            </w:tcBorders>
          </w:tcPr>
          <w:p>
            <w:pPr>
              <w:spacing w:after="0"/>
              <w:rPr>
                <w:sz w:val="9"/>
                <w:szCs w:val="9"/>
                <w:color w:val="auto"/>
              </w:rPr>
            </w:pPr>
          </w:p>
        </w:tc>
        <w:tc>
          <w:tcPr>
            <w:tcW w:w="1240" w:type="dxa"/>
            <w:vAlign w:val="bottom"/>
            <w:tcBorders>
              <w:bottom w:val="single" w:sz="8" w:color="231F20"/>
              <w:right w:val="single" w:sz="8" w:color="231F20"/>
            </w:tcBorders>
          </w:tcPr>
          <w:p>
            <w:pPr>
              <w:spacing w:after="0"/>
              <w:rPr>
                <w:sz w:val="9"/>
                <w:szCs w:val="9"/>
                <w:color w:val="auto"/>
              </w:rPr>
            </w:pPr>
          </w:p>
        </w:tc>
        <w:tc>
          <w:tcPr>
            <w:tcW w:w="1440" w:type="dxa"/>
            <w:vAlign w:val="bottom"/>
            <w:tcBorders>
              <w:bottom w:val="single" w:sz="8" w:color="231F20"/>
              <w:right w:val="single" w:sz="8" w:color="231F20"/>
            </w:tcBorders>
          </w:tcPr>
          <w:p>
            <w:pPr>
              <w:spacing w:after="0"/>
              <w:rPr>
                <w:sz w:val="9"/>
                <w:szCs w:val="9"/>
                <w:color w:val="auto"/>
              </w:rPr>
            </w:pPr>
          </w:p>
        </w:tc>
        <w:tc>
          <w:tcPr>
            <w:tcW w:w="1460" w:type="dxa"/>
            <w:vAlign w:val="bottom"/>
            <w:tcBorders>
              <w:bottom w:val="single" w:sz="8" w:color="231F20"/>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600" w:type="dxa"/>
            <w:vAlign w:val="bottom"/>
            <w:tcBorders>
              <w:left w:val="single" w:sz="8" w:color="231F20"/>
              <w:right w:val="single" w:sz="8" w:color="231F20"/>
            </w:tcBorders>
          </w:tcPr>
          <w:p>
            <w:pPr>
              <w:spacing w:after="0"/>
              <w:rPr>
                <w:sz w:val="13"/>
                <w:szCs w:val="13"/>
                <w:color w:val="auto"/>
              </w:rPr>
            </w:pPr>
          </w:p>
        </w:tc>
        <w:tc>
          <w:tcPr>
            <w:tcW w:w="2800" w:type="dxa"/>
            <w:vAlign w:val="bottom"/>
            <w:tcBorders>
              <w:right w:val="single" w:sz="8" w:color="231F20"/>
            </w:tcBorders>
            <w:vMerge w:val="continue"/>
          </w:tcPr>
          <w:p>
            <w:pPr>
              <w:spacing w:after="0"/>
              <w:rPr>
                <w:sz w:val="13"/>
                <w:szCs w:val="13"/>
                <w:color w:val="auto"/>
              </w:rPr>
            </w:pPr>
          </w:p>
        </w:tc>
        <w:tc>
          <w:tcPr>
            <w:tcW w:w="1240" w:type="dxa"/>
            <w:vAlign w:val="bottom"/>
            <w:tcBorders>
              <w:right w:val="single" w:sz="8" w:color="231F20"/>
            </w:tcBorders>
          </w:tcPr>
          <w:p>
            <w:pPr>
              <w:ind w:left="40"/>
              <w:spacing w:after="0" w:line="156" w:lineRule="exact"/>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right w:val="single" w:sz="8" w:color="231F20"/>
            </w:tcBorders>
          </w:tcPr>
          <w:p>
            <w:pPr>
              <w:jc w:val="center"/>
              <w:spacing w:after="0" w:line="156" w:lineRule="exact"/>
              <w:rPr>
                <w:sz w:val="20"/>
                <w:szCs w:val="20"/>
                <w:color w:val="auto"/>
              </w:rPr>
            </w:pPr>
            <w:r>
              <w:rPr>
                <w:rFonts w:ascii="Times New Roman" w:cs="Times New Roman" w:eastAsia="Times New Roman" w:hAnsi="Times New Roman"/>
                <w:sz w:val="18"/>
                <w:szCs w:val="18"/>
                <w:color w:val="231F20"/>
                <w:w w:val="99"/>
              </w:rPr>
              <w:t>702,053,000</w:t>
            </w:r>
          </w:p>
        </w:tc>
        <w:tc>
          <w:tcPr>
            <w:tcW w:w="1220" w:type="dxa"/>
            <w:vAlign w:val="bottom"/>
            <w:tcBorders>
              <w:right w:val="single" w:sz="8" w:color="231F20"/>
            </w:tcBorders>
          </w:tcPr>
          <w:p>
            <w:pPr>
              <w:jc w:val="center"/>
              <w:spacing w:after="0" w:line="156" w:lineRule="exact"/>
              <w:rPr>
                <w:sz w:val="20"/>
                <w:szCs w:val="20"/>
                <w:color w:val="auto"/>
              </w:rPr>
            </w:pPr>
            <w:r>
              <w:rPr>
                <w:rFonts w:ascii="Times New Roman" w:cs="Times New Roman" w:eastAsia="Times New Roman" w:hAnsi="Times New Roman"/>
                <w:sz w:val="18"/>
                <w:szCs w:val="18"/>
                <w:color w:val="231F20"/>
              </w:rPr>
              <w:t>0</w:t>
            </w:r>
          </w:p>
        </w:tc>
        <w:tc>
          <w:tcPr>
            <w:tcW w:w="1240" w:type="dxa"/>
            <w:vAlign w:val="bottom"/>
            <w:tcBorders>
              <w:right w:val="single" w:sz="8" w:color="231F20"/>
            </w:tcBorders>
          </w:tcPr>
          <w:p>
            <w:pPr>
              <w:jc w:val="center"/>
              <w:spacing w:after="0" w:line="156" w:lineRule="exact"/>
              <w:rPr>
                <w:sz w:val="20"/>
                <w:szCs w:val="20"/>
                <w:color w:val="auto"/>
              </w:rPr>
            </w:pPr>
            <w:r>
              <w:rPr>
                <w:rFonts w:ascii="Times New Roman" w:cs="Times New Roman" w:eastAsia="Times New Roman" w:hAnsi="Times New Roman"/>
                <w:sz w:val="18"/>
                <w:szCs w:val="18"/>
                <w:color w:val="231F20"/>
              </w:rPr>
              <w:t>0 (-)</w:t>
            </w:r>
          </w:p>
        </w:tc>
        <w:tc>
          <w:tcPr>
            <w:tcW w:w="1440" w:type="dxa"/>
            <w:vAlign w:val="bottom"/>
            <w:tcBorders>
              <w:right w:val="single" w:sz="8" w:color="231F20"/>
            </w:tcBorders>
          </w:tcPr>
          <w:p>
            <w:pPr>
              <w:jc w:val="center"/>
              <w:spacing w:after="0" w:line="156" w:lineRule="exact"/>
              <w:rPr>
                <w:sz w:val="20"/>
                <w:szCs w:val="20"/>
                <w:color w:val="auto"/>
              </w:rPr>
            </w:pPr>
            <w:r>
              <w:rPr>
                <w:rFonts w:ascii="Times New Roman" w:cs="Times New Roman" w:eastAsia="Times New Roman" w:hAnsi="Times New Roman"/>
                <w:sz w:val="18"/>
                <w:szCs w:val="18"/>
                <w:color w:val="231F20"/>
              </w:rPr>
              <w:t>70,205,300</w:t>
            </w:r>
          </w:p>
        </w:tc>
        <w:tc>
          <w:tcPr>
            <w:tcW w:w="1460" w:type="dxa"/>
            <w:vAlign w:val="bottom"/>
            <w:tcBorders>
              <w:right w:val="single" w:sz="8" w:color="231F20"/>
            </w:tcBorders>
          </w:tcPr>
          <w:p>
            <w:pPr>
              <w:jc w:val="center"/>
              <w:spacing w:after="0" w:line="156" w:lineRule="exact"/>
              <w:rPr>
                <w:sz w:val="20"/>
                <w:szCs w:val="20"/>
                <w:color w:val="auto"/>
              </w:rPr>
            </w:pPr>
            <w:r>
              <w:rPr>
                <w:rFonts w:ascii="Times New Roman" w:cs="Times New Roman" w:eastAsia="Times New Roman" w:hAnsi="Times New Roman"/>
                <w:sz w:val="18"/>
                <w:szCs w:val="18"/>
                <w:color w:val="231F20"/>
                <w:w w:val="99"/>
              </w:rPr>
              <w:t>702,053,000</w:t>
            </w:r>
          </w:p>
        </w:tc>
        <w:tc>
          <w:tcPr>
            <w:tcW w:w="0" w:type="dxa"/>
            <w:vAlign w:val="bottom"/>
          </w:tcPr>
          <w:p>
            <w:pPr>
              <w:spacing w:after="0"/>
              <w:rPr>
                <w:sz w:val="1"/>
                <w:szCs w:val="1"/>
                <w:color w:val="auto"/>
              </w:rPr>
            </w:pPr>
          </w:p>
        </w:tc>
      </w:tr>
      <w:tr>
        <w:trPr>
          <w:trHeight w:val="144"/>
        </w:trPr>
        <w:tc>
          <w:tcPr>
            <w:tcW w:w="600" w:type="dxa"/>
            <w:vAlign w:val="bottom"/>
            <w:tcBorders>
              <w:left w:val="single" w:sz="8" w:color="231F20"/>
              <w:right w:val="single" w:sz="8" w:color="231F20"/>
            </w:tcBorders>
          </w:tcPr>
          <w:p>
            <w:pPr>
              <w:spacing w:after="0"/>
              <w:rPr>
                <w:sz w:val="12"/>
                <w:szCs w:val="12"/>
                <w:color w:val="auto"/>
              </w:rPr>
            </w:pPr>
          </w:p>
        </w:tc>
        <w:tc>
          <w:tcPr>
            <w:tcW w:w="2800" w:type="dxa"/>
            <w:vAlign w:val="bottom"/>
            <w:tcBorders>
              <w:right w:val="single" w:sz="8" w:color="231F20"/>
            </w:tcBorders>
          </w:tcPr>
          <w:p>
            <w:pPr>
              <w:ind w:left="40"/>
              <w:spacing w:after="0" w:line="144" w:lineRule="exact"/>
              <w:rPr>
                <w:sz w:val="20"/>
                <w:szCs w:val="20"/>
                <w:color w:val="auto"/>
              </w:rPr>
            </w:pPr>
            <w:r>
              <w:rPr>
                <w:rFonts w:ascii="Times New Roman" w:cs="Times New Roman" w:eastAsia="Times New Roman" w:hAnsi="Times New Roman"/>
                <w:sz w:val="16"/>
                <w:szCs w:val="16"/>
                <w:color w:val="231F20"/>
              </w:rPr>
              <w:t>and/or ADSs, or sell and/or transfer</w:t>
            </w:r>
          </w:p>
        </w:tc>
        <w:tc>
          <w:tcPr>
            <w:tcW w:w="124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(100.000000%)</w:t>
            </w:r>
          </w:p>
        </w:tc>
        <w:tc>
          <w:tcPr>
            <w:tcW w:w="12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(0.000000%)</w:t>
            </w:r>
          </w:p>
        </w:tc>
        <w:tc>
          <w:tcPr>
            <w:tcW w:w="1240" w:type="dxa"/>
            <w:vAlign w:val="bottom"/>
            <w:tcBorders>
              <w:right w:val="single" w:sz="8" w:color="231F20"/>
            </w:tcBorders>
          </w:tcPr>
          <w:p>
            <w:pPr>
              <w:spacing w:after="0"/>
              <w:rPr>
                <w:sz w:val="12"/>
                <w:szCs w:val="12"/>
                <w:color w:val="auto"/>
              </w:rPr>
            </w:pPr>
          </w:p>
        </w:tc>
        <w:tc>
          <w:tcPr>
            <w:tcW w:w="1440" w:type="dxa"/>
            <w:vAlign w:val="bottom"/>
            <w:tcBorders>
              <w:right w:val="single" w:sz="8" w:color="231F20"/>
            </w:tcBorders>
          </w:tcPr>
          <w:p>
            <w:pPr>
              <w:spacing w:after="0"/>
              <w:rPr>
                <w:sz w:val="12"/>
                <w:szCs w:val="12"/>
                <w:color w:val="auto"/>
              </w:rPr>
            </w:pPr>
          </w:p>
        </w:tc>
        <w:tc>
          <w:tcPr>
            <w:tcW w:w="1460" w:type="dxa"/>
            <w:vAlign w:val="bottom"/>
            <w:tcBorders>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additional Shares out of treasury that</w:t>
            </w:r>
          </w:p>
        </w:tc>
        <w:tc>
          <w:tcPr>
            <w:tcW w:w="1240" w:type="dxa"/>
            <w:vAlign w:val="bottom"/>
            <w:tcBorders>
              <w:bottom w:val="single" w:sz="8" w:color="231F20"/>
              <w:right w:val="single" w:sz="8" w:color="231F20"/>
            </w:tcBorders>
            <w:vMerge w:val="continue"/>
          </w:tcPr>
          <w:p>
            <w:pPr>
              <w:spacing w:after="0"/>
              <w:rPr>
                <w:sz w:val="20"/>
                <w:szCs w:val="20"/>
                <w:color w:val="auto"/>
              </w:rPr>
            </w:pPr>
          </w:p>
        </w:tc>
        <w:tc>
          <w:tcPr>
            <w:tcW w:w="1240" w:type="dxa"/>
            <w:vAlign w:val="bottom"/>
            <w:tcBorders>
              <w:bottom w:val="single" w:sz="8" w:color="231F20"/>
              <w:right w:val="single" w:sz="8" w:color="231F20"/>
            </w:tcBorders>
            <w:vMerge w:val="continue"/>
          </w:tcPr>
          <w:p>
            <w:pPr>
              <w:spacing w:after="0"/>
              <w:rPr>
                <w:sz w:val="20"/>
                <w:szCs w:val="20"/>
                <w:color w:val="auto"/>
              </w:rPr>
            </w:pPr>
          </w:p>
        </w:tc>
        <w:tc>
          <w:tcPr>
            <w:tcW w:w="1220" w:type="dxa"/>
            <w:vAlign w:val="bottom"/>
            <w:tcBorders>
              <w:bottom w:val="single" w:sz="8" w:color="231F20"/>
              <w:right w:val="single" w:sz="8" w:color="231F20"/>
            </w:tcBorders>
            <w:vMerge w:val="continue"/>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0" w:type="dxa"/>
            <w:vAlign w:val="bottom"/>
            <w:tcBorders>
              <w:left w:val="single" w:sz="8" w:color="231F20"/>
              <w:right w:val="single" w:sz="8" w:color="231F20"/>
            </w:tcBorders>
          </w:tcPr>
          <w:p>
            <w:pPr>
              <w:spacing w:after="0"/>
              <w:rPr>
                <w:sz w:val="15"/>
                <w:szCs w:val="15"/>
                <w:color w:val="auto"/>
              </w:rPr>
            </w:pPr>
          </w:p>
        </w:tc>
        <w:tc>
          <w:tcPr>
            <w:tcW w:w="2800" w:type="dxa"/>
            <w:vAlign w:val="bottom"/>
            <w:tcBorders>
              <w:right w:val="single" w:sz="8" w:color="231F20"/>
            </w:tcBorders>
          </w:tcPr>
          <w:p>
            <w:pPr>
              <w:ind w:left="40"/>
              <w:spacing w:after="0" w:line="177" w:lineRule="exact"/>
              <w:rPr>
                <w:sz w:val="20"/>
                <w:szCs w:val="20"/>
                <w:color w:val="auto"/>
              </w:rPr>
            </w:pPr>
            <w:r>
              <w:rPr>
                <w:rFonts w:ascii="Times New Roman" w:cs="Times New Roman" w:eastAsia="Times New Roman" w:hAnsi="Times New Roman"/>
                <w:sz w:val="18"/>
                <w:szCs w:val="18"/>
                <w:color w:val="231F20"/>
              </w:rPr>
              <w:t>are held as treasury shares, in the</w:t>
            </w:r>
          </w:p>
        </w:tc>
        <w:tc>
          <w:tcPr>
            <w:tcW w:w="1240" w:type="dxa"/>
            <w:vAlign w:val="bottom"/>
            <w:tcBorders>
              <w:right w:val="single" w:sz="8" w:color="231F20"/>
            </w:tcBorders>
          </w:tcPr>
          <w:p>
            <w:pPr>
              <w:ind w:left="40"/>
              <w:spacing w:after="0" w:line="177" w:lineRule="exact"/>
              <w:rPr>
                <w:sz w:val="20"/>
                <w:szCs w:val="20"/>
                <w:color w:val="auto"/>
              </w:rPr>
            </w:pPr>
            <w:r>
              <w:rPr>
                <w:rFonts w:ascii="Times New Roman" w:cs="Times New Roman" w:eastAsia="Times New Roman" w:hAnsi="Times New Roman"/>
                <w:sz w:val="18"/>
                <w:szCs w:val="18"/>
                <w:color w:val="231F20"/>
              </w:rPr>
              <w:t>TOTAL</w:t>
            </w:r>
          </w:p>
        </w:tc>
        <w:tc>
          <w:tcPr>
            <w:tcW w:w="12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9"/>
              </w:rPr>
              <w:t>833,832,496</w:t>
            </w:r>
          </w:p>
        </w:tc>
        <w:tc>
          <w:tcPr>
            <w:tcW w:w="122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8"/>
              </w:rPr>
              <w:t>33,911,455</w:t>
            </w:r>
          </w:p>
        </w:tc>
        <w:tc>
          <w:tcPr>
            <w:tcW w:w="12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rPr>
              <w:t>2,720 (-)</w:t>
            </w:r>
          </w:p>
        </w:tc>
        <w:tc>
          <w:tcPr>
            <w:tcW w:w="14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9"/>
              </w:rPr>
              <w:t>235,896,251</w:t>
            </w:r>
          </w:p>
        </w:tc>
        <w:tc>
          <w:tcPr>
            <w:tcW w:w="146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9"/>
              </w:rPr>
              <w:t>867,743,951</w:t>
            </w: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capital of the Company by the</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(96.091998%)</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(3.908002%)</w:t>
            </w: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aggregate number of the Shares</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A &amp;</w:t>
            </w:r>
          </w:p>
        </w:tc>
        <w:tc>
          <w:tcPr>
            <w:tcW w:w="124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and/or Shares underlying the ADSs</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bottom w:val="single" w:sz="8" w:color="231F20"/>
              <w:right w:val="single" w:sz="8" w:color="231F20"/>
            </w:tcBorders>
          </w:tcPr>
          <w:p>
            <w:pPr>
              <w:spacing w:after="0"/>
              <w:rPr>
                <w:sz w:val="20"/>
                <w:szCs w:val="20"/>
                <w:color w:val="auto"/>
              </w:rPr>
            </w:pPr>
          </w:p>
        </w:tc>
        <w:tc>
          <w:tcPr>
            <w:tcW w:w="280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repurchased by the Company.</w:t>
            </w:r>
          </w:p>
        </w:tc>
        <w:tc>
          <w:tcPr>
            <w:tcW w:w="12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10640" w:type="dxa"/>
            <w:vAlign w:val="bottom"/>
            <w:tcBorders>
              <w:right w:val="single" w:sz="8" w:color="231F20"/>
            </w:tcBorders>
            <w:gridSpan w:val="7"/>
          </w:tcPr>
          <w:p>
            <w:pPr>
              <w:ind w:left="40"/>
              <w:spacing w:after="0" w:line="191" w:lineRule="exact"/>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bottom w:val="single" w:sz="8" w:color="231F20"/>
              <w:right w:val="single" w:sz="8" w:color="231F20"/>
            </w:tcBorders>
          </w:tcPr>
          <w:p>
            <w:pPr>
              <w:spacing w:after="0"/>
              <w:rPr>
                <w:sz w:val="20"/>
                <w:szCs w:val="20"/>
                <w:color w:val="auto"/>
              </w:rPr>
            </w:pPr>
          </w:p>
        </w:tc>
        <w:tc>
          <w:tcPr>
            <w:tcW w:w="404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24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0" w:type="dxa"/>
            <w:vAlign w:val="bottom"/>
            <w:tcBorders>
              <w:left w:val="single" w:sz="8" w:color="231F20"/>
              <w:right w:val="single" w:sz="8" w:color="231F20"/>
            </w:tcBorders>
          </w:tcPr>
          <w:p>
            <w:pPr>
              <w:jc w:val="right"/>
              <w:ind w:right="310"/>
              <w:spacing w:after="0" w:line="191" w:lineRule="exact"/>
              <w:rPr>
                <w:sz w:val="20"/>
                <w:szCs w:val="20"/>
                <w:color w:val="auto"/>
              </w:rPr>
            </w:pPr>
            <w:r>
              <w:rPr>
                <w:rFonts w:ascii="Times New Roman" w:cs="Times New Roman" w:eastAsia="Times New Roman" w:hAnsi="Times New Roman"/>
                <w:sz w:val="18"/>
                <w:szCs w:val="18"/>
                <w:color w:val="231F20"/>
              </w:rPr>
              <w:t>6.</w:t>
            </w:r>
          </w:p>
        </w:tc>
        <w:tc>
          <w:tcPr>
            <w:tcW w:w="280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To re-appoint</w:t>
            </w: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Class A</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165,597,824</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144,733</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8"/>
              </w:rPr>
              <w:t>1,116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165,742,557</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165,742,557</w:t>
            </w: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9"/>
              </w:rPr>
              <w:t>PricewaterhouseCoopers as auditor of</w:t>
            </w: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(99.912676%)</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(0.087324%)</w:t>
            </w: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0" w:type="dxa"/>
            <w:vAlign w:val="bottom"/>
            <w:tcBorders>
              <w:left w:val="single" w:sz="8" w:color="231F20"/>
              <w:right w:val="single" w:sz="8" w:color="231F20"/>
            </w:tcBorders>
          </w:tcPr>
          <w:p>
            <w:pPr>
              <w:spacing w:after="0"/>
              <w:rPr>
                <w:sz w:val="15"/>
                <w:szCs w:val="15"/>
                <w:color w:val="auto"/>
              </w:rPr>
            </w:pPr>
          </w:p>
        </w:tc>
        <w:tc>
          <w:tcPr>
            <w:tcW w:w="2800" w:type="dxa"/>
            <w:vAlign w:val="bottom"/>
            <w:tcBorders>
              <w:right w:val="single" w:sz="8" w:color="231F20"/>
            </w:tcBorders>
          </w:tcPr>
          <w:p>
            <w:pPr>
              <w:ind w:left="40"/>
              <w:spacing w:after="0" w:line="177" w:lineRule="exact"/>
              <w:rPr>
                <w:sz w:val="20"/>
                <w:szCs w:val="20"/>
                <w:color w:val="auto"/>
              </w:rPr>
            </w:pPr>
            <w:r>
              <w:rPr>
                <w:rFonts w:ascii="Times New Roman" w:cs="Times New Roman" w:eastAsia="Times New Roman" w:hAnsi="Times New Roman"/>
                <w:sz w:val="18"/>
                <w:szCs w:val="18"/>
                <w:color w:val="231F20"/>
              </w:rPr>
              <w:t>the Company to hold office until the</w:t>
            </w:r>
          </w:p>
        </w:tc>
        <w:tc>
          <w:tcPr>
            <w:tcW w:w="1240" w:type="dxa"/>
            <w:vAlign w:val="bottom"/>
            <w:tcBorders>
              <w:right w:val="single" w:sz="8" w:color="231F20"/>
            </w:tcBorders>
          </w:tcPr>
          <w:p>
            <w:pPr>
              <w:ind w:left="40"/>
              <w:spacing w:after="0" w:line="177" w:lineRule="exact"/>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rPr>
              <w:t>70,205,300</w:t>
            </w:r>
          </w:p>
        </w:tc>
        <w:tc>
          <w:tcPr>
            <w:tcW w:w="122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rPr>
              <w:t>0</w:t>
            </w:r>
          </w:p>
        </w:tc>
        <w:tc>
          <w:tcPr>
            <w:tcW w:w="12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rPr>
              <w:t>0 (-)</w:t>
            </w:r>
          </w:p>
        </w:tc>
        <w:tc>
          <w:tcPr>
            <w:tcW w:w="14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rPr>
              <w:t>70,205,300</w:t>
            </w:r>
          </w:p>
        </w:tc>
        <w:tc>
          <w:tcPr>
            <w:tcW w:w="146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8"/>
              </w:rPr>
              <w:t>70,205,300</w:t>
            </w: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conclusion of the next annual general</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(100.000000%)</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(0.000000%)</w:t>
            </w: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00" w:type="dxa"/>
            <w:vAlign w:val="bottom"/>
            <w:tcBorders>
              <w:left w:val="single" w:sz="8" w:color="231F20"/>
              <w:right w:val="single" w:sz="8" w:color="231F20"/>
            </w:tcBorders>
          </w:tcPr>
          <w:p>
            <w:pPr>
              <w:spacing w:after="0"/>
              <w:rPr>
                <w:sz w:val="2"/>
                <w:szCs w:val="2"/>
                <w:color w:val="auto"/>
              </w:rPr>
            </w:pPr>
          </w:p>
        </w:tc>
        <w:tc>
          <w:tcPr>
            <w:tcW w:w="280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meeting of the Company and to</w:t>
            </w: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2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440" w:type="dxa"/>
            <w:vAlign w:val="bottom"/>
            <w:tcBorders>
              <w:bottom w:val="single" w:sz="8" w:color="231F20"/>
              <w:right w:val="single" w:sz="8" w:color="231F20"/>
            </w:tcBorders>
          </w:tcPr>
          <w:p>
            <w:pPr>
              <w:spacing w:after="0"/>
              <w:rPr>
                <w:sz w:val="2"/>
                <w:szCs w:val="2"/>
                <w:color w:val="auto"/>
              </w:rPr>
            </w:pPr>
          </w:p>
        </w:tc>
        <w:tc>
          <w:tcPr>
            <w:tcW w:w="14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00" w:type="dxa"/>
            <w:vAlign w:val="bottom"/>
            <w:tcBorders>
              <w:left w:val="single" w:sz="8" w:color="231F20"/>
              <w:right w:val="single" w:sz="8" w:color="231F20"/>
            </w:tcBorders>
          </w:tcPr>
          <w:p>
            <w:pPr>
              <w:spacing w:after="0"/>
              <w:rPr>
                <w:sz w:val="14"/>
                <w:szCs w:val="14"/>
                <w:color w:val="auto"/>
              </w:rPr>
            </w:pPr>
          </w:p>
        </w:tc>
        <w:tc>
          <w:tcPr>
            <w:tcW w:w="2800" w:type="dxa"/>
            <w:vAlign w:val="bottom"/>
            <w:tcBorders>
              <w:right w:val="single" w:sz="8" w:color="231F20"/>
            </w:tcBorders>
            <w:vMerge w:val="continue"/>
          </w:tcPr>
          <w:p>
            <w:pPr>
              <w:spacing w:after="0"/>
              <w:rPr>
                <w:sz w:val="14"/>
                <w:szCs w:val="14"/>
                <w:color w:val="auto"/>
              </w:rPr>
            </w:pPr>
          </w:p>
        </w:tc>
        <w:tc>
          <w:tcPr>
            <w:tcW w:w="1240" w:type="dxa"/>
            <w:vAlign w:val="bottom"/>
            <w:tcBorders>
              <w:right w:val="single" w:sz="8" w:color="231F20"/>
            </w:tcBorders>
          </w:tcPr>
          <w:p>
            <w:pPr>
              <w:ind w:left="40"/>
              <w:spacing w:after="0" w:line="164" w:lineRule="exact"/>
              <w:rPr>
                <w:sz w:val="20"/>
                <w:szCs w:val="20"/>
                <w:color w:val="auto"/>
              </w:rPr>
            </w:pPr>
            <w:r>
              <w:rPr>
                <w:rFonts w:ascii="Times New Roman" w:cs="Times New Roman" w:eastAsia="Times New Roman" w:hAnsi="Times New Roman"/>
                <w:sz w:val="18"/>
                <w:szCs w:val="18"/>
                <w:color w:val="231F20"/>
              </w:rPr>
              <w:t>TOTAL</w:t>
            </w:r>
          </w:p>
        </w:tc>
        <w:tc>
          <w:tcPr>
            <w:tcW w:w="124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231F20"/>
                <w:w w:val="99"/>
              </w:rPr>
              <w:t>235,803,124</w:t>
            </w:r>
          </w:p>
        </w:tc>
        <w:tc>
          <w:tcPr>
            <w:tcW w:w="122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231F20"/>
                <w:w w:val="99"/>
              </w:rPr>
              <w:t>144,733</w:t>
            </w:r>
          </w:p>
        </w:tc>
        <w:tc>
          <w:tcPr>
            <w:tcW w:w="124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231F20"/>
                <w:w w:val="98"/>
              </w:rPr>
              <w:t>1,116 (-)</w:t>
            </w:r>
          </w:p>
        </w:tc>
        <w:tc>
          <w:tcPr>
            <w:tcW w:w="144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231F20"/>
                <w:w w:val="99"/>
              </w:rPr>
              <w:t>235,947,857</w:t>
            </w:r>
          </w:p>
        </w:tc>
        <w:tc>
          <w:tcPr>
            <w:tcW w:w="146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231F20"/>
                <w:w w:val="99"/>
              </w:rPr>
              <w:t>235,947,857</w:t>
            </w: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authorize the Board to fix their</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(99.938659%)</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(0.061341%)</w:t>
            </w: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remuneration for the year ending</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A &amp;</w:t>
            </w:r>
          </w:p>
        </w:tc>
        <w:tc>
          <w:tcPr>
            <w:tcW w:w="124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00" w:type="dxa"/>
            <w:vAlign w:val="bottom"/>
            <w:tcBorders>
              <w:left w:val="single" w:sz="8" w:color="231F20"/>
              <w:bottom w:val="single" w:sz="8" w:color="231F20"/>
              <w:right w:val="single" w:sz="8" w:color="231F20"/>
            </w:tcBorders>
          </w:tcPr>
          <w:p>
            <w:pPr>
              <w:spacing w:after="0"/>
              <w:rPr>
                <w:sz w:val="22"/>
                <w:szCs w:val="22"/>
                <w:color w:val="auto"/>
              </w:rPr>
            </w:pPr>
          </w:p>
        </w:tc>
        <w:tc>
          <w:tcPr>
            <w:tcW w:w="280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December 31, 2025.</w:t>
            </w:r>
          </w:p>
        </w:tc>
        <w:tc>
          <w:tcPr>
            <w:tcW w:w="124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bottom w:val="single" w:sz="8" w:color="231F20"/>
              <w:right w:val="single" w:sz="8" w:color="231F20"/>
            </w:tcBorders>
          </w:tcPr>
          <w:p>
            <w:pPr>
              <w:spacing w:after="0"/>
              <w:rPr>
                <w:sz w:val="22"/>
                <w:szCs w:val="22"/>
                <w:color w:val="auto"/>
              </w:rPr>
            </w:pPr>
          </w:p>
        </w:tc>
        <w:tc>
          <w:tcPr>
            <w:tcW w:w="1220" w:type="dxa"/>
            <w:vAlign w:val="bottom"/>
            <w:tcBorders>
              <w:bottom w:val="single" w:sz="8" w:color="231F20"/>
              <w:right w:val="single" w:sz="8" w:color="231F20"/>
            </w:tcBorders>
          </w:tcPr>
          <w:p>
            <w:pPr>
              <w:spacing w:after="0"/>
              <w:rPr>
                <w:sz w:val="22"/>
                <w:szCs w:val="22"/>
                <w:color w:val="auto"/>
              </w:rPr>
            </w:pPr>
          </w:p>
        </w:tc>
        <w:tc>
          <w:tcPr>
            <w:tcW w:w="1240" w:type="dxa"/>
            <w:vAlign w:val="bottom"/>
            <w:tcBorders>
              <w:bottom w:val="single" w:sz="8" w:color="231F20"/>
              <w:right w:val="single" w:sz="8" w:color="231F20"/>
            </w:tcBorders>
          </w:tcPr>
          <w:p>
            <w:pPr>
              <w:spacing w:after="0"/>
              <w:rPr>
                <w:sz w:val="22"/>
                <w:szCs w:val="22"/>
                <w:color w:val="auto"/>
              </w:rPr>
            </w:pPr>
          </w:p>
        </w:tc>
        <w:tc>
          <w:tcPr>
            <w:tcW w:w="1440" w:type="dxa"/>
            <w:vAlign w:val="bottom"/>
            <w:tcBorders>
              <w:bottom w:val="single" w:sz="8" w:color="231F20"/>
              <w:right w:val="single" w:sz="8" w:color="231F20"/>
            </w:tcBorders>
          </w:tcPr>
          <w:p>
            <w:pPr>
              <w:spacing w:after="0"/>
              <w:rPr>
                <w:sz w:val="22"/>
                <w:szCs w:val="22"/>
                <w:color w:val="auto"/>
              </w:rPr>
            </w:pPr>
          </w:p>
        </w:tc>
        <w:tc>
          <w:tcPr>
            <w:tcW w:w="1460" w:type="dxa"/>
            <w:vAlign w:val="bottom"/>
            <w:tcBorders>
              <w:bottom w:val="single" w:sz="8" w:color="231F20"/>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10640" w:type="dxa"/>
            <w:vAlign w:val="bottom"/>
            <w:tcBorders>
              <w:right w:val="single" w:sz="8" w:color="231F20"/>
            </w:tcBorders>
            <w:gridSpan w:val="7"/>
          </w:tcPr>
          <w:p>
            <w:pPr>
              <w:ind w:left="40"/>
              <w:spacing w:after="0" w:line="191" w:lineRule="exact"/>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bottom w:val="single" w:sz="8" w:color="231F20"/>
              <w:right w:val="single" w:sz="8" w:color="231F20"/>
            </w:tcBorders>
          </w:tcPr>
          <w:p>
            <w:pPr>
              <w:spacing w:after="0"/>
              <w:rPr>
                <w:sz w:val="20"/>
                <w:szCs w:val="20"/>
                <w:color w:val="auto"/>
              </w:rPr>
            </w:pPr>
          </w:p>
        </w:tc>
        <w:tc>
          <w:tcPr>
            <w:tcW w:w="404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24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6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00" w:type="dxa"/>
            <w:vAlign w:val="bottom"/>
            <w:tcBorders>
              <w:top w:val="single" w:sz="8" w:color="231F20"/>
              <w:left w:val="single" w:sz="8" w:color="auto"/>
            </w:tcBorders>
          </w:tcPr>
          <w:p>
            <w:pPr>
              <w:spacing w:after="0"/>
              <w:rPr>
                <w:sz w:val="19"/>
                <w:szCs w:val="19"/>
                <w:color w:val="auto"/>
              </w:rPr>
            </w:pPr>
          </w:p>
        </w:tc>
        <w:tc>
          <w:tcPr>
            <w:tcW w:w="2800" w:type="dxa"/>
            <w:vAlign w:val="bottom"/>
            <w:tcBorders>
              <w:top w:val="single" w:sz="8" w:color="231F20"/>
            </w:tcBorders>
          </w:tcPr>
          <w:p>
            <w:pPr>
              <w:spacing w:after="0"/>
              <w:rPr>
                <w:sz w:val="19"/>
                <w:szCs w:val="19"/>
                <w:color w:val="auto"/>
              </w:rPr>
            </w:pPr>
          </w:p>
        </w:tc>
        <w:tc>
          <w:tcPr>
            <w:tcW w:w="1240" w:type="dxa"/>
            <w:vAlign w:val="bottom"/>
            <w:tcBorders>
              <w:top w:val="single" w:sz="8" w:color="231F20"/>
              <w:right w:val="single" w:sz="8" w:color="231F20"/>
            </w:tcBorders>
          </w:tcPr>
          <w:p>
            <w:pPr>
              <w:spacing w:after="0"/>
              <w:rPr>
                <w:sz w:val="19"/>
                <w:szCs w:val="19"/>
                <w:color w:val="auto"/>
              </w:rPr>
            </w:pPr>
          </w:p>
        </w:tc>
        <w:tc>
          <w:tcPr>
            <w:tcW w:w="3700" w:type="dxa"/>
            <w:vAlign w:val="bottom"/>
            <w:tcBorders>
              <w:top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NUMBER OF VOTES</w:t>
            </w:r>
          </w:p>
        </w:tc>
        <w:tc>
          <w:tcPr>
            <w:tcW w:w="14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w:t>
            </w:r>
          </w:p>
        </w:tc>
        <w:tc>
          <w:tcPr>
            <w:tcW w:w="14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w:t>
            </w:r>
          </w:p>
        </w:tc>
        <w:tc>
          <w:tcPr>
            <w:tcW w:w="0" w:type="dxa"/>
            <w:vAlign w:val="bottom"/>
          </w:tcPr>
          <w:p>
            <w:pPr>
              <w:spacing w:after="0"/>
              <w:rPr>
                <w:sz w:val="1"/>
                <w:szCs w:val="1"/>
                <w:color w:val="auto"/>
              </w:rPr>
            </w:pPr>
          </w:p>
        </w:tc>
      </w:tr>
      <w:tr>
        <w:trPr>
          <w:trHeight w:val="194"/>
        </w:trPr>
        <w:tc>
          <w:tcPr>
            <w:tcW w:w="600" w:type="dxa"/>
            <w:vAlign w:val="bottom"/>
            <w:tcBorders>
              <w:left w:val="single" w:sz="8" w:color="231F20"/>
            </w:tcBorders>
          </w:tcPr>
          <w:p>
            <w:pPr>
              <w:spacing w:after="0"/>
              <w:rPr>
                <w:sz w:val="16"/>
                <w:szCs w:val="16"/>
                <w:color w:val="auto"/>
              </w:rPr>
            </w:pPr>
          </w:p>
        </w:tc>
        <w:tc>
          <w:tcPr>
            <w:tcW w:w="2800" w:type="dxa"/>
            <w:vAlign w:val="bottom"/>
          </w:tcPr>
          <w:p>
            <w:pPr>
              <w:ind w:left="720"/>
              <w:spacing w:after="0" w:line="194" w:lineRule="exact"/>
              <w:rPr>
                <w:sz w:val="20"/>
                <w:szCs w:val="20"/>
                <w:color w:val="auto"/>
              </w:rPr>
            </w:pPr>
            <w:r>
              <w:rPr>
                <w:rFonts w:ascii="Times New Roman" w:cs="Times New Roman" w:eastAsia="Times New Roman" w:hAnsi="Times New Roman"/>
                <w:sz w:val="18"/>
                <w:szCs w:val="18"/>
                <w:b w:val="1"/>
                <w:bCs w:val="1"/>
                <w:color w:val="231F20"/>
              </w:rPr>
              <w:t>SPECIAL RESOLUTION</w:t>
            </w:r>
          </w:p>
        </w:tc>
        <w:tc>
          <w:tcPr>
            <w:tcW w:w="1240" w:type="dxa"/>
            <w:vAlign w:val="bottom"/>
            <w:tcBorders>
              <w:right w:val="single" w:sz="8" w:color="231F20"/>
            </w:tcBorders>
          </w:tcPr>
          <w:p>
            <w:pPr>
              <w:spacing w:after="0"/>
              <w:rPr>
                <w:sz w:val="16"/>
                <w:szCs w:val="16"/>
                <w:color w:val="auto"/>
              </w:rPr>
            </w:pPr>
          </w:p>
        </w:tc>
        <w:tc>
          <w:tcPr>
            <w:tcW w:w="3700" w:type="dxa"/>
            <w:vAlign w:val="bottom"/>
            <w:tcBorders>
              <w:right w:val="single" w:sz="8" w:color="231F20"/>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231F20"/>
                <w:w w:val="99"/>
              </w:rPr>
              <w:t>CAST AND PERCENTAGE (%)</w:t>
            </w:r>
          </w:p>
        </w:tc>
        <w:tc>
          <w:tcPr>
            <w:tcW w:w="1440" w:type="dxa"/>
            <w:vAlign w:val="bottom"/>
            <w:tcBorders>
              <w:right w:val="single" w:sz="8" w:color="231F20"/>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231F20"/>
              </w:rPr>
              <w:t>NUMBER OF</w:t>
            </w:r>
          </w:p>
        </w:tc>
        <w:tc>
          <w:tcPr>
            <w:tcW w:w="1460" w:type="dxa"/>
            <w:vAlign w:val="bottom"/>
            <w:tcBorders>
              <w:right w:val="single" w:sz="8" w:color="231F20"/>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231F20"/>
              </w:rPr>
              <w:t>NUMBER OF</w:t>
            </w:r>
          </w:p>
        </w:tc>
        <w:tc>
          <w:tcPr>
            <w:tcW w:w="0" w:type="dxa"/>
            <w:vAlign w:val="bottom"/>
          </w:tcPr>
          <w:p>
            <w:pPr>
              <w:spacing w:after="0"/>
              <w:rPr>
                <w:sz w:val="1"/>
                <w:szCs w:val="1"/>
                <w:color w:val="auto"/>
              </w:rPr>
            </w:pPr>
          </w:p>
        </w:tc>
      </w:tr>
      <w:tr>
        <w:trPr>
          <w:trHeight w:val="90"/>
        </w:trPr>
        <w:tc>
          <w:tcPr>
            <w:tcW w:w="600" w:type="dxa"/>
            <w:vAlign w:val="bottom"/>
            <w:tcBorders>
              <w:left w:val="single" w:sz="8" w:color="231F20"/>
            </w:tcBorders>
          </w:tcPr>
          <w:p>
            <w:pPr>
              <w:spacing w:after="0"/>
              <w:rPr>
                <w:sz w:val="7"/>
                <w:szCs w:val="7"/>
                <w:color w:val="auto"/>
              </w:rPr>
            </w:pPr>
          </w:p>
        </w:tc>
        <w:tc>
          <w:tcPr>
            <w:tcW w:w="2800" w:type="dxa"/>
            <w:vAlign w:val="bottom"/>
          </w:tcPr>
          <w:p>
            <w:pPr>
              <w:spacing w:after="0"/>
              <w:rPr>
                <w:sz w:val="7"/>
                <w:szCs w:val="7"/>
                <w:color w:val="auto"/>
              </w:rPr>
            </w:pPr>
          </w:p>
        </w:tc>
        <w:tc>
          <w:tcPr>
            <w:tcW w:w="1240" w:type="dxa"/>
            <w:vAlign w:val="bottom"/>
            <w:tcBorders>
              <w:right w:val="single" w:sz="8" w:color="231F20"/>
            </w:tcBorders>
          </w:tcPr>
          <w:p>
            <w:pPr>
              <w:spacing w:after="0"/>
              <w:rPr>
                <w:sz w:val="7"/>
                <w:szCs w:val="7"/>
                <w:color w:val="auto"/>
              </w:rPr>
            </w:pPr>
          </w:p>
        </w:tc>
        <w:tc>
          <w:tcPr>
            <w:tcW w:w="1240" w:type="dxa"/>
            <w:vAlign w:val="bottom"/>
            <w:tcBorders>
              <w:bottom w:val="single" w:sz="8" w:color="231F20"/>
            </w:tcBorders>
          </w:tcPr>
          <w:p>
            <w:pPr>
              <w:spacing w:after="0"/>
              <w:rPr>
                <w:sz w:val="7"/>
                <w:szCs w:val="7"/>
                <w:color w:val="auto"/>
              </w:rPr>
            </w:pPr>
          </w:p>
        </w:tc>
        <w:tc>
          <w:tcPr>
            <w:tcW w:w="1220" w:type="dxa"/>
            <w:vAlign w:val="bottom"/>
            <w:tcBorders>
              <w:bottom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4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VOTING</w:t>
            </w:r>
          </w:p>
        </w:tc>
        <w:tc>
          <w:tcPr>
            <w:tcW w:w="14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VOTES CAST</w:t>
            </w:r>
          </w:p>
        </w:tc>
        <w:tc>
          <w:tcPr>
            <w:tcW w:w="0" w:type="dxa"/>
            <w:vAlign w:val="bottom"/>
          </w:tcPr>
          <w:p>
            <w:pPr>
              <w:spacing w:after="0"/>
              <w:rPr>
                <w:sz w:val="1"/>
                <w:szCs w:val="1"/>
                <w:color w:val="auto"/>
              </w:rPr>
            </w:pPr>
          </w:p>
        </w:tc>
      </w:tr>
      <w:tr>
        <w:trPr>
          <w:trHeight w:val="106"/>
        </w:trPr>
        <w:tc>
          <w:tcPr>
            <w:tcW w:w="600" w:type="dxa"/>
            <w:vAlign w:val="bottom"/>
            <w:tcBorders>
              <w:left w:val="single" w:sz="8" w:color="231F20"/>
            </w:tcBorders>
          </w:tcPr>
          <w:p>
            <w:pPr>
              <w:spacing w:after="0"/>
              <w:rPr>
                <w:sz w:val="9"/>
                <w:szCs w:val="9"/>
                <w:color w:val="auto"/>
              </w:rPr>
            </w:pPr>
          </w:p>
        </w:tc>
        <w:tc>
          <w:tcPr>
            <w:tcW w:w="2800" w:type="dxa"/>
            <w:vAlign w:val="bottom"/>
          </w:tcPr>
          <w:p>
            <w:pPr>
              <w:spacing w:after="0"/>
              <w:rPr>
                <w:sz w:val="9"/>
                <w:szCs w:val="9"/>
                <w:color w:val="auto"/>
              </w:rPr>
            </w:pPr>
          </w:p>
        </w:tc>
        <w:tc>
          <w:tcPr>
            <w:tcW w:w="1240" w:type="dxa"/>
            <w:vAlign w:val="bottom"/>
            <w:tcBorders>
              <w:right w:val="single" w:sz="8" w:color="231F20"/>
            </w:tcBorders>
          </w:tcPr>
          <w:p>
            <w:pPr>
              <w:spacing w:after="0"/>
              <w:rPr>
                <w:sz w:val="9"/>
                <w:szCs w:val="9"/>
                <w:color w:val="auto"/>
              </w:rPr>
            </w:pPr>
          </w:p>
        </w:tc>
        <w:tc>
          <w:tcPr>
            <w:tcW w:w="1240" w:type="dxa"/>
            <w:vAlign w:val="bottom"/>
            <w:tcBorders>
              <w:right w:val="single" w:sz="8" w:color="231F20"/>
            </w:tcBorders>
          </w:tcPr>
          <w:p>
            <w:pPr>
              <w:spacing w:after="0"/>
              <w:rPr>
                <w:sz w:val="9"/>
                <w:szCs w:val="9"/>
                <w:color w:val="auto"/>
              </w:rPr>
            </w:pPr>
          </w:p>
        </w:tc>
        <w:tc>
          <w:tcPr>
            <w:tcW w:w="12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AGAINST</w:t>
            </w:r>
          </w:p>
        </w:tc>
        <w:tc>
          <w:tcPr>
            <w:tcW w:w="1240" w:type="dxa"/>
            <w:vAlign w:val="bottom"/>
            <w:tcBorders>
              <w:right w:val="single" w:sz="8" w:color="231F20"/>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231F20"/>
              </w:rPr>
              <w:t>ABSTAIN</w:t>
            </w:r>
            <w:r>
              <w:rPr>
                <w:rFonts w:ascii="Times New Roman" w:cs="Times New Roman" w:eastAsia="Times New Roman" w:hAnsi="Times New Roman"/>
                <w:sz w:val="29"/>
                <w:szCs w:val="29"/>
                <w:b w:val="1"/>
                <w:bCs w:val="1"/>
                <w:color w:val="231F20"/>
                <w:vertAlign w:val="superscript"/>
              </w:rPr>
              <w:t>1</w:t>
            </w:r>
          </w:p>
        </w:tc>
        <w:tc>
          <w:tcPr>
            <w:tcW w:w="1440" w:type="dxa"/>
            <w:vAlign w:val="bottom"/>
            <w:tcBorders>
              <w:right w:val="single" w:sz="8" w:color="231F20"/>
            </w:tcBorders>
            <w:vMerge w:val="continue"/>
          </w:tcPr>
          <w:p>
            <w:pPr>
              <w:spacing w:after="0"/>
              <w:rPr>
                <w:sz w:val="9"/>
                <w:szCs w:val="9"/>
                <w:color w:val="auto"/>
              </w:rPr>
            </w:pPr>
          </w:p>
        </w:tc>
        <w:tc>
          <w:tcPr>
            <w:tcW w:w="1460" w:type="dxa"/>
            <w:vAlign w:val="bottom"/>
            <w:tcBorders>
              <w:right w:val="single" w:sz="8" w:color="231F2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600" w:type="dxa"/>
            <w:vAlign w:val="bottom"/>
            <w:tcBorders>
              <w:left w:val="single" w:sz="8" w:color="231F20"/>
              <w:bottom w:val="single" w:sz="8" w:color="231F20"/>
            </w:tcBorders>
          </w:tcPr>
          <w:p>
            <w:pPr>
              <w:spacing w:after="0"/>
              <w:rPr>
                <w:sz w:val="20"/>
                <w:szCs w:val="20"/>
                <w:color w:val="auto"/>
              </w:rPr>
            </w:pPr>
          </w:p>
        </w:tc>
        <w:tc>
          <w:tcPr>
            <w:tcW w:w="280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ind w:left="420"/>
              <w:spacing w:after="0"/>
              <w:rPr>
                <w:sz w:val="20"/>
                <w:szCs w:val="20"/>
                <w:color w:val="auto"/>
              </w:rPr>
            </w:pPr>
            <w:r>
              <w:rPr>
                <w:rFonts w:ascii="Times New Roman" w:cs="Times New Roman" w:eastAsia="Times New Roman" w:hAnsi="Times New Roman"/>
                <w:sz w:val="18"/>
                <w:szCs w:val="18"/>
                <w:b w:val="1"/>
                <w:bCs w:val="1"/>
                <w:color w:val="231F20"/>
              </w:rPr>
              <w:t>FOR</w:t>
            </w:r>
          </w:p>
        </w:tc>
        <w:tc>
          <w:tcPr>
            <w:tcW w:w="1220" w:type="dxa"/>
            <w:vAlign w:val="bottom"/>
            <w:tcBorders>
              <w:bottom w:val="single" w:sz="8" w:color="231F20"/>
              <w:right w:val="single" w:sz="8" w:color="231F20"/>
            </w:tcBorders>
            <w:vMerge w:val="continue"/>
          </w:tcPr>
          <w:p>
            <w:pPr>
              <w:spacing w:after="0"/>
              <w:rPr>
                <w:sz w:val="20"/>
                <w:szCs w:val="20"/>
                <w:color w:val="auto"/>
              </w:rPr>
            </w:pPr>
          </w:p>
        </w:tc>
        <w:tc>
          <w:tcPr>
            <w:tcW w:w="1240" w:type="dxa"/>
            <w:vAlign w:val="bottom"/>
            <w:tcBorders>
              <w:bottom w:val="single" w:sz="8" w:color="231F20"/>
              <w:right w:val="single" w:sz="8" w:color="231F20"/>
            </w:tcBorders>
            <w:vMerge w:val="continue"/>
          </w:tcPr>
          <w:p>
            <w:pPr>
              <w:spacing w:after="0"/>
              <w:rPr>
                <w:sz w:val="20"/>
                <w:szCs w:val="20"/>
                <w:color w:val="auto"/>
              </w:rPr>
            </w:pP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SHARES</w:t>
            </w: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0" w:type="dxa"/>
            <w:vAlign w:val="bottom"/>
            <w:tcBorders>
              <w:left w:val="single" w:sz="8" w:color="231F20"/>
              <w:right w:val="single" w:sz="8" w:color="231F20"/>
            </w:tcBorders>
          </w:tcPr>
          <w:p>
            <w:pPr>
              <w:jc w:val="right"/>
              <w:ind w:right="310"/>
              <w:spacing w:after="0" w:line="191" w:lineRule="exact"/>
              <w:rPr>
                <w:sz w:val="20"/>
                <w:szCs w:val="20"/>
                <w:color w:val="auto"/>
              </w:rPr>
            </w:pPr>
            <w:r>
              <w:rPr>
                <w:rFonts w:ascii="Times New Roman" w:cs="Times New Roman" w:eastAsia="Times New Roman" w:hAnsi="Times New Roman"/>
                <w:sz w:val="18"/>
                <w:szCs w:val="18"/>
                <w:color w:val="231F20"/>
              </w:rPr>
              <w:t>7.</w:t>
            </w:r>
          </w:p>
        </w:tc>
        <w:tc>
          <w:tcPr>
            <w:tcW w:w="280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The Memorandum and Articles of</w:t>
            </w:r>
          </w:p>
        </w:tc>
        <w:tc>
          <w:tcPr>
            <w:tcW w:w="12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231F20"/>
              </w:rPr>
              <w:t>Class A</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165,589,341</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142,528</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10,804 (-)</w:t>
            </w:r>
          </w:p>
        </w:tc>
        <w:tc>
          <w:tcPr>
            <w:tcW w:w="14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165,731,869</w:t>
            </w:r>
          </w:p>
        </w:tc>
        <w:tc>
          <w:tcPr>
            <w:tcW w:w="14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165,731,869</w:t>
            </w: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Association be amended and restated</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(99.914001%)</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(0.085999%)</w:t>
            </w: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by their deletion in their entirety and</w:t>
            </w:r>
          </w:p>
        </w:tc>
        <w:tc>
          <w:tcPr>
            <w:tcW w:w="12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600" w:type="dxa"/>
            <w:vAlign w:val="bottom"/>
            <w:tcBorders>
              <w:left w:val="single" w:sz="8" w:color="231F20"/>
              <w:right w:val="single" w:sz="8" w:color="231F20"/>
            </w:tcBorders>
          </w:tcPr>
          <w:p>
            <w:pPr>
              <w:spacing w:after="0"/>
              <w:rPr>
                <w:sz w:val="9"/>
                <w:szCs w:val="9"/>
                <w:color w:val="auto"/>
              </w:rPr>
            </w:pPr>
          </w:p>
        </w:tc>
        <w:tc>
          <w:tcPr>
            <w:tcW w:w="280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by the substitution in their place of</w:t>
            </w:r>
          </w:p>
        </w:tc>
        <w:tc>
          <w:tcPr>
            <w:tcW w:w="1240" w:type="dxa"/>
            <w:vAlign w:val="bottom"/>
            <w:tcBorders>
              <w:bottom w:val="single" w:sz="8" w:color="231F20"/>
              <w:right w:val="single" w:sz="8" w:color="231F20"/>
            </w:tcBorders>
          </w:tcPr>
          <w:p>
            <w:pPr>
              <w:spacing w:after="0"/>
              <w:rPr>
                <w:sz w:val="9"/>
                <w:szCs w:val="9"/>
                <w:color w:val="auto"/>
              </w:rPr>
            </w:pPr>
          </w:p>
        </w:tc>
        <w:tc>
          <w:tcPr>
            <w:tcW w:w="1240" w:type="dxa"/>
            <w:vAlign w:val="bottom"/>
            <w:tcBorders>
              <w:bottom w:val="single" w:sz="8" w:color="231F20"/>
              <w:right w:val="single" w:sz="8" w:color="231F20"/>
            </w:tcBorders>
          </w:tcPr>
          <w:p>
            <w:pPr>
              <w:spacing w:after="0"/>
              <w:rPr>
                <w:sz w:val="9"/>
                <w:szCs w:val="9"/>
                <w:color w:val="auto"/>
              </w:rPr>
            </w:pPr>
          </w:p>
        </w:tc>
        <w:tc>
          <w:tcPr>
            <w:tcW w:w="1220" w:type="dxa"/>
            <w:vAlign w:val="bottom"/>
            <w:tcBorders>
              <w:bottom w:val="single" w:sz="8" w:color="231F20"/>
              <w:right w:val="single" w:sz="8" w:color="231F20"/>
            </w:tcBorders>
          </w:tcPr>
          <w:p>
            <w:pPr>
              <w:spacing w:after="0"/>
              <w:rPr>
                <w:sz w:val="9"/>
                <w:szCs w:val="9"/>
                <w:color w:val="auto"/>
              </w:rPr>
            </w:pPr>
          </w:p>
        </w:tc>
        <w:tc>
          <w:tcPr>
            <w:tcW w:w="1240" w:type="dxa"/>
            <w:vAlign w:val="bottom"/>
            <w:tcBorders>
              <w:bottom w:val="single" w:sz="8" w:color="231F20"/>
              <w:right w:val="single" w:sz="8" w:color="231F20"/>
            </w:tcBorders>
          </w:tcPr>
          <w:p>
            <w:pPr>
              <w:spacing w:after="0"/>
              <w:rPr>
                <w:sz w:val="9"/>
                <w:szCs w:val="9"/>
                <w:color w:val="auto"/>
              </w:rPr>
            </w:pPr>
          </w:p>
        </w:tc>
        <w:tc>
          <w:tcPr>
            <w:tcW w:w="1440" w:type="dxa"/>
            <w:vAlign w:val="bottom"/>
            <w:tcBorders>
              <w:bottom w:val="single" w:sz="8" w:color="231F20"/>
              <w:right w:val="single" w:sz="8" w:color="231F20"/>
            </w:tcBorders>
          </w:tcPr>
          <w:p>
            <w:pPr>
              <w:spacing w:after="0"/>
              <w:rPr>
                <w:sz w:val="9"/>
                <w:szCs w:val="9"/>
                <w:color w:val="auto"/>
              </w:rPr>
            </w:pPr>
          </w:p>
        </w:tc>
        <w:tc>
          <w:tcPr>
            <w:tcW w:w="1460" w:type="dxa"/>
            <w:vAlign w:val="bottom"/>
            <w:tcBorders>
              <w:bottom w:val="single" w:sz="8" w:color="231F20"/>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00" w:type="dxa"/>
            <w:vAlign w:val="bottom"/>
            <w:tcBorders>
              <w:left w:val="single" w:sz="8" w:color="231F20"/>
              <w:right w:val="single" w:sz="8" w:color="231F20"/>
            </w:tcBorders>
          </w:tcPr>
          <w:p>
            <w:pPr>
              <w:spacing w:after="0"/>
              <w:rPr>
                <w:sz w:val="7"/>
                <w:szCs w:val="7"/>
                <w:color w:val="auto"/>
              </w:rPr>
            </w:pPr>
          </w:p>
        </w:tc>
        <w:tc>
          <w:tcPr>
            <w:tcW w:w="280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vMerge w:val="restart"/>
          </w:tcPr>
          <w:p>
            <w:pPr>
              <w:ind w:left="40"/>
              <w:spacing w:after="0" w:line="191" w:lineRule="exact"/>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right w:val="single" w:sz="8" w:color="231F20"/>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231F20"/>
              </w:rPr>
              <w:t>70,205,300</w:t>
            </w:r>
          </w:p>
        </w:tc>
        <w:tc>
          <w:tcPr>
            <w:tcW w:w="1220" w:type="dxa"/>
            <w:vAlign w:val="bottom"/>
            <w:tcBorders>
              <w:right w:val="single" w:sz="8" w:color="231F20"/>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231F20"/>
              </w:rPr>
              <w:t>0</w:t>
            </w:r>
          </w:p>
        </w:tc>
        <w:tc>
          <w:tcPr>
            <w:tcW w:w="1240" w:type="dxa"/>
            <w:vAlign w:val="bottom"/>
            <w:tcBorders>
              <w:right w:val="single" w:sz="8" w:color="231F20"/>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231F20"/>
              </w:rPr>
              <w:t>0 (-)</w:t>
            </w:r>
          </w:p>
        </w:tc>
        <w:tc>
          <w:tcPr>
            <w:tcW w:w="1440" w:type="dxa"/>
            <w:vAlign w:val="bottom"/>
            <w:tcBorders>
              <w:right w:val="single" w:sz="8" w:color="231F20"/>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231F20"/>
              </w:rPr>
              <w:t>70,205,300</w:t>
            </w:r>
          </w:p>
        </w:tc>
        <w:tc>
          <w:tcPr>
            <w:tcW w:w="1460" w:type="dxa"/>
            <w:vAlign w:val="bottom"/>
            <w:tcBorders>
              <w:right w:val="single" w:sz="8" w:color="231F20"/>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8"/>
              </w:rPr>
              <w:t>70,205,300</w:t>
            </w:r>
          </w:p>
        </w:tc>
        <w:tc>
          <w:tcPr>
            <w:tcW w:w="0" w:type="dxa"/>
            <w:vAlign w:val="bottom"/>
          </w:tcPr>
          <w:p>
            <w:pPr>
              <w:spacing w:after="0"/>
              <w:rPr>
                <w:sz w:val="1"/>
                <w:szCs w:val="1"/>
                <w:color w:val="auto"/>
              </w:rPr>
            </w:pPr>
          </w:p>
        </w:tc>
      </w:tr>
      <w:tr>
        <w:trPr>
          <w:trHeight w:val="108"/>
        </w:trPr>
        <w:tc>
          <w:tcPr>
            <w:tcW w:w="600" w:type="dxa"/>
            <w:vAlign w:val="bottom"/>
            <w:tcBorders>
              <w:left w:val="single" w:sz="8" w:color="231F20"/>
              <w:right w:val="single" w:sz="8" w:color="231F20"/>
            </w:tcBorders>
          </w:tcPr>
          <w:p>
            <w:pPr>
              <w:spacing w:after="0"/>
              <w:rPr>
                <w:sz w:val="9"/>
                <w:szCs w:val="9"/>
                <w:color w:val="auto"/>
              </w:rPr>
            </w:pPr>
          </w:p>
        </w:tc>
        <w:tc>
          <w:tcPr>
            <w:tcW w:w="280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the Amended Memorandum and</w:t>
            </w:r>
          </w:p>
        </w:tc>
        <w:tc>
          <w:tcPr>
            <w:tcW w:w="1240" w:type="dxa"/>
            <w:vAlign w:val="bottom"/>
            <w:tcBorders>
              <w:right w:val="single" w:sz="8" w:color="231F20"/>
            </w:tcBorders>
            <w:vMerge w:val="continue"/>
          </w:tcPr>
          <w:p>
            <w:pPr>
              <w:spacing w:after="0"/>
              <w:rPr>
                <w:sz w:val="9"/>
                <w:szCs w:val="9"/>
                <w:color w:val="auto"/>
              </w:rPr>
            </w:pPr>
          </w:p>
        </w:tc>
        <w:tc>
          <w:tcPr>
            <w:tcW w:w="1240" w:type="dxa"/>
            <w:vAlign w:val="bottom"/>
            <w:tcBorders>
              <w:right w:val="single" w:sz="8" w:color="231F20"/>
            </w:tcBorders>
            <w:vMerge w:val="continue"/>
          </w:tcPr>
          <w:p>
            <w:pPr>
              <w:spacing w:after="0"/>
              <w:rPr>
                <w:sz w:val="9"/>
                <w:szCs w:val="9"/>
                <w:color w:val="auto"/>
              </w:rPr>
            </w:pPr>
          </w:p>
        </w:tc>
        <w:tc>
          <w:tcPr>
            <w:tcW w:w="1220" w:type="dxa"/>
            <w:vAlign w:val="bottom"/>
            <w:tcBorders>
              <w:right w:val="single" w:sz="8" w:color="231F20"/>
            </w:tcBorders>
            <w:vMerge w:val="continue"/>
          </w:tcPr>
          <w:p>
            <w:pPr>
              <w:spacing w:after="0"/>
              <w:rPr>
                <w:sz w:val="9"/>
                <w:szCs w:val="9"/>
                <w:color w:val="auto"/>
              </w:rPr>
            </w:pPr>
          </w:p>
        </w:tc>
        <w:tc>
          <w:tcPr>
            <w:tcW w:w="1240" w:type="dxa"/>
            <w:vAlign w:val="bottom"/>
            <w:tcBorders>
              <w:right w:val="single" w:sz="8" w:color="231F20"/>
            </w:tcBorders>
            <w:vMerge w:val="continue"/>
          </w:tcPr>
          <w:p>
            <w:pPr>
              <w:spacing w:after="0"/>
              <w:rPr>
                <w:sz w:val="9"/>
                <w:szCs w:val="9"/>
                <w:color w:val="auto"/>
              </w:rPr>
            </w:pPr>
          </w:p>
        </w:tc>
        <w:tc>
          <w:tcPr>
            <w:tcW w:w="1440" w:type="dxa"/>
            <w:vAlign w:val="bottom"/>
            <w:tcBorders>
              <w:right w:val="single" w:sz="8" w:color="231F20"/>
            </w:tcBorders>
            <w:vMerge w:val="continue"/>
          </w:tcPr>
          <w:p>
            <w:pPr>
              <w:spacing w:after="0"/>
              <w:rPr>
                <w:sz w:val="9"/>
                <w:szCs w:val="9"/>
                <w:color w:val="auto"/>
              </w:rPr>
            </w:pPr>
          </w:p>
        </w:tc>
        <w:tc>
          <w:tcPr>
            <w:tcW w:w="1460" w:type="dxa"/>
            <w:vAlign w:val="bottom"/>
            <w:tcBorders>
              <w:right w:val="single" w:sz="8" w:color="231F2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231F20"/>
              <w:right w:val="single" w:sz="8" w:color="231F20"/>
            </w:tcBorders>
          </w:tcPr>
          <w:p>
            <w:pPr>
              <w:spacing w:after="0"/>
              <w:rPr>
                <w:sz w:val="9"/>
                <w:szCs w:val="9"/>
                <w:color w:val="auto"/>
              </w:rPr>
            </w:pPr>
          </w:p>
        </w:tc>
        <w:tc>
          <w:tcPr>
            <w:tcW w:w="2800" w:type="dxa"/>
            <w:vAlign w:val="bottom"/>
            <w:tcBorders>
              <w:right w:val="single" w:sz="8" w:color="231F20"/>
            </w:tcBorders>
            <w:vMerge w:val="continue"/>
          </w:tcPr>
          <w:p>
            <w:pPr>
              <w:spacing w:after="0"/>
              <w:rPr>
                <w:sz w:val="9"/>
                <w:szCs w:val="9"/>
                <w:color w:val="auto"/>
              </w:rPr>
            </w:pPr>
          </w:p>
        </w:tc>
        <w:tc>
          <w:tcPr>
            <w:tcW w:w="124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8"/>
                <w:szCs w:val="18"/>
                <w:color w:val="231F20"/>
                <w:w w:val="98"/>
              </w:rPr>
              <w:t>Ordinary Shares</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(100.000000%)</w:t>
            </w:r>
          </w:p>
        </w:tc>
        <w:tc>
          <w:tcPr>
            <w:tcW w:w="12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(0.000000%)</w:t>
            </w:r>
          </w:p>
        </w:tc>
        <w:tc>
          <w:tcPr>
            <w:tcW w:w="1240" w:type="dxa"/>
            <w:vAlign w:val="bottom"/>
            <w:tcBorders>
              <w:right w:val="single" w:sz="8" w:color="231F20"/>
            </w:tcBorders>
          </w:tcPr>
          <w:p>
            <w:pPr>
              <w:spacing w:after="0"/>
              <w:rPr>
                <w:sz w:val="9"/>
                <w:szCs w:val="9"/>
                <w:color w:val="auto"/>
              </w:rPr>
            </w:pPr>
          </w:p>
        </w:tc>
        <w:tc>
          <w:tcPr>
            <w:tcW w:w="1440" w:type="dxa"/>
            <w:vAlign w:val="bottom"/>
            <w:tcBorders>
              <w:right w:val="single" w:sz="8" w:color="231F20"/>
            </w:tcBorders>
          </w:tcPr>
          <w:p>
            <w:pPr>
              <w:spacing w:after="0"/>
              <w:rPr>
                <w:sz w:val="9"/>
                <w:szCs w:val="9"/>
                <w:color w:val="auto"/>
              </w:rPr>
            </w:pPr>
          </w:p>
        </w:tc>
        <w:tc>
          <w:tcPr>
            <w:tcW w:w="1460" w:type="dxa"/>
            <w:vAlign w:val="bottom"/>
            <w:tcBorders>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00" w:type="dxa"/>
            <w:vAlign w:val="bottom"/>
            <w:tcBorders>
              <w:left w:val="single" w:sz="8" w:color="231F20"/>
              <w:right w:val="single" w:sz="8" w:color="231F20"/>
            </w:tcBorders>
          </w:tcPr>
          <w:p>
            <w:pPr>
              <w:spacing w:after="0"/>
              <w:rPr>
                <w:sz w:val="10"/>
                <w:szCs w:val="10"/>
                <w:color w:val="auto"/>
              </w:rPr>
            </w:pPr>
          </w:p>
        </w:tc>
        <w:tc>
          <w:tcPr>
            <w:tcW w:w="280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Articles in the form as set out in</w:t>
            </w:r>
          </w:p>
        </w:tc>
        <w:tc>
          <w:tcPr>
            <w:tcW w:w="1240" w:type="dxa"/>
            <w:vAlign w:val="bottom"/>
            <w:tcBorders>
              <w:right w:val="single" w:sz="8" w:color="231F20"/>
            </w:tcBorders>
            <w:vMerge w:val="continue"/>
          </w:tcPr>
          <w:p>
            <w:pPr>
              <w:spacing w:after="0"/>
              <w:rPr>
                <w:sz w:val="10"/>
                <w:szCs w:val="10"/>
                <w:color w:val="auto"/>
              </w:rPr>
            </w:pPr>
          </w:p>
        </w:tc>
        <w:tc>
          <w:tcPr>
            <w:tcW w:w="1240" w:type="dxa"/>
            <w:vAlign w:val="bottom"/>
            <w:tcBorders>
              <w:right w:val="single" w:sz="8" w:color="231F20"/>
            </w:tcBorders>
            <w:vMerge w:val="continue"/>
          </w:tcPr>
          <w:p>
            <w:pPr>
              <w:spacing w:after="0"/>
              <w:rPr>
                <w:sz w:val="10"/>
                <w:szCs w:val="10"/>
                <w:color w:val="auto"/>
              </w:rPr>
            </w:pPr>
          </w:p>
        </w:tc>
        <w:tc>
          <w:tcPr>
            <w:tcW w:w="1220" w:type="dxa"/>
            <w:vAlign w:val="bottom"/>
            <w:tcBorders>
              <w:right w:val="single" w:sz="8" w:color="231F20"/>
            </w:tcBorders>
            <w:vMerge w:val="continue"/>
          </w:tcPr>
          <w:p>
            <w:pPr>
              <w:spacing w:after="0"/>
              <w:rPr>
                <w:sz w:val="10"/>
                <w:szCs w:val="10"/>
                <w:color w:val="auto"/>
              </w:rPr>
            </w:pPr>
          </w:p>
        </w:tc>
        <w:tc>
          <w:tcPr>
            <w:tcW w:w="1240" w:type="dxa"/>
            <w:vAlign w:val="bottom"/>
            <w:tcBorders>
              <w:right w:val="single" w:sz="8" w:color="231F20"/>
            </w:tcBorders>
          </w:tcPr>
          <w:p>
            <w:pPr>
              <w:spacing w:after="0"/>
              <w:rPr>
                <w:sz w:val="10"/>
                <w:szCs w:val="10"/>
                <w:color w:val="auto"/>
              </w:rPr>
            </w:pPr>
          </w:p>
        </w:tc>
        <w:tc>
          <w:tcPr>
            <w:tcW w:w="1440" w:type="dxa"/>
            <w:vAlign w:val="bottom"/>
            <w:tcBorders>
              <w:right w:val="single" w:sz="8" w:color="231F20"/>
            </w:tcBorders>
          </w:tcPr>
          <w:p>
            <w:pPr>
              <w:spacing w:after="0"/>
              <w:rPr>
                <w:sz w:val="10"/>
                <w:szCs w:val="10"/>
                <w:color w:val="auto"/>
              </w:rPr>
            </w:pPr>
          </w:p>
        </w:tc>
        <w:tc>
          <w:tcPr>
            <w:tcW w:w="1460" w:type="dxa"/>
            <w:vAlign w:val="bottom"/>
            <w:tcBorders>
              <w:right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00" w:type="dxa"/>
            <w:vAlign w:val="bottom"/>
            <w:tcBorders>
              <w:left w:val="single" w:sz="8" w:color="231F20"/>
              <w:right w:val="single" w:sz="8" w:color="231F20"/>
            </w:tcBorders>
          </w:tcPr>
          <w:p>
            <w:pPr>
              <w:spacing w:after="0"/>
              <w:rPr>
                <w:sz w:val="7"/>
                <w:szCs w:val="7"/>
                <w:color w:val="auto"/>
              </w:rPr>
            </w:pPr>
          </w:p>
        </w:tc>
        <w:tc>
          <w:tcPr>
            <w:tcW w:w="280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tcPr>
          <w:p>
            <w:pPr>
              <w:spacing w:after="0"/>
              <w:rPr>
                <w:sz w:val="7"/>
                <w:szCs w:val="7"/>
                <w:color w:val="auto"/>
              </w:rPr>
            </w:pPr>
          </w:p>
        </w:tc>
        <w:tc>
          <w:tcPr>
            <w:tcW w:w="1240" w:type="dxa"/>
            <w:vAlign w:val="bottom"/>
            <w:tcBorders>
              <w:right w:val="single" w:sz="8" w:color="231F20"/>
            </w:tcBorders>
          </w:tcPr>
          <w:p>
            <w:pPr>
              <w:spacing w:after="0"/>
              <w:rPr>
                <w:sz w:val="7"/>
                <w:szCs w:val="7"/>
                <w:color w:val="auto"/>
              </w:rPr>
            </w:pPr>
          </w:p>
        </w:tc>
        <w:tc>
          <w:tcPr>
            <w:tcW w:w="1220" w:type="dxa"/>
            <w:vAlign w:val="bottom"/>
            <w:tcBorders>
              <w:right w:val="single" w:sz="8" w:color="231F20"/>
            </w:tcBorders>
          </w:tcPr>
          <w:p>
            <w:pPr>
              <w:spacing w:after="0"/>
              <w:rPr>
                <w:sz w:val="7"/>
                <w:szCs w:val="7"/>
                <w:color w:val="auto"/>
              </w:rPr>
            </w:pPr>
          </w:p>
        </w:tc>
        <w:tc>
          <w:tcPr>
            <w:tcW w:w="1240" w:type="dxa"/>
            <w:vAlign w:val="bottom"/>
            <w:tcBorders>
              <w:right w:val="single" w:sz="8" w:color="231F20"/>
            </w:tcBorders>
          </w:tcPr>
          <w:p>
            <w:pPr>
              <w:spacing w:after="0"/>
              <w:rPr>
                <w:sz w:val="7"/>
                <w:szCs w:val="7"/>
                <w:color w:val="auto"/>
              </w:rPr>
            </w:pPr>
          </w:p>
        </w:tc>
        <w:tc>
          <w:tcPr>
            <w:tcW w:w="1440" w:type="dxa"/>
            <w:vAlign w:val="bottom"/>
            <w:tcBorders>
              <w:right w:val="single" w:sz="8" w:color="231F20"/>
            </w:tcBorders>
          </w:tcPr>
          <w:p>
            <w:pPr>
              <w:spacing w:after="0"/>
              <w:rPr>
                <w:sz w:val="7"/>
                <w:szCs w:val="7"/>
                <w:color w:val="auto"/>
              </w:rPr>
            </w:pPr>
          </w:p>
        </w:tc>
        <w:tc>
          <w:tcPr>
            <w:tcW w:w="146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Appendix III to the Circular, and</w:t>
            </w:r>
          </w:p>
        </w:tc>
        <w:tc>
          <w:tcPr>
            <w:tcW w:w="12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0" w:type="dxa"/>
            <w:vAlign w:val="bottom"/>
            <w:tcBorders>
              <w:left w:val="single" w:sz="8" w:color="231F20"/>
              <w:right w:val="single" w:sz="8" w:color="231F20"/>
            </w:tcBorders>
          </w:tcPr>
          <w:p>
            <w:pPr>
              <w:spacing w:after="0"/>
              <w:rPr>
                <w:sz w:val="15"/>
                <w:szCs w:val="15"/>
                <w:color w:val="auto"/>
              </w:rPr>
            </w:pPr>
          </w:p>
        </w:tc>
        <w:tc>
          <w:tcPr>
            <w:tcW w:w="2800" w:type="dxa"/>
            <w:vAlign w:val="bottom"/>
            <w:tcBorders>
              <w:right w:val="single" w:sz="8" w:color="231F20"/>
            </w:tcBorders>
          </w:tcPr>
          <w:p>
            <w:pPr>
              <w:ind w:left="40"/>
              <w:spacing w:after="0" w:line="177" w:lineRule="exact"/>
              <w:rPr>
                <w:sz w:val="20"/>
                <w:szCs w:val="20"/>
                <w:color w:val="auto"/>
              </w:rPr>
            </w:pPr>
            <w:r>
              <w:rPr>
                <w:rFonts w:ascii="Times New Roman" w:cs="Times New Roman" w:eastAsia="Times New Roman" w:hAnsi="Times New Roman"/>
                <w:sz w:val="18"/>
                <w:szCs w:val="18"/>
                <w:color w:val="231F20"/>
              </w:rPr>
              <w:t>THAT the Board be authorized to</w:t>
            </w:r>
          </w:p>
        </w:tc>
        <w:tc>
          <w:tcPr>
            <w:tcW w:w="1240" w:type="dxa"/>
            <w:vAlign w:val="bottom"/>
            <w:tcBorders>
              <w:right w:val="single" w:sz="8" w:color="231F20"/>
            </w:tcBorders>
          </w:tcPr>
          <w:p>
            <w:pPr>
              <w:ind w:left="40"/>
              <w:spacing w:after="0" w:line="177" w:lineRule="exact"/>
              <w:rPr>
                <w:sz w:val="20"/>
                <w:szCs w:val="20"/>
                <w:color w:val="auto"/>
              </w:rPr>
            </w:pPr>
            <w:r>
              <w:rPr>
                <w:rFonts w:ascii="Times New Roman" w:cs="Times New Roman" w:eastAsia="Times New Roman" w:hAnsi="Times New Roman"/>
                <w:sz w:val="18"/>
                <w:szCs w:val="18"/>
                <w:color w:val="231F20"/>
              </w:rPr>
              <w:t>TOTAL</w:t>
            </w:r>
          </w:p>
        </w:tc>
        <w:tc>
          <w:tcPr>
            <w:tcW w:w="12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9"/>
              </w:rPr>
              <w:t>235,794,641</w:t>
            </w:r>
          </w:p>
        </w:tc>
        <w:tc>
          <w:tcPr>
            <w:tcW w:w="122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9"/>
              </w:rPr>
              <w:t>142,528</w:t>
            </w:r>
          </w:p>
        </w:tc>
        <w:tc>
          <w:tcPr>
            <w:tcW w:w="12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9"/>
              </w:rPr>
              <w:t>10,804 (-)</w:t>
            </w:r>
          </w:p>
        </w:tc>
        <w:tc>
          <w:tcPr>
            <w:tcW w:w="14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9"/>
              </w:rPr>
              <w:t>235,937,169</w:t>
            </w:r>
          </w:p>
        </w:tc>
        <w:tc>
          <w:tcPr>
            <w:tcW w:w="146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231F20"/>
                <w:w w:val="99"/>
              </w:rPr>
              <w:t>235,937,169</w:t>
            </w: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deal with on behalf of the Company</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(99.939591%)</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(0.060409%)</w:t>
            </w: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the relevant filing and amendments</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A &amp;</w:t>
            </w:r>
          </w:p>
        </w:tc>
        <w:tc>
          <w:tcPr>
            <w:tcW w:w="124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(where necessary) procedures and</w:t>
            </w:r>
          </w:p>
        </w:tc>
        <w:tc>
          <w:tcPr>
            <w:tcW w:w="12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CLASS B)</w:t>
            </w:r>
          </w:p>
        </w:tc>
        <w:tc>
          <w:tcPr>
            <w:tcW w:w="124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other related issues arising from the</w:t>
            </w:r>
          </w:p>
        </w:tc>
        <w:tc>
          <w:tcPr>
            <w:tcW w:w="12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2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99"/>
              </w:rPr>
              <w:t>amendments to the Memorandum and</w:t>
            </w:r>
          </w:p>
        </w:tc>
        <w:tc>
          <w:tcPr>
            <w:tcW w:w="12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440" w:type="dxa"/>
            <w:vAlign w:val="bottom"/>
            <w:tcBorders>
              <w:right w:val="single" w:sz="8" w:color="231F20"/>
            </w:tcBorders>
          </w:tcPr>
          <w:p>
            <w:pPr>
              <w:spacing w:after="0"/>
              <w:rPr>
                <w:sz w:val="18"/>
                <w:szCs w:val="18"/>
                <w:color w:val="auto"/>
              </w:rPr>
            </w:pPr>
          </w:p>
        </w:tc>
        <w:tc>
          <w:tcPr>
            <w:tcW w:w="14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bottom w:val="single" w:sz="8" w:color="231F20"/>
              <w:right w:val="single" w:sz="8" w:color="231F20"/>
            </w:tcBorders>
          </w:tcPr>
          <w:p>
            <w:pPr>
              <w:spacing w:after="0"/>
              <w:rPr>
                <w:sz w:val="20"/>
                <w:szCs w:val="20"/>
                <w:color w:val="auto"/>
              </w:rPr>
            </w:pPr>
          </w:p>
        </w:tc>
        <w:tc>
          <w:tcPr>
            <w:tcW w:w="280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rPr>
              <w:t>Articles.</w:t>
            </w:r>
          </w:p>
        </w:tc>
        <w:tc>
          <w:tcPr>
            <w:tcW w:w="12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440" w:type="dxa"/>
            <w:vAlign w:val="bottom"/>
            <w:tcBorders>
              <w:bottom w:val="single" w:sz="8" w:color="231F20"/>
              <w:right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10640" w:type="dxa"/>
            <w:vAlign w:val="bottom"/>
            <w:tcBorders>
              <w:right w:val="single" w:sz="8" w:color="231F20"/>
            </w:tcBorders>
            <w:gridSpan w:val="7"/>
          </w:tcPr>
          <w:p>
            <w:pPr>
              <w:ind w:left="40"/>
              <w:spacing w:after="0" w:line="191" w:lineRule="exact"/>
              <w:rPr>
                <w:sz w:val="20"/>
                <w:szCs w:val="20"/>
                <w:color w:val="auto"/>
              </w:rPr>
            </w:pPr>
            <w:r>
              <w:rPr>
                <w:rFonts w:ascii="Times New Roman" w:cs="Times New Roman" w:eastAsia="Times New Roman" w:hAnsi="Times New Roman"/>
                <w:sz w:val="18"/>
                <w:szCs w:val="18"/>
                <w:color w:val="231F20"/>
              </w:rPr>
              <w:t>The resolution has been duly passed as a special resolution with over three-fourths of valid votes held by Shareholders (including proxies)</w:t>
            </w: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bottom w:val="single" w:sz="8" w:color="231F20"/>
              <w:right w:val="single" w:sz="8" w:color="231F20"/>
            </w:tcBorders>
          </w:tcPr>
          <w:p>
            <w:pPr>
              <w:spacing w:after="0"/>
              <w:rPr>
                <w:sz w:val="20"/>
                <w:szCs w:val="20"/>
                <w:color w:val="auto"/>
              </w:rPr>
            </w:pPr>
          </w:p>
        </w:tc>
        <w:tc>
          <w:tcPr>
            <w:tcW w:w="404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24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tcPr>
          <w:p>
            <w:pPr>
              <w:spacing w:after="0"/>
              <w:rPr>
                <w:sz w:val="20"/>
                <w:szCs w:val="20"/>
                <w:color w:val="auto"/>
              </w:rPr>
            </w:pPr>
          </w:p>
        </w:tc>
        <w:tc>
          <w:tcPr>
            <w:tcW w:w="14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140" w:hanging="484"/>
        <w:spacing w:after="0"/>
        <w:tabs>
          <w:tab w:leader="none" w:pos="1140" w:val="left"/>
        </w:tabs>
        <w:numPr>
          <w:ilvl w:val="0"/>
          <w:numId w:val="2"/>
        </w:numPr>
        <w:rPr>
          <w:rFonts w:ascii="Times New Roman" w:cs="Times New Roman" w:eastAsia="Times New Roman" w:hAnsi="Times New Roman"/>
          <w:sz w:val="30"/>
          <w:szCs w:val="30"/>
          <w:color w:val="231F20"/>
          <w:vertAlign w:val="superscript"/>
        </w:rPr>
      </w:pPr>
      <w:r>
        <w:rPr>
          <w:rFonts w:ascii="Times New Roman" w:cs="Times New Roman" w:eastAsia="Times New Roman" w:hAnsi="Times New Roman"/>
          <w:sz w:val="18"/>
          <w:szCs w:val="18"/>
          <w:color w:val="231F20"/>
        </w:rPr>
        <w:t>According to the laws of the Cayman Islands, the Shares in abstention shall not be counted as votes cast at the AGM.</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Company’s share registrar in Hong Kong, Computershare Hong Kong Investor Services Limited, acted as the scrutineer for the vote-taking at the AGM.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All Directors of the Company, namely Mr. WANG Xueji, Mr. CHEN Liaohan, Mr. YANG Yi, Ms. ZHANG Yan, Mr. HUANG Sidney Xuande, Mr. QIU Changheng, Mr. KUOK Meng Xiong (alias GUO Mengxiong) and Mr. YIP Pak Tung Jason attended the AGM, either in person or via electronic means.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Treasury shares, if any and registered under the name of the Company, shall have no voting rights at the general meeting(s) of the Company. For the avoidance of doubt, for the purpose of the Listing Rules, the Company shall, upon depositing any treasury shares in the CCASS, abstain from voting at any of its general meeting(s) in relation to those shares.</w:t>
      </w:r>
    </w:p>
    <w:p>
      <w:pPr>
        <w:spacing w:after="0" w:line="176"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color w:val="231F20"/>
        </w:rPr>
        <w:t>By order of the Board</w:t>
      </w:r>
    </w:p>
    <w:p>
      <w:pPr>
        <w:spacing w:after="0" w:line="27"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231F20"/>
        </w:rPr>
        <w:t>Tuya Inc.</w:t>
      </w:r>
    </w:p>
    <w:p>
      <w:pPr>
        <w:spacing w:after="0" w:line="9"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231F20"/>
        </w:rPr>
        <w:t>WANG Xueji</w:t>
      </w:r>
    </w:p>
    <w:p>
      <w:pPr>
        <w:spacing w:after="0" w:line="9"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i w:val="1"/>
          <w:iCs w:val="1"/>
          <w:color w:val="231F20"/>
        </w:rPr>
        <w:t>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Hong Kong, June 19, 2025</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As at the date of this announcement, the Board comprises Mr. WANG Xueji, Mr. CHEN Liaohan, Mr. YANG Yi and Ms. ZHANG Yan as the executive Directors; and Mr. HUANG Sidney Xuande, Mr. QIU Changheng, Mr. KUOK Meng Xiong (alias GUO Mengxiong) and Mr. YIP Pak Tung Jason as the independent non-executive Directors.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2025-06-20T06:19:24Z</dcterms:created>
  <dcterms:modified xsi:type="dcterms:W3CDTF">2025-06-20T06:19:24Z</dcterms:modified>
</cp:coreProperties>
</file>