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20-F</w:t>
      </w:r>
    </w:p>
    <w:p>
      <w:pPr>
        <w:sectPr>
          <w:pgSz w:w="11900" w:h="16838" w:orient="portrait"/>
          <w:cols w:equalWidth="0" w:num="1">
            <w:col w:w="9920"/>
          </w:cols>
          <w:pgMar w:left="980" w:top="661" w:right="999" w:bottom="1440" w:gutter="0" w:footer="0" w:header="0"/>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(Mark One)</w:t>
      </w:r>
    </w:p>
    <w:p>
      <w:pPr>
        <w:spacing w:after="0" w:line="69" w:lineRule="exact"/>
        <w:rPr>
          <w:sz w:val="24"/>
          <w:szCs w:val="24"/>
          <w:color w:val="auto"/>
        </w:rPr>
      </w:pPr>
    </w:p>
    <w:p>
      <w:pPr>
        <w:ind w:left="340"/>
        <w:spacing w:after="0" w:line="181" w:lineRule="exact"/>
        <w:rPr>
          <w:sz w:val="20"/>
          <w:szCs w:val="20"/>
          <w:color w:val="auto"/>
        </w:rPr>
      </w:pPr>
      <w:r>
        <w:rPr>
          <w:rFonts w:ascii="MS PGothic" w:cs="MS PGothic" w:eastAsia="MS PGothic" w:hAnsi="MS PGothic"/>
          <w:sz w:val="18"/>
          <w:szCs w:val="18"/>
          <w:color w:val="auto"/>
        </w:rPr>
        <w:t>☐</w:t>
      </w:r>
    </w:p>
    <w:p>
      <w:pPr>
        <w:spacing w:after="0" w:line="293" w:lineRule="exact"/>
        <w:rPr>
          <w:sz w:val="24"/>
          <w:szCs w:val="24"/>
          <w:color w:val="auto"/>
        </w:rPr>
      </w:pPr>
    </w:p>
    <w:p>
      <w:pPr>
        <w:ind w:left="340"/>
        <w:spacing w:after="0" w:line="181" w:lineRule="exact"/>
        <w:rPr>
          <w:sz w:val="20"/>
          <w:szCs w:val="20"/>
          <w:color w:val="auto"/>
        </w:rPr>
      </w:pPr>
      <w:r>
        <w:rPr>
          <w:rFonts w:ascii="MS PGothic" w:cs="MS PGothic" w:eastAsia="MS PGothic" w:hAnsi="MS PGothic"/>
          <w:sz w:val="18"/>
          <w:szCs w:val="18"/>
          <w:color w:val="auto"/>
        </w:rPr>
        <w:t>☒</w:t>
      </w:r>
    </w:p>
    <w:p>
      <w:pPr>
        <w:spacing w:after="0" w:line="374" w:lineRule="exact"/>
        <w:rPr>
          <w:sz w:val="24"/>
          <w:szCs w:val="24"/>
          <w:color w:val="auto"/>
        </w:rPr>
      </w:pPr>
    </w:p>
    <w:p>
      <w:pPr>
        <w:ind w:left="34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1" w:lineRule="exact"/>
        <w:rPr>
          <w:sz w:val="24"/>
          <w:szCs w:val="24"/>
          <w:color w:val="auto"/>
        </w:rPr>
      </w:pPr>
    </w:p>
    <w:p>
      <w:pPr>
        <w:ind w:left="3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jc w:val="center"/>
        <w:ind w:right="1100"/>
        <w:spacing w:after="0" w:line="325" w:lineRule="auto"/>
        <w:rPr>
          <w:sz w:val="20"/>
          <w:szCs w:val="20"/>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 OR</w:t>
      </w:r>
    </w:p>
    <w:p>
      <w:pPr>
        <w:spacing w:after="0" w:line="9" w:lineRule="exact"/>
        <w:rPr>
          <w:sz w:val="24"/>
          <w:szCs w:val="24"/>
          <w:color w:val="auto"/>
        </w:rPr>
      </w:pPr>
    </w:p>
    <w:p>
      <w:pPr>
        <w:ind w:right="1920"/>
        <w:spacing w:after="0" w:line="234" w:lineRule="auto"/>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OR</w:t>
            </w:r>
          </w:p>
        </w:tc>
      </w:tr>
      <w:tr>
        <w:trPr>
          <w:trHeight w:val="197"/>
        </w:trPr>
        <w:tc>
          <w:tcPr>
            <w:tcW w:w="7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r>
      <w:tr>
        <w:trPr>
          <w:trHeight w:val="160"/>
        </w:trPr>
        <w:tc>
          <w:tcPr>
            <w:tcW w:w="19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900" w:type="dxa"/>
            <w:vAlign w:val="bottom"/>
            <w:tcBorders>
              <w:bottom w:val="single" w:sz="8" w:color="auto"/>
            </w:tcBorders>
          </w:tcPr>
          <w:p>
            <w:pPr>
              <w:spacing w:after="0"/>
              <w:rPr>
                <w:sz w:val="13"/>
                <w:szCs w:val="13"/>
                <w:color w:val="auto"/>
              </w:rPr>
            </w:pPr>
          </w:p>
        </w:tc>
        <w:tc>
          <w:tcPr>
            <w:tcW w:w="18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to</w:t>
            </w:r>
          </w:p>
        </w:tc>
        <w:tc>
          <w:tcPr>
            <w:tcW w:w="900" w:type="dxa"/>
            <w:vAlign w:val="bottom"/>
            <w:tcBorders>
              <w:bottom w:val="single" w:sz="8" w:color="auto"/>
            </w:tcBorders>
          </w:tcPr>
          <w:p>
            <w:pPr>
              <w:spacing w:after="0"/>
              <w:rPr>
                <w:sz w:val="13"/>
                <w:szCs w:val="13"/>
                <w:color w:val="auto"/>
              </w:rPr>
            </w:pPr>
          </w:p>
        </w:tc>
        <w:tc>
          <w:tcPr>
            <w:tcW w:w="344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r>
    </w:tbl>
    <w:p>
      <w:pPr>
        <w:spacing w:after="0" w:line="8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6" w:lineRule="exact"/>
        <w:rPr>
          <w:sz w:val="24"/>
          <w:szCs w:val="24"/>
          <w:color w:val="auto"/>
        </w:rPr>
      </w:pPr>
    </w:p>
    <w:p>
      <w:pPr>
        <w:ind w:right="1280"/>
        <w:spacing w:after="0" w:line="264" w:lineRule="auto"/>
        <w:rPr>
          <w:sz w:val="20"/>
          <w:szCs w:val="20"/>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-28575</wp:posOffset>
            </wp:positionV>
            <wp:extent cx="548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33"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Commission file number: 001-40210</w:t>
      </w:r>
    </w:p>
    <w:p>
      <w:pPr>
        <w:spacing w:after="0" w:line="76"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31"/>
          <w:szCs w:val="31"/>
          <w:b w:val="1"/>
          <w:bCs w:val="1"/>
          <w:color w:val="auto"/>
        </w:rPr>
        <w:t>Tuya Inc.</w:t>
      </w:r>
    </w:p>
    <w:p>
      <w:pPr>
        <w:spacing w:after="0" w:line="33" w:lineRule="exact"/>
        <w:rPr>
          <w:sz w:val="24"/>
          <w:szCs w:val="24"/>
          <w:color w:val="auto"/>
        </w:rPr>
      </w:pPr>
    </w:p>
    <w:p>
      <w:pPr>
        <w:sectPr>
          <w:pgSz w:w="11900" w:h="16838" w:orient="portrait"/>
          <w:cols w:equalWidth="0" w:num="2">
            <w:col w:w="520" w:space="460"/>
            <w:col w:w="8940"/>
          </w:cols>
          <w:pgMar w:left="980" w:top="661" w:right="9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(Translation of Registrant’s name into English)</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(Jurisdiction of incorporation or organization)</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10/F, Building A, Huace Center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Xihu District, Hangzhou City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Zhejiang, 310012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People’s Republic of China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Yi (Alex) Yang</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+86 0571-86915981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ir@tuya.com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10/F, Building A, Huace Center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Xihu District, Hangzhou City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Zhejiang, 310012</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People’s Republic of China</w:t>
      </w:r>
    </w:p>
    <w:p>
      <w:pPr>
        <w:spacing w:after="0" w:line="19"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3"/>
          <w:szCs w:val="13"/>
          <w:color w:val="auto"/>
        </w:rPr>
        <w:t>(Name, Telephone, E-mail and/or Facsimile number and Address of Company Contact Person)</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63"/>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American depositary shares, each representing one Class A</w:t>
            </w:r>
          </w:p>
        </w:tc>
        <w:tc>
          <w:tcPr>
            <w:tcW w:w="300" w:type="dxa"/>
            <w:vAlign w:val="bottom"/>
          </w:tcPr>
          <w:p>
            <w:pPr>
              <w:spacing w:after="0"/>
              <w:rPr>
                <w:sz w:val="14"/>
                <w:szCs w:val="14"/>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TUYA</w:t>
            </w:r>
          </w:p>
        </w:tc>
        <w:tc>
          <w:tcPr>
            <w:tcW w:w="280" w:type="dxa"/>
            <w:vAlign w:val="bottom"/>
          </w:tcPr>
          <w:p>
            <w:pPr>
              <w:spacing w:after="0"/>
              <w:rPr>
                <w:sz w:val="14"/>
                <w:szCs w:val="14"/>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89"/>
        </w:trPr>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ordinary share, par value US$0.00005 per share</w:t>
            </w: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190"/>
        </w:trPr>
        <w:tc>
          <w:tcPr>
            <w:tcW w:w="4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 ordinary shares, par value US$0.00005 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2391</w:t>
            </w:r>
          </w:p>
        </w:tc>
        <w:tc>
          <w:tcPr>
            <w:tcW w:w="2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Stock Exchange of Hong Kong Limited</w:t>
            </w: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6"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574,592,599 ordinary shares, comprising 504,387,299 Class A ordinary shares, par value US$0.00005 per share (including 5,433,895 Class A ordinary shares issued to the depositary bank for bulk issuance of ADSs reserved for future issuances upon the exercise or vesting of awards granted under our 2015 and 2024 Share Schemes,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323850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and a total of 3,351,816 Class A ordinary shares, including Class A ordinary shares represented by ADSs, that have been repurchased by us from the open market), and 70,205,300 Class B ordinary shares, par value US$0.00005 per share, as of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9" w:lineRule="exact"/>
        <w:rPr>
          <w:sz w:val="20"/>
          <w:szCs w:val="20"/>
          <w:color w:val="auto"/>
        </w:rPr>
      </w:pPr>
    </w:p>
    <w:p>
      <w:pPr>
        <w:spacing w:after="0" w:line="161" w:lineRule="exact"/>
        <w:tabs>
          <w:tab w:leader="none" w:pos="60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76" w:lineRule="exact"/>
        <w:rPr>
          <w:sz w:val="20"/>
          <w:szCs w:val="20"/>
          <w:color w:val="auto"/>
        </w:rPr>
      </w:pPr>
    </w:p>
    <w:p>
      <w:pPr>
        <w:ind w:right="560"/>
        <w:spacing w:after="0" w:line="176"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2"/>
          <w:szCs w:val="12"/>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55"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8" w:lineRule="exact"/>
        <w:rPr>
          <w:sz w:val="20"/>
          <w:szCs w:val="20"/>
          <w:color w:val="auto"/>
        </w:rPr>
      </w:pPr>
    </w:p>
    <w:p>
      <w:pPr>
        <w:ind w:right="30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spacing w:after="0" w:line="64" w:lineRule="exact"/>
        <w:rPr>
          <w:sz w:val="20"/>
          <w:szCs w:val="20"/>
          <w:color w:val="auto"/>
        </w:rPr>
      </w:pPr>
    </w:p>
    <w:p>
      <w:pPr>
        <w:ind w:left="340"/>
        <w:spacing w:after="0" w:line="161" w:lineRule="exact"/>
        <w:tabs>
          <w:tab w:leader="none" w:pos="2740" w:val="left"/>
          <w:tab w:leader="none" w:pos="4760" w:val="left"/>
          <w:tab w:leader="none" w:pos="71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7" w:lineRule="exact"/>
        <w:rPr>
          <w:sz w:val="20"/>
          <w:szCs w:val="20"/>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ind w:right="680" w:firstLine="8"/>
        <w:spacing w:after="0" w:line="261" w:lineRule="auto"/>
        <w:tabs>
          <w:tab w:leader="none" w:pos="10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91" w:lineRule="exact"/>
        <w:rPr>
          <w:sz w:val="20"/>
          <w:szCs w:val="20"/>
          <w:color w:val="auto"/>
        </w:rPr>
      </w:pPr>
    </w:p>
    <w:p>
      <w:pPr>
        <w:ind w:left="3100" w:right="40" w:hanging="3132"/>
        <w:spacing w:after="0" w:line="242" w:lineRule="exact"/>
        <w:tabs>
          <w:tab w:leader="none" w:pos="308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International Financial Reporting Standards as issued Other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by the International Accounting Standards Board </w:t>
      </w:r>
      <w:r>
        <w:rPr>
          <w:rFonts w:ascii="MS PGothic" w:cs="MS PGothic" w:eastAsia="MS PGothic" w:hAnsi="MS PGothic"/>
          <w:sz w:val="14"/>
          <w:szCs w:val="14"/>
          <w:color w:val="auto"/>
        </w:rPr>
        <w:t>☐</w:t>
      </w:r>
    </w:p>
    <w:p>
      <w:pPr>
        <w:spacing w:after="0" w:line="244" w:lineRule="exact"/>
        <w:rPr>
          <w:sz w:val="20"/>
          <w:szCs w:val="20"/>
          <w:color w:val="auto"/>
        </w:rPr>
      </w:pPr>
    </w:p>
    <w:p>
      <w:pPr>
        <w:ind w:right="100"/>
        <w:spacing w:after="0" w:line="191"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51" w:lineRule="exact"/>
        <w:rPr>
          <w:sz w:val="20"/>
          <w:szCs w:val="20"/>
          <w:color w:val="auto"/>
        </w:rPr>
      </w:pPr>
    </w:p>
    <w:p>
      <w:pPr>
        <w:ind w:right="1080"/>
        <w:spacing w:after="0" w:line="245"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(APPLICABLE ONLY TO ISSUERS INVOLVED IN BANKRUPTCY PROCEEDINGS DURING THE PAST FIVE YEARS)</w:t>
      </w:r>
    </w:p>
    <w:p>
      <w:pPr>
        <w:spacing w:after="0" w:line="97" w:lineRule="exact"/>
        <w:rPr>
          <w:sz w:val="20"/>
          <w:szCs w:val="20"/>
          <w:color w:val="auto"/>
        </w:rPr>
      </w:pPr>
    </w:p>
    <w:p>
      <w:pPr>
        <w:ind w:left="140" w:right="260" w:hanging="129"/>
        <w:spacing w:after="0" w:line="279" w:lineRule="auto"/>
        <w:rPr>
          <w:sz w:val="20"/>
          <w:szCs w:val="20"/>
          <w:color w:val="auto"/>
        </w:rPr>
      </w:pPr>
      <w:r>
        <w:rPr>
          <w:rFonts w:ascii="Times New Roman" w:cs="Times New Roman" w:eastAsia="Times New Roman" w:hAnsi="Times New Roman"/>
          <w:sz w:val="14"/>
          <w:szCs w:val="14"/>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1" w:lineRule="exact"/>
        <w:rPr>
          <w:sz w:val="20"/>
          <w:szCs w:val="20"/>
          <w:color w:val="auto"/>
        </w:rPr>
      </w:pPr>
    </w:p>
    <w:p>
      <w:pPr>
        <w:spacing w:after="0" w:line="161" w:lineRule="exact"/>
        <w:tabs>
          <w:tab w:leader="none" w:pos="9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137160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INTRODUCTION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2"/>
        </w:trPr>
        <w:tc>
          <w:tcPr>
            <w:tcW w:w="1480" w:type="dxa"/>
            <w:vAlign w:val="bottom"/>
            <w:gridSpan w:val="16"/>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ii</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gridSpan w:val="43"/>
          </w:tcPr>
          <w:p>
            <w:pPr>
              <w:spacing w:after="0"/>
              <w:rPr>
                <w:sz w:val="20"/>
                <w:szCs w:val="20"/>
                <w:color w:val="auto"/>
              </w:rPr>
            </w:pPr>
            <w:r>
              <w:rPr>
                <w:rFonts w:ascii="Times New Roman" w:cs="Times New Roman" w:eastAsia="Times New Roman" w:hAnsi="Times New Roman"/>
                <w:sz w:val="18"/>
                <w:szCs w:val="18"/>
                <w:b w:val="1"/>
                <w:bCs w:val="1"/>
                <w:color w:val="0000EE"/>
              </w:rPr>
              <w:t>FORWARD-LOOKING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iv</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880" w:type="dxa"/>
            <w:vAlign w:val="bottom"/>
            <w:tcBorders>
              <w:top w:val="single" w:sz="8" w:color="0000EE"/>
            </w:tcBorders>
            <w:gridSpan w:val="14"/>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1.</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2.</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OFFER STATISTICS AND EXPECTED TIMETABLE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3.</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KEY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4.</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INFORMATION ON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ITEM 4A.</w:t>
            </w:r>
          </w:p>
        </w:tc>
        <w:tc>
          <w:tcPr>
            <w:tcW w:w="460" w:type="dxa"/>
            <w:vAlign w:val="bottom"/>
            <w:gridSpan w:val="8"/>
          </w:tcPr>
          <w:p>
            <w:pPr>
              <w:spacing w:after="0"/>
              <w:rPr>
                <w:sz w:val="18"/>
                <w:szCs w:val="18"/>
                <w:color w:val="auto"/>
              </w:rPr>
            </w:pPr>
          </w:p>
        </w:tc>
        <w:tc>
          <w:tcPr>
            <w:tcW w:w="28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UNRESOLVED STAFF COMMENTS</w:t>
            </w:r>
          </w:p>
        </w:tc>
        <w:tc>
          <w:tcPr>
            <w:tcW w:w="4840" w:type="dxa"/>
            <w:vAlign w:val="bottom"/>
            <w:gridSpan w:val="14"/>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5.</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6.</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7.</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8.</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9.</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THE OFFER AND LISTING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10.</w:t>
            </w:r>
          </w:p>
        </w:tc>
        <w:tc>
          <w:tcPr>
            <w:tcW w:w="480" w:type="dxa"/>
            <w:vAlign w:val="bottom"/>
            <w:gridSpan w:val="9"/>
          </w:tcPr>
          <w:p>
            <w:pPr>
              <w:spacing w:after="0"/>
              <w:rPr>
                <w:sz w:val="18"/>
                <w:szCs w:val="18"/>
                <w:color w:val="auto"/>
              </w:rPr>
            </w:pPr>
          </w:p>
        </w:tc>
        <w:tc>
          <w:tcPr>
            <w:tcW w:w="24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ADDITIONAL INFORMATION</w:t>
            </w:r>
          </w:p>
        </w:tc>
        <w:tc>
          <w:tcPr>
            <w:tcW w:w="5280" w:type="dxa"/>
            <w:vAlign w:val="bottom"/>
            <w:gridSpan w:val="16"/>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7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ITEM 11.</w:t>
            </w:r>
          </w:p>
        </w:tc>
        <w:tc>
          <w:tcPr>
            <w:tcW w:w="500" w:type="dxa"/>
            <w:vAlign w:val="bottom"/>
            <w:gridSpan w:val="10"/>
          </w:tcPr>
          <w:p>
            <w:pPr>
              <w:spacing w:after="0"/>
              <w:rPr>
                <w:sz w:val="18"/>
                <w:szCs w:val="18"/>
                <w:color w:val="auto"/>
              </w:rPr>
            </w:pPr>
          </w:p>
        </w:tc>
        <w:tc>
          <w:tcPr>
            <w:tcW w:w="61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1560" w:type="dxa"/>
            <w:vAlign w:val="bottom"/>
            <w:gridSpan w:val="5"/>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12.</w:t>
            </w:r>
          </w:p>
        </w:tc>
        <w:tc>
          <w:tcPr>
            <w:tcW w:w="480" w:type="dxa"/>
            <w:vAlign w:val="bottom"/>
            <w:gridSpan w:val="9"/>
          </w:tcPr>
          <w:p>
            <w:pPr>
              <w:spacing w:after="0"/>
              <w:rPr>
                <w:sz w:val="18"/>
                <w:szCs w:val="18"/>
                <w:color w:val="auto"/>
              </w:rPr>
            </w:pPr>
          </w:p>
        </w:tc>
        <w:tc>
          <w:tcPr>
            <w:tcW w:w="54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DESCRIPTION OF SECURITIES OTHER THAN EQUITY SECURITIES</w:t>
            </w:r>
          </w:p>
        </w:tc>
        <w:tc>
          <w:tcPr>
            <w:tcW w:w="2220" w:type="dxa"/>
            <w:vAlign w:val="bottom"/>
            <w:gridSpan w:val="7"/>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9"/>
        </w:trPr>
        <w:tc>
          <w:tcPr>
            <w:tcW w:w="14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0" w:type="dxa"/>
            <w:vAlign w:val="bottom"/>
          </w:tcPr>
          <w:p>
            <w:pPr>
              <w:spacing w:after="0"/>
              <w:rPr>
                <w:sz w:val="1"/>
                <w:szCs w:val="1"/>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 w:type="dxa"/>
            <w:vAlign w:val="bottom"/>
          </w:tcPr>
          <w:p>
            <w:pPr>
              <w:spacing w:after="0"/>
              <w:rPr>
                <w:sz w:val="18"/>
                <w:szCs w:val="18"/>
                <w:color w:val="auto"/>
              </w:rPr>
            </w:pPr>
          </w:p>
        </w:tc>
        <w:tc>
          <w:tcPr>
            <w:tcW w:w="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13.</w:t>
            </w:r>
          </w:p>
        </w:tc>
        <w:tc>
          <w:tcPr>
            <w:tcW w:w="480" w:type="dxa"/>
            <w:vAlign w:val="bottom"/>
            <w:gridSpan w:val="9"/>
          </w:tcPr>
          <w:p>
            <w:pPr>
              <w:spacing w:after="0"/>
              <w:rPr>
                <w:sz w:val="18"/>
                <w:szCs w:val="18"/>
                <w:color w:val="auto"/>
              </w:rPr>
            </w:pPr>
          </w:p>
        </w:tc>
        <w:tc>
          <w:tcPr>
            <w:tcW w:w="50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2680" w:type="dxa"/>
            <w:vAlign w:val="bottom"/>
            <w:gridSpan w:val="9"/>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w:t>
            </w:r>
          </w:p>
        </w:tc>
        <w:tc>
          <w:tcPr>
            <w:tcW w:w="800" w:type="dxa"/>
            <w:vAlign w:val="bottom"/>
            <w:gridSpan w:val="3"/>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14.</w:t>
            </w:r>
          </w:p>
        </w:tc>
        <w:tc>
          <w:tcPr>
            <w:tcW w:w="480" w:type="dxa"/>
            <w:vAlign w:val="bottom"/>
            <w:gridSpan w:val="9"/>
          </w:tcPr>
          <w:p>
            <w:pPr>
              <w:spacing w:after="0"/>
              <w:rPr>
                <w:sz w:val="18"/>
                <w:szCs w:val="18"/>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PROCEEDS</w:t>
            </w:r>
          </w:p>
        </w:tc>
        <w:tc>
          <w:tcPr>
            <w:tcW w:w="6780" w:type="dxa"/>
            <w:vAlign w:val="bottom"/>
            <w:gridSpan w:val="25"/>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15.</w:t>
            </w:r>
          </w:p>
        </w:tc>
        <w:tc>
          <w:tcPr>
            <w:tcW w:w="480" w:type="dxa"/>
            <w:vAlign w:val="bottom"/>
            <w:gridSpan w:val="9"/>
          </w:tcPr>
          <w:p>
            <w:pPr>
              <w:spacing w:after="0"/>
              <w:rPr>
                <w:sz w:val="18"/>
                <w:szCs w:val="18"/>
                <w:color w:val="auto"/>
              </w:rPr>
            </w:pPr>
          </w:p>
        </w:tc>
        <w:tc>
          <w:tcPr>
            <w:tcW w:w="2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100" w:type="dxa"/>
            <w:vAlign w:val="bottom"/>
            <w:gridSpan w:val="15"/>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ITEM 16.A.</w:t>
            </w:r>
          </w:p>
        </w:tc>
        <w:tc>
          <w:tcPr>
            <w:tcW w:w="320" w:type="dxa"/>
            <w:vAlign w:val="bottom"/>
            <w:gridSpan w:val="4"/>
          </w:tcPr>
          <w:p>
            <w:pPr>
              <w:spacing w:after="0"/>
              <w:rPr>
                <w:sz w:val="18"/>
                <w:szCs w:val="18"/>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16.B.</w:t>
            </w:r>
          </w:p>
        </w:tc>
        <w:tc>
          <w:tcPr>
            <w:tcW w:w="20" w:type="dxa"/>
            <w:vAlign w:val="bottom"/>
            <w:tcBorders>
              <w:bottom w:val="single" w:sz="8" w:color="0000EE"/>
            </w:tcBorders>
          </w:tcPr>
          <w:p>
            <w:pPr>
              <w:spacing w:after="0"/>
              <w:rPr>
                <w:sz w:val="18"/>
                <w:szCs w:val="18"/>
                <w:color w:val="auto"/>
              </w:rPr>
            </w:pPr>
          </w:p>
        </w:tc>
        <w:tc>
          <w:tcPr>
            <w:tcW w:w="300" w:type="dxa"/>
            <w:vAlign w:val="bottom"/>
            <w:gridSpan w:val="3"/>
          </w:tcPr>
          <w:p>
            <w:pPr>
              <w:spacing w:after="0"/>
              <w:rPr>
                <w:sz w:val="18"/>
                <w:szCs w:val="18"/>
                <w:color w:val="auto"/>
              </w:rPr>
            </w:pPr>
          </w:p>
        </w:tc>
        <w:tc>
          <w:tcPr>
            <w:tcW w:w="14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CODE OF ETHICS</w:t>
            </w:r>
          </w:p>
        </w:tc>
        <w:tc>
          <w:tcPr>
            <w:tcW w:w="1960" w:type="dxa"/>
            <w:vAlign w:val="bottom"/>
            <w:tcBorders>
              <w:top w:val="single" w:sz="8" w:color="0000EE"/>
            </w:tcBorders>
            <w:gridSpan w:val="11"/>
          </w:tcPr>
          <w:p>
            <w:pPr>
              <w:spacing w:after="0"/>
              <w:rPr>
                <w:sz w:val="18"/>
                <w:szCs w:val="18"/>
                <w:color w:val="auto"/>
              </w:rPr>
            </w:pPr>
          </w:p>
        </w:tc>
        <w:tc>
          <w:tcPr>
            <w:tcW w:w="4300" w:type="dxa"/>
            <w:vAlign w:val="bottom"/>
            <w:gridSpan w:val="13"/>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ITEM 16.C.</w:t>
            </w:r>
          </w:p>
        </w:tc>
        <w:tc>
          <w:tcPr>
            <w:tcW w:w="300" w:type="dxa"/>
            <w:vAlign w:val="bottom"/>
            <w:gridSpan w:val="3"/>
          </w:tcPr>
          <w:p>
            <w:pPr>
              <w:spacing w:after="0"/>
              <w:rPr>
                <w:sz w:val="18"/>
                <w:szCs w:val="18"/>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16.D.</w:t>
            </w:r>
          </w:p>
        </w:tc>
        <w:tc>
          <w:tcPr>
            <w:tcW w:w="20" w:type="dxa"/>
            <w:vAlign w:val="bottom"/>
          </w:tcPr>
          <w:p>
            <w:pPr>
              <w:spacing w:after="0"/>
              <w:rPr>
                <w:sz w:val="18"/>
                <w:szCs w:val="18"/>
                <w:color w:val="auto"/>
              </w:rPr>
            </w:pPr>
          </w:p>
        </w:tc>
        <w:tc>
          <w:tcPr>
            <w:tcW w:w="300" w:type="dxa"/>
            <w:vAlign w:val="bottom"/>
            <w:gridSpan w:val="3"/>
          </w:tcPr>
          <w:p>
            <w:pPr>
              <w:spacing w:after="0"/>
              <w:rPr>
                <w:sz w:val="18"/>
                <w:szCs w:val="18"/>
                <w:color w:val="auto"/>
              </w:rPr>
            </w:pPr>
          </w:p>
        </w:tc>
        <w:tc>
          <w:tcPr>
            <w:tcW w:w="61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154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16.E.</w:t>
            </w:r>
          </w:p>
        </w:tc>
        <w:tc>
          <w:tcPr>
            <w:tcW w:w="340" w:type="dxa"/>
            <w:vAlign w:val="bottom"/>
            <w:gridSpan w:val="5"/>
          </w:tcPr>
          <w:p>
            <w:pPr>
              <w:spacing w:after="0"/>
              <w:rPr>
                <w:sz w:val="18"/>
                <w:szCs w:val="18"/>
                <w:color w:val="auto"/>
              </w:rPr>
            </w:pPr>
          </w:p>
        </w:tc>
        <w:tc>
          <w:tcPr>
            <w:tcW w:w="7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8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5"/>
              </w:rPr>
              <w:t>ITEM 16.F.</w:t>
            </w:r>
          </w:p>
        </w:tc>
        <w:tc>
          <w:tcPr>
            <w:tcW w:w="360" w:type="dxa"/>
            <w:vAlign w:val="bottom"/>
            <w:gridSpan w:val="6"/>
          </w:tcPr>
          <w:p>
            <w:pPr>
              <w:spacing w:after="0"/>
              <w:rPr>
                <w:sz w:val="18"/>
                <w:szCs w:val="18"/>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gridSpan w:val="7"/>
            <w:shd w:val="clear" w:color="auto" w:fill="0000EE"/>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16.G.</w:t>
            </w:r>
          </w:p>
        </w:tc>
        <w:tc>
          <w:tcPr>
            <w:tcW w:w="300" w:type="dxa"/>
            <w:vAlign w:val="bottom"/>
            <w:gridSpan w:val="3"/>
          </w:tcPr>
          <w:p>
            <w:pPr>
              <w:spacing w:after="0"/>
              <w:rPr>
                <w:sz w:val="18"/>
                <w:szCs w:val="18"/>
                <w:color w:val="auto"/>
              </w:rPr>
            </w:pPr>
          </w:p>
        </w:tc>
        <w:tc>
          <w:tcPr>
            <w:tcW w:w="2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5360" w:type="dxa"/>
            <w:vAlign w:val="bottom"/>
            <w:gridSpan w:val="18"/>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16.H.</w:t>
            </w:r>
          </w:p>
        </w:tc>
        <w:tc>
          <w:tcPr>
            <w:tcW w:w="320" w:type="dxa"/>
            <w:vAlign w:val="bottom"/>
            <w:gridSpan w:val="4"/>
          </w:tcPr>
          <w:p>
            <w:pPr>
              <w:spacing w:after="0"/>
              <w:rPr>
                <w:sz w:val="18"/>
                <w:szCs w:val="18"/>
                <w:color w:val="auto"/>
              </w:rPr>
            </w:pPr>
          </w:p>
        </w:tc>
        <w:tc>
          <w:tcPr>
            <w:tcW w:w="2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w:t>
            </w:r>
          </w:p>
        </w:tc>
        <w:tc>
          <w:tcPr>
            <w:tcW w:w="5360" w:type="dxa"/>
            <w:vAlign w:val="bottom"/>
            <w:gridSpan w:val="18"/>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ITEM 16.I</w:t>
            </w:r>
            <w:r>
              <w:rPr>
                <w:rFonts w:ascii="Times New Roman" w:cs="Times New Roman" w:eastAsia="Times New Roman" w:hAnsi="Times New Roman"/>
                <w:sz w:val="18"/>
                <w:szCs w:val="18"/>
                <w:color w:val="000000"/>
              </w:rPr>
              <w:t>.</w:t>
            </w: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560" w:type="dxa"/>
            <w:vAlign w:val="bottom"/>
            <w:gridSpan w:val="15"/>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8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16.J.</w:t>
            </w:r>
          </w:p>
        </w:tc>
        <w:tc>
          <w:tcPr>
            <w:tcW w:w="360" w:type="dxa"/>
            <w:vAlign w:val="bottom"/>
            <w:gridSpan w:val="6"/>
          </w:tcPr>
          <w:p>
            <w:pPr>
              <w:spacing w:after="0"/>
              <w:rPr>
                <w:sz w:val="18"/>
                <w:szCs w:val="18"/>
                <w:color w:val="auto"/>
              </w:rPr>
            </w:pPr>
          </w:p>
        </w:tc>
        <w:tc>
          <w:tcPr>
            <w:tcW w:w="2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INSIDER TRADING POLICIES</w:t>
            </w:r>
          </w:p>
        </w:tc>
        <w:tc>
          <w:tcPr>
            <w:tcW w:w="5300" w:type="dxa"/>
            <w:vAlign w:val="bottom"/>
            <w:gridSpan w:val="17"/>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16.K.</w:t>
            </w:r>
          </w:p>
        </w:tc>
        <w:tc>
          <w:tcPr>
            <w:tcW w:w="320" w:type="dxa"/>
            <w:vAlign w:val="bottom"/>
            <w:gridSpan w:val="4"/>
          </w:tcPr>
          <w:p>
            <w:pPr>
              <w:spacing w:after="0"/>
              <w:rPr>
                <w:sz w:val="18"/>
                <w:szCs w:val="18"/>
                <w:color w:val="auto"/>
              </w:rPr>
            </w:pPr>
          </w:p>
        </w:tc>
        <w:tc>
          <w:tcPr>
            <w:tcW w:w="1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6220" w:type="dxa"/>
            <w:vAlign w:val="bottom"/>
            <w:gridSpan w:val="23"/>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9"/>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740" w:type="dxa"/>
            <w:vAlign w:val="bottom"/>
            <w:gridSpan w:val="1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17.</w:t>
            </w:r>
          </w:p>
        </w:tc>
        <w:tc>
          <w:tcPr>
            <w:tcW w:w="480" w:type="dxa"/>
            <w:vAlign w:val="bottom"/>
            <w:gridSpan w:val="9"/>
          </w:tcPr>
          <w:p>
            <w:pPr>
              <w:spacing w:after="0"/>
              <w:rPr>
                <w:sz w:val="18"/>
                <w:szCs w:val="18"/>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560" w:type="dxa"/>
            <w:vAlign w:val="bottom"/>
            <w:gridSpan w:val="2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18.</w:t>
            </w:r>
          </w:p>
        </w:tc>
        <w:tc>
          <w:tcPr>
            <w:tcW w:w="480" w:type="dxa"/>
            <w:vAlign w:val="bottom"/>
            <w:gridSpan w:val="9"/>
          </w:tcPr>
          <w:p>
            <w:pPr>
              <w:spacing w:after="0"/>
              <w:rPr>
                <w:sz w:val="18"/>
                <w:szCs w:val="18"/>
                <w:color w:val="auto"/>
              </w:rPr>
            </w:pPr>
          </w:p>
        </w:tc>
        <w:tc>
          <w:tcPr>
            <w:tcW w:w="77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7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ITEM 19.</w:t>
            </w:r>
          </w:p>
        </w:tc>
        <w:tc>
          <w:tcPr>
            <w:tcW w:w="480" w:type="dxa"/>
            <w:vAlign w:val="bottom"/>
            <w:gridSpan w:val="9"/>
          </w:tcPr>
          <w:p>
            <w:pPr>
              <w:spacing w:after="0"/>
              <w:rPr>
                <w:sz w:val="18"/>
                <w:szCs w:val="18"/>
                <w:color w:val="auto"/>
              </w:rPr>
            </w:pPr>
          </w:p>
        </w:tc>
        <w:tc>
          <w:tcPr>
            <w:tcW w:w="8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EXHIBITS</w:t>
            </w:r>
          </w:p>
        </w:tc>
        <w:tc>
          <w:tcPr>
            <w:tcW w:w="1320" w:type="dxa"/>
            <w:vAlign w:val="bottom"/>
            <w:tcBorders>
              <w:top w:val="single" w:sz="8" w:color="0000EE"/>
            </w:tcBorders>
            <w:gridSpan w:val="6"/>
          </w:tcPr>
          <w:p>
            <w:pPr>
              <w:spacing w:after="0"/>
              <w:rPr>
                <w:sz w:val="18"/>
                <w:szCs w:val="18"/>
                <w:color w:val="auto"/>
              </w:rPr>
            </w:pPr>
          </w:p>
        </w:tc>
        <w:tc>
          <w:tcPr>
            <w:tcW w:w="5560" w:type="dxa"/>
            <w:vAlign w:val="bottom"/>
            <w:gridSpan w:val="20"/>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where the context otherwise requires and for the purpose of this annual report only:</w:t>
      </w:r>
    </w:p>
    <w:p>
      <w:pPr>
        <w:spacing w:after="0" w:line="198" w:lineRule="exact"/>
        <w:rPr>
          <w:sz w:val="20"/>
          <w:szCs w:val="20"/>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one Class A ordinary share;</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“CAC” refers to the Cyberspace Administration of China;</w:t>
      </w:r>
    </w:p>
    <w:p>
      <w:pPr>
        <w:spacing w:after="0" w:line="211" w:lineRule="exact"/>
        <w:rPr>
          <w:rFonts w:ascii="Times New Roman" w:cs="Times New Roman" w:eastAsia="Times New Roman" w:hAnsi="Times New Roman"/>
          <w:sz w:val="18"/>
          <w:szCs w:val="18"/>
          <w:color w:val="auto"/>
        </w:rPr>
      </w:pPr>
    </w:p>
    <w:p>
      <w:pPr>
        <w:jc w:val="both"/>
        <w:ind w:left="680" w:right="180" w:hanging="321"/>
        <w:spacing w:after="0" w:line="281" w:lineRule="auto"/>
        <w:tabs>
          <w:tab w:leader="none" w:pos="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or “the PRC” refers to the People’s Republic of China, including Hong Kong and Macau and, only for the purpose of this annual report, excluding Taiwan; the only instances in which “China” or “the PRC” do not include Hong Kong or Macau are when used in the case of laws and regulations, including, among others, tax matters, adopted by the People’s Republic of China; “PRC subsidiaries” and “PRC entities” refer to entities established in accordance with PRC laws and regulations;</w:t>
      </w:r>
    </w:p>
    <w:p>
      <w:pPr>
        <w:spacing w:after="0" w:line="137"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“CIC” refers to China Insights Consultancy, an independent professional market research and consulting company;</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US$0.00005 per share;</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US$0.00005 per share;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refers to the China Securities Regulatory Commission;</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refers to Tuya Inc., its subsidiaries and the VIE;</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“Hangzhou Tuya Technology” refers to Hangzhou Tuya Technology Co., Ltd.;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refers to the listing of the Class A ordinary shares on the Main Board of the Hong Kong Stock Exchange;</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refers to The Stock Exchange of Hong Kong Limited;</w:t>
      </w:r>
    </w:p>
    <w:p>
      <w:pPr>
        <w:spacing w:after="0" w:line="21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“IoT” refers to Internet of Things, a concept of connecting physical objects, or “things,” that are embedded with communication modules, software, and other technologies for the purpose of connecting and exchanging information with other devices and systems over the internet or other communications networks;</w:t>
      </w:r>
    </w:p>
    <w:p>
      <w:pPr>
        <w:spacing w:after="0" w:line="148"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 or “Articles” refers to the ninth amended and restated memorandum and articles of association of our company, currently effective;</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refers to the New York Stock Exchange;</w:t>
      </w:r>
    </w:p>
    <w:p>
      <w:pPr>
        <w:spacing w:after="0" w:line="211"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refers to platform as a service, a category of cloud computing services that provides a platform and environment to allow developers to build applications over the internet;</w:t>
      </w:r>
    </w:p>
    <w:p>
      <w:pPr>
        <w:spacing w:after="0" w:line="134"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IoT PaaS customer” refers to a customer as of a given date that contributed more than US$100,000 of revenues during the immediately preceding 12-month period;</w:t>
      </w:r>
    </w:p>
    <w:p>
      <w:pPr>
        <w:spacing w:after="0" w:line="14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98" w:lineRule="exact"/>
        <w:rPr>
          <w:rFonts w:ascii="Times New Roman" w:cs="Times New Roman" w:eastAsia="Times New Roman" w:hAnsi="Times New Roman"/>
          <w:sz w:val="18"/>
          <w:szCs w:val="18"/>
          <w:color w:val="auto"/>
        </w:rPr>
      </w:pPr>
    </w:p>
    <w:p>
      <w:pPr>
        <w:ind w:left="680" w:right="24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refers to software as a service, a cloud-based software licensing and delivery model in which software and associated data are centrally hosted and are available to end users over the internet, including but not limited to the industry SaaS and clouds storage service;</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refers to the State Administration of Foreign Exchange;</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and Class B ordinary shares, par value US$0.00005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“we,” “us,” “our company” and “our” refer to Tuya Inc., a Cayman Islands company and its subsidiaries;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“Tuya Information” refers to Hangzhou Tuya Information Technology Co., Ltd.;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 and</w:t>
      </w:r>
    </w:p>
    <w:p>
      <w:pPr>
        <w:spacing w:after="0" w:line="211"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entity” or “VIE” refers to Hangzhou Tuya Technology, i.e., the PRC entity, of which, through certain contractual arrangements, we are considered the primary beneficiary of the VIE for accounting purposes, and consolidate its operating results in our financial statements under U.S. GAAP to the extent the conditions for consolidation of the VIE under U.S. GAAP are satisfied. The contractual arrangements provide us with the exclusive option to purchase all or part of the equity interest of the entity at the minimum price possible to the extent permitted under PRC law.</w:t>
      </w:r>
    </w:p>
    <w:p>
      <w:pPr>
        <w:spacing w:after="0" w:line="17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RMB7.2993 to US$1.00, the exchange rate set forth in the H.10 statistical release of the Federal Reserve Board on December 31, 2024.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These statements are made under the “safe harbor” provision under Section 21E of the Securities Exchange Act of 1934, as amended (the “Exchange Act”) and as defined in the Private Securities Litigation Reform Act of 1995. Many of the forward-looking statements contained in this annual report can be identified by the use of forward-looking words such as “aim,” “anticipate,” “believe,” “could,” “estimate,” “expect,” “intend,” “likely to,” “may,” “plan,” “potential,” “should,” “will” or other similar expressions.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Information—3.D. Risk Factors” in this annual report. These risks and uncertainties include factors relating to:</w:t>
      </w:r>
    </w:p>
    <w:p>
      <w:pPr>
        <w:spacing w:after="0" w:line="187"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conditions in China and globally;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strategies;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operating initiatives, including advertising and promotional efforts and new product and service development by us and our competitors;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apply our technologies to support and expand our product and service offerings;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and conduct our business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IoT PaaS, SaaS and smart device industries in China and globally;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the ability to retain such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IoT PaaS, SaaS and smart device industries;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and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Information—3.D. Risk Factors.”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Tuya Inc. is a Cayman Islands holding company, and the Group operates in China mainly through its PRC subsidiaries. The Group also conducts business internationally with local offices in Europe, Singapore, India, Japan and Colombia, among other locations. Investors in our ADSs and Class A ordinary shares should note that they do not hold equity securities issued by our subsidiaries or the VIE in China, but instead hold equity securities of Tuya Inc., a holding company that does not itself conduct business operations. As used in this annual report, “we,” “us,” “our company,” “our” or “Tuya” refers to Tuya Inc. and its subsidiaries, and the “Group” refers to Tuya Inc., its subsidiaries and the VIE.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operations of the VIE do not constitute a material aspect of the Group’s operations, based on the following:</w:t>
      </w:r>
    </w:p>
    <w:p>
      <w:pPr>
        <w:spacing w:after="0" w:line="221" w:lineRule="exact"/>
        <w:rPr>
          <w:sz w:val="20"/>
          <w:szCs w:val="20"/>
          <w:color w:val="auto"/>
        </w:rPr>
      </w:pPr>
    </w:p>
    <w:p>
      <w:pPr>
        <w:ind w:left="680" w:right="20" w:hanging="321"/>
        <w:spacing w:after="0" w:line="254"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Operation. </w:t>
      </w:r>
      <w:r>
        <w:rPr>
          <w:rFonts w:ascii="Times New Roman" w:cs="Times New Roman" w:eastAsia="Times New Roman" w:hAnsi="Times New Roman"/>
          <w:sz w:val="18"/>
          <w:szCs w:val="18"/>
          <w:color w:val="auto"/>
        </w:rPr>
        <w:t>We set out to offer IoT PaaS to customers developing smart devices, including brands and their contracted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OEMs. Over time, we have extended our SaaS offerings to those who use smart devices to fulfill personalized smart scenario needs primarily through spatial intelligence—that is, the application of smart technologies within spatial environments. This complements our IoT PaaS business. In addition, we offer SaaS to those who use smart devices, helping them meet their personalized needs through spatial intelligence, which involves managing multiple devices within a space, or enhanced functions when using a single smart device. In addition, we offer smart solutions in the form of providing finished smart devices that integrate more extensive and comprehensive software capabilities to our key account customers, which enable these customers to efficiently build their smart business product portfolios. We may also provide customers with an access to Tuya Expo, a dedicated business-to-business (“B2B”) platform connecting brands globally with an extensive network of OEMs. Currently, only a de minimis portion of our revenue is derived from Tuya Expo.</w:t>
      </w:r>
    </w:p>
    <w:p>
      <w:pPr>
        <w:spacing w:after="0" w:line="189" w:lineRule="exact"/>
        <w:rPr>
          <w:sz w:val="20"/>
          <w:szCs w:val="20"/>
          <w:color w:val="auto"/>
        </w:rPr>
      </w:pPr>
    </w:p>
    <w:p>
      <w:pPr>
        <w:ind w:left="660" w:right="560"/>
        <w:spacing w:after="0" w:line="258" w:lineRule="auto"/>
        <w:rPr>
          <w:sz w:val="20"/>
          <w:szCs w:val="20"/>
          <w:color w:val="auto"/>
        </w:rPr>
      </w:pPr>
      <w:r>
        <w:rPr>
          <w:rFonts w:ascii="Times New Roman" w:cs="Times New Roman" w:eastAsia="Times New Roman" w:hAnsi="Times New Roman"/>
          <w:sz w:val="18"/>
          <w:szCs w:val="18"/>
          <w:color w:val="auto"/>
        </w:rPr>
        <w:t>In China, providing online transaction platform services fall within the categories of the value-added telecommunication service, which is subject to foreign investment restrictions and license requirements under the PRC laws and regulations. Therefore, Hangzhou Tuya Technology, or the VIE, was established to hold the requisite license and for the purpose of providing investors with exposure to foreign investment in China-based companies where direct foreign investments in operating entities are not viable.</w:t>
      </w:r>
    </w:p>
    <w:p>
      <w:pPr>
        <w:spacing w:after="0" w:line="183"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As advised by Jia Yuan Law Offices, our PRC legal counsel, based on consultations with competent government authorities, the offering of IoT PaaS, SaaS and smart solutions are not subject to foreign ownership restrictions under current PRC laws and regulations. In the event the VIE structure is disallowed, the Group does not expect to experience a material disruption in its operations.</w:t>
      </w:r>
    </w:p>
    <w:p>
      <w:pPr>
        <w:spacing w:after="0" w:line="176" w:lineRule="exact"/>
        <w:rPr>
          <w:sz w:val="20"/>
          <w:szCs w:val="20"/>
          <w:color w:val="auto"/>
        </w:rPr>
      </w:pPr>
    </w:p>
    <w:p>
      <w:pPr>
        <w:ind w:left="680" w:hanging="321"/>
        <w:spacing w:after="0" w:line="257"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Position and Results of Operations. </w:t>
      </w:r>
      <w:r>
        <w:rPr>
          <w:rFonts w:ascii="Times New Roman" w:cs="Times New Roman" w:eastAsia="Times New Roman" w:hAnsi="Times New Roman"/>
          <w:sz w:val="18"/>
          <w:szCs w:val="18"/>
          <w:color w:val="auto"/>
        </w:rPr>
        <w:t>The VIE does not represent a material percentage of the Group’s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 and results of operations as of and for each period presented in this annual report. Historically, the VIE accounted for an immaterial portion of the Group’s total revenue and assets. The VIE contributed nil to the Group’s total revenue in 2022, 2023 and 2024. As of both December 31, 2023 and 2024, the assets of the VIE, excluding amounts due from other companies in the Group, represented less than 0.01% of the Group’s consolidated total assets. We expect the contribution of revenue and assets to the Group from the VIE to remain immaterial in the foreseeable future.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illustrates our corporate structure, including our significant subsidiaries as that term is defined under Section 1-02 of Regulation S-X under the Securities Act, the VIE and certain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983605" cy="3137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360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right="460" w:firstLine="8"/>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is owned by certain nominee shareholders, not us. All of these nominee shareholders are also beneficial owners of our company. Shareholders of Hangzhou Tuya Technology are Xueji (Jerry) Wang (our director and CEO), Liaohan (Leo) Chen (our director), Yaona Lin (our employee), Ruixin Zhou (our employee) and Peihong Chen (our employee), each holding approximately 60.7%, 13.1%, 11.5%, 9.8% and 4.9%, respectively, of Hangzhou Tuya Technology’s equity interests.</w:t>
      </w:r>
    </w:p>
    <w:p>
      <w:pPr>
        <w:spacing w:after="0" w:line="179"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arrangements include exclusive business cooperation agreement, equity interest pledge agreement, exclusive option agreement, power of attorney and spousal consent. See “—Contractual Arrangements.”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discussion of how funds and other assets are transferred through our organization, see “—Transfer of Funds and Other Assets through Our Organization.”</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corporate structure involves unique risks to investors in our equity securities. Investors who are non-PRC residents may never directly hold equity interests in the VIE under current PRC laws and regulations. We do not have any equity interests in the VIE who is owned by certain nominee shareholders. Any of such nominee shareholders could breach their contractual arrangements with us by, among other things, failing to conduct their operations in an acceptable manner, or taking other actions that are detrimental to our interests. In the event that the shareholders of the VIE breach the terms of these contractual arrangements and voluntarily liquidate the VIE, or the VIE declares bankruptcy and all or part of its assets become subject to liens or rights of third-party creditors, or are otherwise disposed of without our consent, we may be unable to conduct the affected business operations or otherwise benefit from the assets held by the VIE and its shareholders. As a result, the contractual arrangements may be less effective than direct ownership, and we could face heightened challenges, risks and costs in enforcing these contractual arrangements due to legal uncertainties and jurisdictional limits.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our contractual arrangements with the VIE have not been tested in a court of law in the PRC.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penalties or be forced to relinquish our interests in those operations or otherwise significantly change our corporate structure. We and our investors face significant uncertainty about potential future actions by the PRC government that could affect the legality and enforceability of the contractual arrangements with the VIE and, consequently, negatively affect our ability to consolidate the financial results of the VIE and the financial performance of our company as a whole. Our securities may decline in value or become worthless if we are unable to effectively enforce our contractual control rights over the assets and operations of the VIE. For a detailed discussion of the risks associated with the VIE structure, see “Item 3. Key Information—3.D. Risk Factor—Risks Related to Our Corporate Structure.”</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also face various legal and operational risks and uncertainties related to doing business in China. The PRC government has authority to regulate and exert influence on companies operating in the PRC, including their ability to conduct business, accept foreign investments or be listed on foreign stock exchanges. For example, we face risks associated with regulatory approvals of offshore offerings, anti-monopoly regulatory actions, cybersecurity and data privacy, as well as the uncertainty on whether the U.S. Public Company Accounting Oversight Board (the “PCAOB”) will continue to be able to satisfactorily inspect or investigate completely registered public accounting firms headquartered in mainland China and Hong Kong. The PRC government may also intervene with or influence our operations as the government deems appropriate to further regulatory political and societal goals, among other things, which could result in an adverse impact on our operations and/or value of our equity securities. In recent years, the PRC government has published policies that have significantly impacted our industry and we cannot rule out the possibility that it will in the future further release regulations or policies regarding our industry, including those that may have adverse impacts on our business, financial condition and results of operations. These actions may cause the value of such securities to significantly decline or in extreme cases, become worthless. For a more detailed discussion of these risks, see “Item 3. Key Information—3.D. Risk Factors—Risks Related to Doing Business in China” and “Item 3. Key Information—3.D. Risk Factors—Risks Related to Our Corporate 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 series of contractual arrangements were entered into between Tuya Information, on the one hand, and the VIE and its registered shareholders, on the other hand:</w:t>
      </w:r>
    </w:p>
    <w:p>
      <w:pPr>
        <w:spacing w:after="0" w:line="162"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equity interest pledge agreements, which provide us with effective control over the VIE;</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business cooperation agreement, which allows us to receive substantially all of the economic benefits from the VIE; and</w:t>
      </w:r>
    </w:p>
    <w:p>
      <w:pPr>
        <w:spacing w:after="0" w:line="161"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option agreements, which provide us with exclusive options to purchase all or part of the equity interests in or all or part of the assets of or inject registered capital into the VIE when and to the extent permitted by PRC law.</w:t>
      </w:r>
    </w:p>
    <w:p>
      <w:pPr>
        <w:spacing w:after="0" w:line="162"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For details, see “Item 4. Information on the Company—Contractual Arrangements with the VIE and the VIE’s Registered Shareholders” below in this annual report. These contractual arrangements in totality provide Tuya Inc. with a controlling financial interest as the primary beneficiary under ASC 810 and the basis to consolidate the VIE under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 through Our Organization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stringent cash management policies that dictate how funds are transferred between Tuya Inc., its subsidiaries and the VIE. Each transfer of cash among Tuya Inc., its subsidiaries and the VIE is subject to internal approval. To effect a cash transfer, a number of steps are typically needed, including but not limited to the submission of transfer application, the initial approval by certain manager, and final approval by the financial director. A designated personnel with fund management expertise will review transfer applications as well as underlying agreements and/or related documents on a monthly basis.</w:t>
      </w:r>
    </w:p>
    <w:p>
      <w:pPr>
        <w:spacing w:after="0" w:line="183" w:lineRule="exact"/>
        <w:rPr>
          <w:sz w:val="20"/>
          <w:szCs w:val="20"/>
          <w:color w:val="auto"/>
        </w:rPr>
      </w:pPr>
    </w:p>
    <w:p>
      <w:pPr>
        <w:ind w:right="36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2024, Tuya Inc., through its intermediate holding company, had made cumulative capital contributions of US$494.2 million to its PRC subsidiaries. These funds have been used by our PRC subsidiaries mainly for their business operations.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VIE may transfer cash to Tuya Information, our wholly owned subsidiary in the PRC, by paying service fees pursuant to the contractual arrangements through which we control and consolidate the financial results of the VIE. In each of 2022, 2023 and 2024, the VIE did not pay any service fees to Tuya Information pursuant to the contractual arrangements.</w:t>
      </w:r>
    </w:p>
    <w:p>
      <w:pPr>
        <w:spacing w:after="0" w:line="1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Because Tuya Inc. controls the VIE through contractual arrangements, it is not able to make direct capital contribution to the VIE. Nonetheless, Tuya Inc. and its subsidiaries may transfer cash to the VIE by loans or by making payment to the VIE for intergroup transactions, subject to satisfaction of applicable government registration and approval requirements. In 2022, 2023 and 2024, Tuya Inc. and its subsidiaries did not make any loans to the VIE. In addition, Tuya Information may, from time to time, lend cash to the VIE or settle the VIE’s payment obligations on behalf of VIE to provide temporary working capital support to the VIE. In 2022, 2023 and 2024, the net amounts of working capital support provided by Tuya Information to the VIE were RMB2.5 million, RMB1.9 million and RMB2.1 million (US$0.3 million), respectively. As of December 31, 2022, 2023 and 2024, the amounts owed by VIE to Tuya Information associated with the foregoing working capital support arrangements were RMB9.6 million, RMB11.5 million and RMB13.6 million (US$1.9 million), respectively. The VIE has historically funded its operations primarily using cash generated from its operating activities and the working capital support provided by Tuya Information. In 2022, 2023 and 2024, there were no assets transferred between the VIE and other entities.</w:t>
      </w:r>
    </w:p>
    <w:p>
      <w:pPr>
        <w:spacing w:after="0" w:line="165"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In 2024, we achieved significant financial milestones by reaching non-GAAP operating profitability and GAAP profitability, and we viewed this as the appropriate time to begin paying dividends as a way to reward the long-term support of our shareholders and investors. On August 26, 2024, our Board approved the declaration and distribution of a dividend of US$0.0589 per ordinary share, or US$0.0589 per ADS, to shareholders as at the close of business on September 11, 2024, Hong Kong Time and New York Time, respectively. The aggregate amount of the dividend was approximately US$33 million, which was paid in U.S. dollars and in cash, and was funded by surplus cash and paid out from our share premium account. On February 26, 2025, our Board approved the declaration and distribution of a dividend of US$00608 per ordinary share, or US$0.0608 per ADS, to shareholders as at the close of business on March 13, 2025, Hong Kong Time and New York Time, respectively. The aggregate amount of the dividend was approximately US$37 million, which was paid in U.S. dollars and in cash, and was funded by surplus cash and paid out from our share premium account. In 2022, 2023 and 2024, no dividends or distributions were made to Tuya Inc. by its subsidiaries. We currently do not have any plan to require our PRC subsidiaries to distribute their retained earnings and intend to retain them to operate and expand our business in the PRC. See “Item 8.— Financial Information—8.A. Consolidated Statements and Other Financial Information—Dividend Payment History.”</w:t>
      </w:r>
    </w:p>
    <w:p>
      <w:pPr>
        <w:spacing w:after="0" w:line="138"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68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Taxation Scenario</w:t>
            </w:r>
            <w:r>
              <w:rPr>
                <w:rFonts w:ascii="Times New Roman" w:cs="Times New Roman" w:eastAsia="Times New Roman" w:hAnsi="Times New Roman"/>
                <w:sz w:val="21"/>
                <w:szCs w:val="21"/>
                <w:b w:val="1"/>
                <w:bCs w:val="1"/>
                <w:color w:val="auto"/>
                <w:vertAlign w:val="superscript"/>
              </w:rPr>
              <w:t>(1)</w:t>
            </w:r>
          </w:p>
        </w:tc>
      </w:tr>
      <w:tr>
        <w:trPr>
          <w:trHeight w:val="173"/>
        </w:trPr>
        <w:tc>
          <w:tcPr>
            <w:tcW w:w="24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Statutory Tax and Standard Rates</w:t>
            </w:r>
          </w:p>
        </w:tc>
      </w:tr>
      <w:tr>
        <w:trPr>
          <w:trHeight w:val="210"/>
        </w:trPr>
        <w:tc>
          <w:tcPr>
            <w:tcW w:w="72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Hypothetical pre-tax earnings</w:t>
            </w:r>
            <w:r>
              <w:rPr>
                <w:rFonts w:ascii="Times New Roman" w:cs="Times New Roman" w:eastAsia="Times New Roman" w:hAnsi="Times New Roman"/>
                <w:sz w:val="24"/>
                <w:szCs w:val="24"/>
                <w:color w:val="auto"/>
                <w:vertAlign w:val="superscript"/>
              </w:rPr>
              <w:t>(2)</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on earnings at statutory rate of 25%</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7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Withholding tax at standard rate of 10%</w:t>
            </w:r>
            <w:r>
              <w:rPr>
                <w:rFonts w:ascii="Times New Roman" w:cs="Times New Roman" w:eastAsia="Times New Roman" w:hAnsi="Times New Roman"/>
                <w:sz w:val="25"/>
                <w:szCs w:val="25"/>
                <w:color w:val="auto"/>
                <w:vertAlign w:val="superscript"/>
              </w:rPr>
              <w:t>(3)</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88"/>
        </w:trPr>
        <w:tc>
          <w:tcPr>
            <w:tcW w:w="2480" w:type="dxa"/>
            <w:vAlign w:val="bottom"/>
            <w:tcBorders>
              <w:bottom w:val="single" w:sz="8" w:color="auto"/>
            </w:tcBorders>
          </w:tcPr>
          <w:p>
            <w:pPr>
              <w:spacing w:after="0"/>
              <w:rPr>
                <w:sz w:val="7"/>
                <w:szCs w:val="7"/>
                <w:color w:val="auto"/>
              </w:rPr>
            </w:pPr>
          </w:p>
        </w:tc>
        <w:tc>
          <w:tcPr>
            <w:tcW w:w="47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right="8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example, the tax calculation has been simplified. The hypothetical book pre-tax earnings amount, not considering timing differences, is assumed to equal taxable income in China.</w:t>
      </w:r>
    </w:p>
    <w:p>
      <w:pPr>
        <w:spacing w:after="0" w:line="121"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contractual arrangements between us and the VIE, our PRC subsidiary may charge the VIE for services provided to the VIE. These service fees shall be recognized as expenses of the VIE, with a corresponding amount as service income by our PRC subsidiary and eliminate in consolidation. For income tax purposes, our PRC subsidiary and the VIE file income tax returns on a separate company basis. The service fees paid are recognized as a tax deduction by the VIE and as income by our PRC subsidiary and are tax neutral.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40" w:hanging="332"/>
        <w:spacing w:after="0" w:line="277"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Tuya Information, our wholly owned PRC subsidiary, is eligible to enjoy a preferential tax rate of 15% in 2022, 2023 and 2024, to the extent it has taxable income under the EIT Law. Tuya Information is qualified as a High and New Technology Enterprise (the “HNTE”) and was entitled to enjoy the 15% beneficial tax rate for the year ended December 31, 2024.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27" w:lineRule="exact"/>
        <w:rPr>
          <w:rFonts w:ascii="Times New Roman" w:cs="Times New Roman" w:eastAsia="Times New Roman" w:hAnsi="Times New Roman"/>
          <w:sz w:val="17"/>
          <w:szCs w:val="17"/>
          <w:color w:val="auto"/>
        </w:rPr>
      </w:pPr>
    </w:p>
    <w:p>
      <w:pPr>
        <w:ind w:left="340" w:right="60" w:hanging="332"/>
        <w:spacing w:after="0" w:line="254"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Enterprise Income Tax Law imposes a withholding income tax of 10% on dividends distributed by a foreign invested enterprise, or FIE, to its immediate holding company outside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a PRC tax perspective.</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table above has been prepared under the assumption that all profits of the VIE will be distributed as fees to Tuya Information under tax neutral contractual arrangements. If in the future, the accumulated earnings of the VIE exceed the fees paid to Tuya Information, or if the current and contemplated fee structure between the intercompany entities is determined to be non-substantive and disallowed by Chinese tax authorities, we have other tax-planning strategies that can be deployed on a tax neutral basis. Should all tax planning strategies fail, the VIE could, as a matter of last resort, make a non-deductible transfer to our PRC subsidiary for the amounts of the stranded cash in the VIE. This would result in the double taxation of earnings: one at the VIE level (for non-deductible expenses) and one at Tuya Information level (for presumptive earnings on the transfer). Such a transfer and the related tax burdens would reduce our after-tax income to approximately 50.6% of the pre-tax income. Our management believes that there is only a remote possibility that this scenario would happen.</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PRC and United States federal income tax consideration of an investment in the ADSs, see “Item 10. Additional Information— 10.E. Taxation.”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Foreign Exchange and the Ability to Transfer Cash between Entities, Across Borders and to U.S. Investors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cash or assets in the business are in the PRC, including Hong Kong, or a PRC (including Hong Kong) entity, the funds or assets may not be available to fund operations or for other use outside of the PRC, including Hong Kong, due to interventions in or the impositions of restrictions and limitations on the availability of Tuya Inc., its subsidiaries or the VIE by the PRC government to transfer cash or assets. There is no assurance that the PRC government will not intervene in or impose restrictions on the ability of Tuya Inc., its subsidiaries or the VIE to transfer cash or assets.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future, if we remain profitable, Tuya Inc.’s ability to pay dividends, if any, to its shareholders and ADS holders and to service any debt it may incur will not only depend on Tuya Inc.’s own capital reserves but also dividends paid by our PRC subsidiaries. Under PRC laws and regulations, our PRC subsidiaries are subject to certain restrictions with respect to paying dividends or otherwise transferring any of their net assets offshore to Tuya Inc.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 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service-related foreign exchange transactions, can be made in foreign currencies without prior approval from SAFE or its local branches. However, where RMB is to be converted into foreign currency and remitted out of China to pay capital expenses, such as the repayment of loans denominated in foreign currencies, approval from or registration with competent government authorities or their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our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Tuya Inc. In addition, our PRC subsidiaries are required to make appropriations to certain statutory reserve funds, which are not distributable as cash dividends except in the event of a solvent liquidation of the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PRC Regulatory Developments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Cybersecurity Review</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December 28, 2021, the CAC and several other administrations jointly promulgated the Measures for Cybersecurity Review, or the Cybersecurity Review Measures, which became effective on February 15, 2022. The Cybersecurity Review Measures provide that (i) a “network platform operator” holding over one million users’ personal information shall apply for a cybersecurity review when listing their securities in a foreign country, (ii) a “critical information infrastructure operator” (the “CIIO”) that intends to purchase internet products and services that affect or may affect national security shall apply for a cybersecurity review and (iii) a “network platform operator” carrying out data processing activities that affect or may affect national security shall apply for a cybersecurity review. Since the Cybersecurity Review Measures are relatively new, significant uncertainties exist in relation to their interpretation and implementation. Additionally, the Cybersecurity Review Measures do not provide the exact scope of “network platform operator” or the circumstances that would “affect or may affect national security.”</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have not been required to go through a cybersecurity review by the CAC. However, there can be no assurance that we will not be required to apply for a cybersecurity review pursuant to the Cybersecurity Review Measures in the future. To the extent any cybersecurity review is required, we cannot assure you that we will be able to complete it in a timely manner, or at all. Any failure to complete the required cybersecurity review may result in administrative penalties, including fines, a shut-down of our business, revocation of requisite licenses, as well as reputational damage or legal proceedings or actions against us, which may have material adverse effects on our business, financial condition and results of operations. See “Item 3. Key Information—3.D. Risk Factors —Compliance with the rapidly evolving landscape of global data privacy and data security laws may be challenging, and any failure or perceived failure to comply with such laws, or other concerns about our practices or policies with respect to the processing of personal information,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CSRC Approval for Issuance and Listing of Securities Overseas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Trial Measures, and relevant supporting guidelines, collectively, the New Overseas Listing Rules, setting out new filing procedures for China-based companies seeking direct or indirect listings and offerings in overseas markets, which came into force since March 31, 2023. The New Overseas Listing Rules are applicable to PRC domestic companies that seek to offer and list securities in overseas markets, either through direct or indirect means. If an issuer meets both of the following criteria, the overseas securities offering and listing conducted by such issuer shall be deemed as an indirect overseas offering subject to the filing procedures set forth under the New Overseas Listing Rules: (i) 50% or more of the issuer’s operating revenue, total profit, total assets or net assets as documented in its audited consolidated financial statements for the most recent fiscal year are derived from PRC domestic companies; and (ii) the issuer’s business activities are substantially conducted in mainland China, or its principal place(s) of business are located in mainland China, or the senior managers in charge of its business operations and management are mostly Chinese citizens or domiciled in mainland China. Pursuant to the New Overseas Listing Rules, an issuer listed in an overseas market that intends to conduct any follow-on offering in the same overseas market where it has previously offered and listed securities should, through its major operating entity incorporated in the PRC, file required materials with the CSRC within three business days after the completion of such follow-on offering.</w:t>
      </w:r>
    </w:p>
    <w:p>
      <w:pPr>
        <w:spacing w:after="0" w:line="19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Furthermore, according to the New Overseas Listing Rules, after an issuer has completed its offering and listed its securities on an overseas stock exchange, it shall submit required reports to the CSRC within three business days after the occurrence and public disclosure of any material events, including (i) a change of control, (ii) investigations of or sanctions imposed on the issuer by overseas securities regulatory agencies or other relevant competent authorities, (iii) changes of listing status or transfers of the listing segment, (iv) a voluntary or mandatory delisting and (v) a material change in its main business operation, as a result of which that issuer is no longer subject to the filing requirements under the New Overseas Listing Rules.</w:t>
      </w:r>
    </w:p>
    <w:p>
      <w:pPr>
        <w:spacing w:after="0" w:line="187"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The New Overseas Listing Rules provide that in the event of any breach, including any failure to fulfill the filing procedure, or any offering and listing of securities in an overseas market in violation of the measures, the CSRC will order such domestic company to rectify, issue warnings to such domestic company, and impose a fine between RMB1 million and RMB10 million. Fines and warnings will be imposed on the persons-in-charge and other persons who are directly liable. In addition, fines will also be imposed on the controlling shareholders and actual controllers of the domestic company who initiate or cause the aforesaid non-compliance activities.</w:t>
      </w:r>
    </w:p>
    <w:p>
      <w:pPr>
        <w:spacing w:after="0" w:line="16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See “Item 3. Key Information—3.D. Risk Factors—Risks Related to Doing Business in China—The filing, approval or other administration requirements of the CSRC, the CAC or other PRC government authorities may be required to maintain our listing status or conduct future offshore securities offerings.”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Licenses, Permissions and Approvals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the view of Jia Yuan Law Offices, our PRC legal counsel, we had complied with applicable PRC laws relating to the licenses, permissions and approvals required for our business operations in China in all material respects. Our PRC legal counsel has also advised us that, to the best of their knowledge, there should be no material legal impediment for us to renew these licenses, permissions and approvals as long as we comply with the relevant legal requirements and we have taken all necessary steps and submitted the relevant applications in accordance with the requirements and schedules prescribed by the applicable PRC laws and regulations. For details of these licenses and permissions, see “Item 4. Information on the Company—4.B. Business Overview—Licenses, Permissions and Approvals.” For the consequences to us and investors if we do not receive or maintain requisite licenses, permissions and approvals necessary to conduct operations in China, or if applicable laws, regulations, or interpretations change and we are required to obtain additional permissions or approvals in the future, see “Item 3. Key Information—3.D. Risk Factors—Risk Related to Our Business and Industry—Any failure to maintain necessary permits and licenses to operate our business operations under applicable laws and regulations could materially and adversely affect our business and results of operations.”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described above, the PRC government has recently tightened the regulation of cybersecurity, and indicated an intent to exert more oversight and control over securities offerings and other capital markets activities that are conducted overseas and foreign investment in China-based companies like us. As of the date of this annual report, we have not been required to go through a cybersecurity review by the CAC, or required to obtain any permission from, or complete any filing with, the CSRC in connection with our prior public offerings or maintaining the listing status on applicable stock exchanges, nor have we received any formal inquiry, notice, warning, sanction, or any regulatory objection in relation to cybersecurity review from the CSRC, the CAC or any other PRC regulatory agencies that have jurisdiction over our operations. Since the legislative and regulatory actions in this regard, including the release of New Overseas Listing Rules, are relatively new, it is highly uncertain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our business operations, our ability to accept foreign investments and conduct follow-on offerings, and listing or continuing listing on applicable stock exchanges. For details of related risks, see “Item 3. Key Information—3.D. Risk Factors—The filing, approval or other administration requirements of the CSRC, the CAC or other PRC government authorities may be required to maintain our listing status or conduct future offshore securities offerings.”</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3.A.</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3.B.</w:t>
      </w:r>
      <w:r>
        <w:rPr>
          <w:sz w:val="20"/>
          <w:szCs w:val="20"/>
          <w:color w:val="auto"/>
        </w:rPr>
        <w:tab/>
      </w:r>
      <w:r>
        <w:rPr>
          <w:rFonts w:ascii="Times New Roman" w:cs="Times New Roman" w:eastAsia="Times New Roman" w:hAnsi="Times New Roman"/>
          <w:sz w:val="17"/>
          <w:szCs w:val="17"/>
          <w:b w:val="1"/>
          <w:bCs w:val="1"/>
          <w:color w:val="auto"/>
        </w:rPr>
        <w:t>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3.C.</w:t>
      </w:r>
      <w:r>
        <w:rPr>
          <w:sz w:val="20"/>
          <w:szCs w:val="20"/>
          <w:color w:val="auto"/>
        </w:rPr>
        <w:tab/>
      </w:r>
      <w:r>
        <w:rPr>
          <w:rFonts w:ascii="Times New Roman" w:cs="Times New Roman" w:eastAsia="Times New Roman" w:hAnsi="Times New Roman"/>
          <w:sz w:val="17"/>
          <w:szCs w:val="17"/>
          <w:b w:val="1"/>
          <w:bCs w:val="1"/>
          <w:color w:val="auto"/>
        </w:rPr>
        <w:t>Reason for the Offer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3.D.</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please find a summary of the principal risks we face, organized under relevant headings.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225" w:lineRule="exact"/>
        <w:rPr>
          <w:sz w:val="20"/>
          <w:szCs w:val="20"/>
          <w:color w:val="auto"/>
        </w:rPr>
      </w:pPr>
    </w:p>
    <w:p>
      <w:pPr>
        <w:ind w:left="680" w:right="180" w:hanging="321"/>
        <w:spacing w:after="0" w:line="26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emerging and evolving market, which may develop differently from or more slowly than we expect. If our market does not grow as we expect, or if we cannot expand our products and services to meet the demands of this market, our revenue may decline, or fail to grow, and we may continue to incur operating losses. For details, see the risk factor with the same heading on page 11 of this annual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making it difficult to forecast our future results of operations. For details, see the risk factor with the same heading on page 12 of this annual report.</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may not be indicative of our future growth, and we may not be able to sustain our revenue growth rate in the future. For details, see the risk factor with the same heading on page 13 of this annual report.</w:t>
      </w:r>
    </w:p>
    <w:p>
      <w:pPr>
        <w:spacing w:after="0" w:line="161" w:lineRule="exact"/>
        <w:rPr>
          <w:rFonts w:ascii="Times New Roman" w:cs="Times New Roman" w:eastAsia="Times New Roman" w:hAnsi="Times New Roman"/>
          <w:sz w:val="18"/>
          <w:szCs w:val="18"/>
          <w:color w:val="auto"/>
        </w:rPr>
      </w:pPr>
    </w:p>
    <w:p>
      <w:pPr>
        <w:jc w:val="both"/>
        <w:ind w:left="680" w:right="3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operate are competitive, and if we do not compete effectively, our business, operating results and financial condition could be harmed. For details, see the risk factor with the same heading on page 13 of this annual report.</w:t>
      </w:r>
    </w:p>
    <w:p>
      <w:pPr>
        <w:spacing w:after="0" w:line="161" w:lineRule="exact"/>
        <w:rPr>
          <w:rFonts w:ascii="Times New Roman" w:cs="Times New Roman" w:eastAsia="Times New Roman" w:hAnsi="Times New Roman"/>
          <w:sz w:val="18"/>
          <w:szCs w:val="18"/>
          <w:color w:val="auto"/>
        </w:rPr>
      </w:pPr>
    </w:p>
    <w:p>
      <w:pPr>
        <w:ind w:left="680" w:right="500" w:hanging="321"/>
        <w:spacing w:after="0" w:line="312" w:lineRule="auto"/>
        <w:tabs>
          <w:tab w:leader="none" w:pos="6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expand and optimize our customer base or strengthen customer engagement may adversely affect our business and results of operations. For details, see the risk factor with the same heading on page 14 of this annual report.</w:t>
      </w:r>
    </w:p>
    <w:p>
      <w:pPr>
        <w:spacing w:after="0" w:line="139" w:lineRule="exact"/>
        <w:rPr>
          <w:rFonts w:ascii="Times New Roman" w:cs="Times New Roman" w:eastAsia="Times New Roman" w:hAnsi="Times New Roman"/>
          <w:sz w:val="17"/>
          <w:szCs w:val="17"/>
          <w:color w:val="auto"/>
        </w:rPr>
      </w:pPr>
    </w:p>
    <w:p>
      <w:pPr>
        <w:ind w:left="680" w:right="1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estimate customer demand properly, our financial results could be harmed. For details, see the risk factor with the same heading on page 14 of this annual report.</w:t>
      </w:r>
    </w:p>
    <w:p>
      <w:pPr>
        <w:spacing w:after="0" w:line="161"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suppliers involves certain risks that may result in, among others, increased costs, disruption of supply or shortage of raw materials or inventories such as finished smart devices, quality or compliance issues, or failure by our suppliers to timely manufacture the modules and finished smart devices, any of which could materially harm our business. For details, see the risk factor with the same heading on page 15 of this annual report.</w:t>
      </w:r>
    </w:p>
    <w:p>
      <w:pPr>
        <w:spacing w:after="0" w:line="179" w:lineRule="exact"/>
        <w:rPr>
          <w:rFonts w:ascii="Times New Roman" w:cs="Times New Roman" w:eastAsia="Times New Roman" w:hAnsi="Times New Roman"/>
          <w:sz w:val="18"/>
          <w:szCs w:val="18"/>
          <w:color w:val="auto"/>
        </w:rPr>
      </w:pPr>
    </w:p>
    <w:p>
      <w:pPr>
        <w:ind w:left="680" w:right="40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introduce new features or products successfully or to make enhancements to our existing products and services, our business and results of operations could be adversely affected. For details, see the risk factor with the same heading on page 16 of this annual report.</w:t>
      </w:r>
    </w:p>
    <w:p>
      <w:pPr>
        <w:spacing w:after="0" w:line="175" w:lineRule="exact"/>
        <w:rPr>
          <w:rFonts w:ascii="Times New Roman" w:cs="Times New Roman" w:eastAsia="Times New Roman" w:hAnsi="Times New Roman"/>
          <w:sz w:val="18"/>
          <w:szCs w:val="18"/>
          <w:color w:val="auto"/>
        </w:rPr>
      </w:pPr>
    </w:p>
    <w:p>
      <w:pPr>
        <w:jc w:val="both"/>
        <w:ind w:left="680" w:right="100" w:hanging="321"/>
        <w:spacing w:after="0" w:line="261"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third-party providers of cloud-based infrastructure to host our platform. Any disruption in the operations of these third-party providers, limitations on capacity or interference with our use, due to geopolitical tensions or business competition could adversely affect our business, financial condition and results of operations. For details, see the risk factor with the same heading on page 16 of this annual report.</w:t>
      </w:r>
    </w:p>
    <w:p>
      <w:pPr>
        <w:spacing w:after="0" w:line="179"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from integration of our products and services with those of our business partners. If these business partners choose not to partner with us in the future, our business and results of operations may be harmed. For details, see the risk factor with the same heading on page 17 of this annual report.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Having a corporate structure being based primarily in China poses risks to investors. Risks and uncertainties related to our corporate structure and the contractual arrangements include, but are not limited to, the following:</w:t>
      </w:r>
    </w:p>
    <w:p>
      <w:pPr>
        <w:spacing w:after="0" w:line="162" w:lineRule="exact"/>
        <w:rPr>
          <w:sz w:val="20"/>
          <w:szCs w:val="20"/>
          <w:color w:val="auto"/>
        </w:rPr>
      </w:pPr>
    </w:p>
    <w:p>
      <w:pPr>
        <w:ind w:left="680" w:right="14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the VIE. For details, see the risk factor with the same heading on page 45 of this annual report.</w:t>
      </w:r>
    </w:p>
    <w:p>
      <w:pPr>
        <w:spacing w:after="0" w:line="179"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the VIE and its registered shareholders to use, or otherwise benefit from, certain licenses and approvals we may need in the future, which may not be as effective as direct ownership in providing operational control and could adversely affect our business, operating results and financial condition. For details, see the risk factor with the same heading on page 46 of this annual report.</w:t>
      </w:r>
    </w:p>
    <w:p>
      <w:pPr>
        <w:spacing w:after="0" w:line="179" w:lineRule="exact"/>
        <w:rPr>
          <w:rFonts w:ascii="Times New Roman" w:cs="Times New Roman" w:eastAsia="Times New Roman" w:hAnsi="Times New Roman"/>
          <w:sz w:val="18"/>
          <w:szCs w:val="18"/>
          <w:color w:val="auto"/>
        </w:rPr>
      </w:pPr>
    </w:p>
    <w:p>
      <w:pPr>
        <w:ind w:left="680" w:right="22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VIE or its shareholders to perform their obligations under our contractual arrangements with them would have an adverse effect on part of our business. For details, see the risk factor with the same heading on page 47 of this annual report.</w:t>
      </w:r>
    </w:p>
    <w:p>
      <w:pPr>
        <w:spacing w:after="0" w:line="17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shareholders of the VIE may have potential conflicts of interest with us, which may materially and adversely affect part of our business. For details, see the risk factor with the same heading on page 47 of this annual report.</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18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arrangements we have entered into with the VIE may be subject to scrutiny by the PRC tax authorities. A finding that we owe additional taxes could negatively affect our financial condition and the value of your investment. For details, see the risk factor with the same heading on page 48 of this annual report.</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ability to use and benefit from assets held by the VIE that are supplementary to the operation of our business if the VIE goes bankrupt or becomes subject to dissolution or liquidation proceeding. For details, see the risk factor with the same heading on page 48 of this annual report.</w:t>
      </w:r>
    </w:p>
    <w:p>
      <w:pPr>
        <w:spacing w:after="0" w:line="175" w:lineRule="exact"/>
        <w:rPr>
          <w:rFonts w:ascii="Times New Roman" w:cs="Times New Roman" w:eastAsia="Times New Roman" w:hAnsi="Times New Roman"/>
          <w:sz w:val="18"/>
          <w:szCs w:val="18"/>
          <w:color w:val="auto"/>
        </w:rPr>
      </w:pPr>
    </w:p>
    <w:p>
      <w:pPr>
        <w:ind w:left="680" w:right="360" w:hanging="321"/>
        <w:spacing w:after="0" w:line="266"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uncertainties exist with respect to the interpretation and implementation of the Foreign Investment Law and the recently amended PRC Company Law and how they may impact the viability of our current corporate structure, corporate governance and operations. For details, see the risk factor with the same heading on page 48 of this annual report.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Having the majority of our operations in China poses risks to investors:</w:t>
      </w:r>
    </w:p>
    <w:p>
      <w:pPr>
        <w:spacing w:after="0" w:line="225" w:lineRule="exact"/>
        <w:rPr>
          <w:sz w:val="20"/>
          <w:szCs w:val="20"/>
          <w:color w:val="auto"/>
        </w:rPr>
      </w:pPr>
    </w:p>
    <w:p>
      <w:pPr>
        <w:ind w:left="680" w:right="4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or social conditions or government policies of China and globally could have a material adverse effect on our business, financial condition and results of operations. For details, see the risk factor with the same heading on page 49 of this annual report.</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regarding the interpretation and enforcement of PRC laws, rules and regulations. For details, see the risk factor with the same heading on page 52 of this annual report.</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approval or other administration requirements of the CSRC, the CAC or other PRC government authorities may be required to maintain our listing status or conduct future offshore securities offerings. For details, see the risk factor with the same heading on page 58 of this annual report.</w:t>
      </w:r>
    </w:p>
    <w:p>
      <w:pPr>
        <w:spacing w:after="0" w:line="175"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and other distributions on equity paid by our subsidiaries in mainland China and Hong Kong to fund any cash and financing requirements we may have, and any limitation on the ability of these subsidiaries to make payments to us could have a material and adverse effect on our ability to conduct our business. For details, see the risk factor with the same heading on page 55 of this annual report.</w:t>
      </w:r>
    </w:p>
    <w:p>
      <w:pPr>
        <w:spacing w:after="0" w:line="179" w:lineRule="exact"/>
        <w:rPr>
          <w:rFonts w:ascii="Times New Roman" w:cs="Times New Roman" w:eastAsia="Times New Roman" w:hAnsi="Times New Roman"/>
          <w:sz w:val="18"/>
          <w:szCs w:val="18"/>
          <w:color w:val="auto"/>
        </w:rPr>
      </w:pPr>
    </w:p>
    <w:p>
      <w:pPr>
        <w:ind w:left="680" w:right="300" w:hanging="321"/>
        <w:spacing w:after="0" w:line="266"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classified as a PRC resident enterprise for PRC enterprise income tax purposes, such classification could result in unfavorable tax consequences to us and our non-PRC shareholders. For details, see the risk factor with the same heading on page 62 of this annual report.</w:t>
      </w:r>
    </w:p>
    <w:p>
      <w:pPr>
        <w:spacing w:after="0" w:line="175" w:lineRule="exact"/>
        <w:rPr>
          <w:rFonts w:ascii="Times New Roman" w:cs="Times New Roman" w:eastAsia="Times New Roman" w:hAnsi="Times New Roman"/>
          <w:sz w:val="18"/>
          <w:szCs w:val="18"/>
          <w:color w:val="auto"/>
        </w:rPr>
      </w:pPr>
    </w:p>
    <w:p>
      <w:pPr>
        <w:ind w:left="680" w:right="220" w:hanging="321"/>
        <w:spacing w:after="0" w:line="258"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our securities will be prohibited under the HFCAA if the PCAOB determines that it is unable to inspect or investigate completely registered public accounting firms headquartered in mainland China and Hong Kong, including our auditor as an independent registered public accounting firm, and as a result, U.S. national securities exchanges, such as the NYSE, may determine to delist our securities. For details, see the risk factor with the same heading on page 64 of this annual report.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ADSs and Class A Ordinary Shares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risks related to our ADSs and Class A ordinary shares, including, but are not limited to, the following:</w:t>
      </w:r>
    </w:p>
    <w:p>
      <w:pPr>
        <w:spacing w:after="0" w:line="162" w:lineRule="exact"/>
        <w:rPr>
          <w:sz w:val="20"/>
          <w:szCs w:val="20"/>
          <w:color w:val="auto"/>
        </w:rPr>
      </w:pPr>
    </w:p>
    <w:p>
      <w:pPr>
        <w:ind w:left="680" w:right="1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trading volume of our ADSs and Class A ordinary shares may be volatile, which could lead to substantial losses to investors. For details, see the risk factor with the same heading on page 65 of this annual report.</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shares’ voting power limited our shareholders’ ability to influence corporate matters. For details, see the risk factor with the same heading on page 66 of this annual report.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right="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ADSs may not have the same voting rights as the holders of our Class A ordinary shares and may not be able to exercise their right to direct how our Class A ordinary shares represented by the ADSs are voted. For details, see the risk factor with the same heading on page 67 of this annual report.</w:t>
      </w:r>
    </w:p>
    <w:p>
      <w:pPr>
        <w:spacing w:after="0" w:line="17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may render our securities ineligible for inclusion in certain stock market indices, and thus adversely affect the trading price and liquidity of our ADSs or Class A ordinary shares. For details, see the risk factor with the same heading on page 67 of this annual report.</w:t>
      </w:r>
    </w:p>
    <w:p>
      <w:pPr>
        <w:spacing w:after="0" w:line="175"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our securities, the market price and trading volume for our ADSs and Class A ordinary shares could decline. For details, see the risk factor with the same heading on page 68 of this annual report.</w:t>
      </w:r>
    </w:p>
    <w:p>
      <w:pPr>
        <w:spacing w:after="0" w:line="17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sales of our ADSs or Class A ordinary shares could materially and adversely affect their market price. For details, see the risk factor with the same heading on page 68 of this annual report.</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our ADSs or Class A ordinary shares. For details, see the risk factor with the same heading on page 68 of this annual report.</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may not pay dividends in the future, you must rely on a price appreciation of our ADSs or Class A ordinary shares for a return on your investment. For details, see the risk factor with the same heading on page 64 of this annual report.</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or Hong Kong courts may be limited, because we are incorporated under Cayman Islands law. For details, see the risk factor with the same heading on page 69 of this annual report.</w:t>
      </w:r>
    </w:p>
    <w:p>
      <w:pPr>
        <w:spacing w:after="0" w:line="17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overseas regulators to conduct investigations or collect evidence within China. For details, see the risk factor with the same heading on page 69 of this annual report.</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likely a passive foreign investment company (a “PFIC”) for 2024 and there is a significant risk that we will be a PFIC for 2025 and possibly subsequent taxable years, in which case U.S. investors will generally be subject to adverse U.S. federal income tax consequences. For details, see the risk factor with the same heading on page 74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an emerging and evolving market, which may develop differently from or more slowly than we expect. If our market does not grow as we expect, or if we cannot expand our products and services to meet the demands of this market, our revenue may decline, or fail to grow, and we may continue to incur operating losses.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IoT PaaS and SaaS markets are at a relatively early stage of development and are constantly evolving. There is considerable uncertainty over the size and rate at which these markets will grow, as well as whether our products and services will be widely adopted. Moreover, the IoT cloud industry, including the IoT PaaS market and the SaaS market, is subject to rapid technological change, evolving industry standards, changing regulations, as well as changing customer needs, requirements and preferences. The success of our business will depend, in part, on our ability to adapt and respond effectively to these changes on a timely basis. If we are unable to develop and launch new products and services or provide enhancements and new features to keep pace with rapid technological and industry changes, our business, results of operations and financial condition could be adversely affected. If new technologies emerge that are able to deliver competitive products and services at lower prices or more efficiently or securely, such technologies could adversely impact our ability to compete effectively.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products, services and platform must also integrate with a variety of network, hardware, software and technologies, and we need to continuously modify and enhance our products, services and platform to adapt to changes and innovation. For example, if customers adopt new software, we may be required to develop new versions of our products and services to be compatible with such new software. This development effort may require significant resources, which would adversely affect our business, results of operations and financial condition. Any failure of our products and services to operate effectively with evolving or new software and technologies could reduce the demand for our products and services. If we are unable to respond to these changes in a cost-effective manner, our products and services may become less marketable and less competitive or obsolete, and our business, results of operations and financial condition could be adversely affected. Furthermore, as we embark on the implementation of innovative business models to remain competitive and meet the evolving needs of our market, we recognize the heightened management capabilities required across various dimensions of our operations. These areas include, but are not limited to, internal team collaboration, business processes optimization, agile product development and iteration, efficient manufacturing practices, and robust management of external supplier relationships, including contract manufacturers, logistics and delivery services, and maintaining high standards of product quality. While we are actively exploring and learning to adapt to these demands, we are faced with the risk of insufficient experience and expertise in these complex areas. These gaps may lead to suboptimal progress in product development or delays in delivery, slower product iteration speeds than our competitors, failure to achieve anticipated technological upgrades, or issues with product quality that could harm our reputation among end users, consumers and partners, any of which could negatively impact our business, results of operations and financial condition.</w:t>
      </w:r>
    </w:p>
    <w:p>
      <w:pPr>
        <w:spacing w:after="0" w:line="19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past, our business has scaled rapidly by leveraging our strong software and robust platform-based delivery capabilities. However, from the second half of 2021 to the first half of 2023, the global consumer electronics industry went through a headwind cycle, primarily due to global high inflation and supply-chain-wide destocking. Thanks to industry-wide efforts and moderately declining inflation, the downstream inventory level gradually returned to normal in the second half of 2023. In 2024, with a more stable macroeconomic environment, normalized downstream inventory levels, and rising demand for consumer electronics, the industry experienced a growth trajectory. However, it is uncertain whether our customers will increase their procurements from upstream suppliers like us, as this is subject to various factors beyond our control. In addition, there have been ongoing concerns about the relationship and trade disputes between the U. S. and China, marked by the imposition of higher tariffs and retaliatory measures from both sides, which may incur higher costs for us and our customers and depress the demand for our products and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making it difficult to forecast our future results of operations.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commenced our operations in 2014. Our relatively limited operating history makes it difficult to evaluate our current business and prospects, and to plan for our anticipated future growth. As a result of our limited operating history, our ability to accurately forecast our future results of operations is limited and subject to a number of uncertainties, including our ability to plan for and model future growth. Our historical revenue growth should not be considered indicative of our future performance.</w:t>
      </w:r>
    </w:p>
    <w:p>
      <w:pPr>
        <w:spacing w:after="0" w:line="180"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Further, in future periods, our revenue growth may slow or even decline due to various factors, such as weaker demand for our products and services, heightened competition, evolving technologies, slower market expansion, or our inability to capture growth opportunities, whether as a result of new or increased tariffs, trade restrictions, or other external challenges. We have also encountered, and will continue to encounter, risks and uncertainties frequently experienced by growing companies in rapidly changing industries. If our assumptions regarding these risks and uncertainties and our future revenue growth are incorrect, or if we do not address these risks successfully, our operating and financial results could differ materially from our expectations, and our business could suffer.</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growth may not be indicative of our future growth, and we may not be able to sustain our revenue growth rate in the future.</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rapid growth since the inception of our operations. However, you should not rely on the revenue growth of any prior quarterly or annual period as an indication of our future performance. We cannot assure you that we will be able to manage our growth at the same rate as we did in the past, or avoid any decline in the future. To sustain our growth, we must attract more customers, hire additional qualified R&amp;D and other staff, expand our business, and enhance our technology infrastructure. Moreover, our current and planned staffing, systems, policies, procedures and controls may not be adequate to support our future operations. To manage our expected growth, we will also be required to improve our operational, financial and management controls and reporting systems and procedures. If we fail to efficiently manage the expansion of our business, our costs and expenses may increase faster than we planned and we may not successfully attract enough customers and end users affordably, respond to competitive or macroeconomic challenges, or otherwise execute our business strategies. Our growth requires significant financial resources and will continue to place significant demands on our management. There is no guarantee that we will be able to effectively manage any future growth in an efficient, cost-effective and timely manner, or at all. Our growth in a relatively short period of time is not necessarily indicative of results that we may achieve in the future. If we fail to effectively manage the growth of our business and operations, our reputation, results of operations and overall business and prospects could be negatively impacted.</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operate are competitive, and if we do not compete effectively, our business, operating results and financial condition could be harmed.</w:t>
      </w:r>
    </w:p>
    <w:p>
      <w:pPr>
        <w:spacing w:after="0" w:line="13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market of IoT PaaS, SaaS (including, among others, industry SaaS and cloud-based software value-added services), and smart devices are competitive and rapidly evolving. The principal competitive factors in these markets include the ability to support multiple use cases on a single platform, ease of deployment, implementation and use, platform performance, scalability and reliability, global reach, brand awareness and reputation, the strength of sales and marketing efforts, as well as the ability to ensure data security and privacy.</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Some of our existing and potential competitors might have substantial competitive advantages, including larger scale, longer operating history, greater brand recognition, more established relationships with customers, suppliers, manufacturers and other business partners, and greater financial, research and development, marketing and other resources. As a result, our competitors may be able to respond more quickly and effectively than we can to new or changing opportunities, technologies, standards or customer requirements. Our existing and potential competitors may develop and market new products and services with comparable functionality to ours, and this could force us to offer our products and services at lower prices in order to remain competitive.</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Some of our competitors are able to offer products and services at lower prices than ours, which may be attractive to certain customers even if those products and services offer different or fewer functionalities. If we are unable to maintain our current pricing due to the competitive pressures, our margins will be reduced and our business, results of operations and financial condition would be adversely affected. In addition, pricing pressures and increased competition could result in reduced revenue, reduced margins, increased losses or the failure of our products and services to achieve or maintain widespread market acceptance, any of which could harm our business, results of operations and financial condition. Moreover, we are continuously exploring and promoting innovative business models designed to meet the evolving development needs of our industry. While these efforts distinguish our offerings and drive value for our customers, they also expose us to the risk of imitation and intensified business competition. Competitors may adopt similar business models or emulate our strategies, potentially coupling their efforts with aggressive pricing tactics to attract our customer base. The introduction of comparable business models by competitors may significantly impact our market position, as well as our customer retention and acquisition cost. Should our competitors succeed in offering similar or superior solutions at lower prices, we may experience a decrease in customer loyalty and engagement.</w:t>
      </w:r>
    </w:p>
    <w:p>
      <w:pPr>
        <w:spacing w:after="0" w:line="19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With the introduction of new products and services and new market entrants, we expect competition to intensify in the future. In addition, some of our customers may choose to use our products and services and our competitors’ products and services at the same time, or choose to switch to other IoT platforms. As we expand the scope of our platform, products and services, we may face additional competition. If one or more of our competitors were to merge or partner with another of our competitors, the change in the competitive landscape could also adversely affect our ability to compete effectively.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expand and optimize our customer base or strengthen customer engagement may adversely affect our business and results of operations.</w:t>
      </w:r>
    </w:p>
    <w:p>
      <w:pPr>
        <w:spacing w:after="0" w:line="11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revenue growth depends on our ability to maintain, expand and optimize our customer base. The markets in which we operate have historically experienced challenges and obstacles. In response, we strategically strengthen our focus on high-quality customers. This involves dedicating our sales and marketing efforts, as well as technology and customer service support to customers who have larger scale of operations, higher market share and greater resilience to economic downturns. As a result, the total number of our customers decreased from approximately 7,600 in 2022 to approximately 6,100 in 2023 and further decreased to approximately 5,800 in 2024. Similarly, the total number of our IoT PaaS customers decreased from approximately 5,100 in 2022 to approximately 4,000 in 2023 and further decreased to approximately 3,700 in 2024.</w:t>
      </w:r>
    </w:p>
    <w:p>
      <w:pPr>
        <w:spacing w:after="0" w:line="18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In addition, it is crucial for us to strengthen customer engagement so that more of our customers will use our products and services more often and contribute more to our revenue growth. If our customers do not increase their use of our products and services, our revenue may not grow, and our results of operations may be harmed. However, it is difficult to predict the end users’ usage levels of smart devices accurately and the loss of customers or reductions in the end users’ usage levels may have a negative impact on our business, results of operations and financial condition. Our customers may cease, or reduce their usage of our products and services due to a variety of reasons, such as progress in technology that renders our products and services obsolete, declining product quality, unfounded health and other concerns about technologies like 5G, national security issues, rising raw material costs, or semiconductor shortages, imposition of new tariffs or adjustments in existing tariffs or trade barriers, many of which are outside our or our customers’ control. Additionally, our customers or partners who distribute and sell their smart products using our offerings such as IoT PaaS and smart solutions for smart devices through various sales channels, are often required to follow strict sales policies covering areas including marketing, pricing, and customer interaction. Non-compliance with these policies can lead to penalties, such as fines or, in extreme cases, losing the right to sell through these channels. If our customers or partners face penalties or business closures due to non-compliance with these sales policies, it could result in a reduction in their purchases from us, which, in turn, could have a material adverse effect on our sales volume and revenue.</w:t>
      </w:r>
    </w:p>
    <w:p>
      <w:pPr>
        <w:spacing w:after="0" w:line="19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If a significant number of our customers cease using or reduce their use of, our products and services, or if brands stop placing orders through our OEM customers, we may be required to significantly increase our sales and marketing expenses to sustain or grow our revenues. These additional expenditures could adversely affect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estimate customer demand properly, our financial results could be harmed.</w:t>
      </w:r>
    </w:p>
    <w:p>
      <w:pPr>
        <w:spacing w:after="0" w:line="202"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business involves estimates of customers’ future demand. There may be a significant mismatch between supply and demand, giving rise to product shortages or excess inventory, and making our demand forecast more uncertain. In addition, the imposition of new tariffs or adjustments in existing tariffs or trade barriers by U.S. and other governments may impact the demands for our products and services. Demand for our products and services is also influenced by many other factors, including our product introductions, competitor announcements, competing technologies, and power or raw material supply, among other things. These factors are often outside our and our customers’ control and their impact are difficult to predict. For example, the demand and use of the chips as part of the modules where the edge capabilities of IoT PaaS are embedded have fluctuated in the past and is likely to continue to fluctuate in the future. In periods with limited supply of chips or following a significant destocking cycle in the industry, when enterprises start restocking their inventory levels, our customers may place inventory orders significantly in advance of their normal order cycle, which could increase fluctuations in our sales and revenue between periods and make it more difficult for us to estimate future customer demands. These challenges may be more pronounced in the future if the demand, downstream inventory patterns and prices of chips fluctuate. To the extent our customers experience material changes in the sale of their smart devices or a high level of backlogs in inventories, they may reduce or delay purchases of our products and services, causing our estimate of customer demand to be inaccurate. In addition, new tariffs, such as those announced by the U.S. government in the first half of 2025 may also negatively impact customers’ demand and further disrupt their business cycles and purchasing patterns. In estimating demand, we make multiple assumptions, any of which may prove to be incorrect. Furthermore, to the extent we build inventory anticipating growth in customer demand, our business, results of operations and financial condition may be negatively affected if such growth does not materialize as expected.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suppliers involves certain risks that may result in, among others, increased costs, disruption of supply or shortage of raw materials or inventories such as finished smart devices, quality or compliance issues, or failure by our suppliers to timely manufacture the modules and finished smart devices, any of which could materially harm our business.</w:t>
      </w:r>
    </w:p>
    <w:p>
      <w:pPr>
        <w:spacing w:after="0" w:line="134"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use third-party suppliers to manufacture the modules where edge capabilities of IoT PaaS are embedded, and in some circumstances (such as our Smart Solution business) finished smart devices. We are dependent on third-party suppliers to manufacture the modules and smart devices using their equipment and technology. Our use of such third-party suppliers who manufacture the modules and smart devices involves a number of risks, including:</w:t>
      </w:r>
    </w:p>
    <w:p>
      <w:pPr>
        <w:spacing w:after="0" w:line="180"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capacity or delays in meeting our demand;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manufacturing yields, inferior quality and excessive costs;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to manufacture products that meet the agreed-upon specifications;</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to procure raw materials and components on commercially reasonable terms, or at all, or to provide or allocate adequate, or any, manufacturing or other capacity for our products;</w:t>
      </w:r>
    </w:p>
    <w:p>
      <w:pPr>
        <w:spacing w:after="0" w:line="161"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suppliers to comply with the relevant regulatory requirements, including those relating to the manufacturing process;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products supplied to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direct control over delivery schedules or product quantity and quality;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 shortages, a decrease in product quality and/or higher expenses;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potential misappropriation of our intellectual property;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 manufacturing process and business operation.</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any of our suppliers is not able to perform its manufacturing obligations in the manner, timing and quality as agreed, we may not be able to, on a timely basis, find a suitable alternative on commercially acceptable terms. Disruptions of our relationships with such suppliers could negatively impact our business operations for an extended period of time. Any inability to acquire sufficient quantities of the modules and finished smart devices in a timely manner from these third-party suppliers could have a material negative impact on our business.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Components of IoT modules, smart devices and other raw materials used in our operations are periodically subject to supply shortages or disruptions due to various factors, and our business is subject to the risk of price increases and periodic delays in delivery. For example, the supply of chips that are essential components of IoT modules or AI device has been subject to a global shortage or disruptions, due to, including but not limited to, geopolitical tensions, imposition of new tariffs or adjustments in existing tariffs or trade barriers. The chip industry has also experienced cyclical price fluctuations. There is no assurance that we will be able to secure adequate chip supply at commercially reasonable cost for our operations. If we fail to secure sufficient chip supply, we may have to secure alternative suppliers or find alternative supplies or technologies, which could be costly, time consuming, and may not be successful. To the extent the chip shortage deteriorates or becomes longer-term in nature, we may experience significant delays in our delivery to customers and our business operations and prospects may be negatively impacted.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introduce new features or products successfully or to make enhancements to our existing products and services, our business and results of operations could be adversely affected.</w:t>
      </w:r>
    </w:p>
    <w:p>
      <w:pPr>
        <w:spacing w:after="0" w:line="11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To attract new customers and end users and keep our existing ones engaged, we must introduce new products and services and upgrade our existing offerings to meet their evolving preferences. It is difficult to predict the preferences of a particular customer or a specific group of customers. Changes and upgrades to our existing products may not be well received by our customers and end users, and newly introduced products or services may not achieve success as expected. For example, we may introduce new AI capabilities for smart devices and SaaS products for new industry verticals such as the home energy management system and mini-programs for the energy-saving sector, with which we have little or no prior experience. Such efforts may require us to contribute a substantial amount of additional human capital and financial resources. We cannot assure you that any of such new products will achieve market acceptance or generate sufficient revenue to adequately compensate the costs and expenses incurred in relation to our development and promotion efforts. Enhancements and new products and services that we develop may not be introduced in a timely or cost-effective manner, may contain errors or defects, may have interoperability difficulties with our platform or other products and services or may not achieve the broad market acceptance necessary to generate significant revenue. If we fail to improve our existing products and introduce new ones in a timely or cost-effective manner, our ability to attract and retain customers and end users may be impaired, and our financial performance and prospects may be adversely affected.</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platform. Any disruption in the operations of these third-party providers, limitations on capacity or interference with our use, due to geopolitical tensions or business competition could adversely affect our business, financial condition and results of operations.</w:t>
      </w:r>
    </w:p>
    <w:p>
      <w:pPr>
        <w:spacing w:after="0" w:line="14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currently serve our customers and end users from data centers in China, the United States, Europe and India. We also use various third-party cloud-hosting providers such as AWS, Microsoft Azure, Google Cloud Platform, Tencent Cloud and Alibaba Cloud to provide cloud infrastructure for our platform. Our IoT PaaS and SaaS rely on the operations of this infrastructure. We do not control, or in some cases have limited control over, the operation of the data center facilities we use. Customers expect to access our platform at any time, without interruption or degradation of performance, and we provide a few customers with service-level commitments with respect to uptime. Any limitation on the capacity of our data centers or cloud infrastructure could impede our ability to onboard new customers or expand the usage of our existing customers, host our products or serve our customers, which could adversely affect our business, financial condition and results of operations. In addition, any incident and technical failure affecting our data centers or cloud infrastructure that may be caused by cyberattacks, natural disasters, fire, flood, severe storm, earthquake, power loss, outbreaks of contagious diseases, telecommunications failures, terrorist or other attacks, or other events beyond our control could negatively affect the cloud-based portion of our platform. A prolonged service disruption affecting our data centers or cloud-based services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providers or taking other actions in preparation for, or in response to, events that damage the third-party hosting services we use.</w:t>
      </w:r>
    </w:p>
    <w:p>
      <w:pPr>
        <w:spacing w:after="0" w:line="19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global landscape of cloud services is subject to the influence of geopolitical factors, including international trade disputes, sanctions, and national security concerns, which could impact the availability, reliability, and cost of cloud infrastructure services. Additionally, the competitive dynamics in the cloud services market and potential commercial conflicts of interest could lead to changes in service terms, pricing, availability or even termination of service agreements, particularly if our providers engage in business activities similar to ours and become direct competitors. Any limitation on the capacity of our cloud infrastructure, or any interruption caused by geopolitical events, trade restrictions, or competitive actions in the cloud market, could impede our ability to onboard new customers or expand the usage among existing customers, host our products, or serve our customers effectively.</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event that our service agreements relating to our data centers or cloud infrastructure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or rebuilding our platform for deployment on a different data center provider or cloud infrastructure service provider, which could adversely affect our business, financial condition and results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benefit from integration of our products and services with those of our business partners. If these business partners choose not to partner with us in the future, our business and results of operations may be harmed.</w:t>
      </w:r>
    </w:p>
    <w:p>
      <w:pPr>
        <w:spacing w:after="0" w:line="11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benefit from integration of our products and services with those of our business partners, such as the providers of cloud services used to support our platform. If entities who serve as our business partners change their cooperation model with us, our business, results of operations and financial condition may be adversely affected. We may also face competition from our business partners in a number of areas, including innovations in our businesses. Such competition may adversely affect our competitive position, business prospects and our relationship with our business partners. It may be necessary in the future to renegotiate agreements relating to various aspects of these collaborations or business partnerships. In addition, if our business partners choose not to partner with us, or choose to form collaborations with our competitors’ platforms, our business, financial condition and results of operations could be harmed.</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rapidly evolving landscape of global data privacy and data security laws may be challenging, and any failure or perceived failure to comply with such laws, or other concerns about our practices or policies with respect to the processing of personal information,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15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Failure to comply with the increasing number of data protection laws in the jurisdictions in which we operate, as well as concerns about our practices with regard to the collection, use, storage, retention, transfer, disclosure and other processing of personal information, the security of personal information, the use of biometric information or other privacy-related matters, such as cybersecurity breaches, misuse of personal information and data sharing without necessary safeguards, including concerns from our customers, employees and third parties with whom we conduct business, even if unfounded, could damage our reputation and operating results. As we seek to expand our business, we are, and may increasingly become, subject to various laws, regulations and standards, as well as contractual obligations, relating to data privacy and security in the jurisdictions in which we operate. The regulatory and legal frameworks regarding data privacy and security issues in many jurisdictions are constantly evolving and developing and can be subject to significant changes from time to time, including in ways that may result in conflicting requirements among various jurisdictions. Interpretation and implementation standards and enforcement practices are similarly in a state of flux and are likely to remain uncertain for the foreseeable future. As a result, we may not be able to fully assess the full scope of our global compliance obligations, leading to potential non-compliance with applicable data privacy and security laws, regulations and standards. Moreover,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PRC</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recent years, the PRC government has increasingly tightened the regulation of cybersecurity and the storage, sharing, use, disclosure and protection of data and personal information. The Cybersecurity Law of the PRC, or the Cybersecurity Law, promulgated by the Standing Committee of the National People’s Congress (the “SCNPC”) has come into force on June 1, 2017. In addition, the Data Security Law of PRC, or the Data Security Law, was promulgated by the SCNPC on June 10, 2021 and took effect on September 1,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Numerous laws, regulations, guidelines and other measures have been or are expected to be adopted pursuant to the guidelines of, or in addition to, the Cybersecurity Law and Data Security Law. These include, for example, the draft Measures on Security Assessment of Cross-Border Transfer of Personal Information and Important Data released in April 2017, the draft Measures on Security Assessment of Cross-Border Transfer of Personal Information released in June 2019, and the Personal Information Protection Law, or the Personal Information Protection Law, which was released on August 20, 2021 and became effective on November 1, 2021. Specifically, on July 7, 2022, the CAC released the Measures on Security Assessments for the Cross-border Transfer of Data, which is applicable to cross-border transfers of personal information and important data collected and generated in China under certain circumstances. While we do not believe our current business involves any transmission, use and exchange of information that comes under the definition of “cross-border transfers of personal information and important data” under the foregoing laws and regulations, we cannot assure you that the PRC regulatory authorities will not take a view contrary to ours, thus requiring us to comply with applicable data localization, security assessment and other requirements under these proposed laws and regulations. As our business continues to grow, there may arise circumstances where we engage in such cross-border transfers of personal information and important data, including in order to satisfy the legal and regulatory requirements, in which case we may need to comply with the foregoing requirements as well as any other limitations under PRC laws then applicable. Complying with these laws and requirements could cause us to incur substantial expenses or require us to alter or change our practices in ways that could harm our business. Additionally, to the extent we are found to be not in compliance with these laws and requirements, we may be subject to fines, regulatory orders to suspend our operations or other regulatory and disciplinary sanctions, which could materially and adversely affect our business, financial condition and results of operations.</w:t>
      </w:r>
    </w:p>
    <w:p>
      <w:pPr>
        <w:spacing w:after="0" w:line="19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of the PRC promulgated the Provisions on Protection of Critical Information Infrastructure, or the CII Protection Regulations, which became effective on September 1, 2021. Pursuant to the CII Protection Regulations, “critical information infrastructures” (“</w:t>
      </w:r>
      <w:r>
        <w:rPr>
          <w:rFonts w:ascii="Times New Roman" w:cs="Times New Roman" w:eastAsia="Times New Roman" w:hAnsi="Times New Roman"/>
          <w:sz w:val="18"/>
          <w:szCs w:val="18"/>
          <w:b w:val="1"/>
          <w:bCs w:val="1"/>
          <w:color w:val="auto"/>
        </w:rPr>
        <w:t>CIIs</w:t>
      </w:r>
      <w:r>
        <w:rPr>
          <w:rFonts w:ascii="Times New Roman" w:cs="Times New Roman" w:eastAsia="Times New Roman" w:hAnsi="Times New Roman"/>
          <w:sz w:val="18"/>
          <w:szCs w:val="18"/>
          <w:color w:val="auto"/>
        </w:rPr>
        <w:t>”) refer to any important network facilities or information systems of the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In addition, relevant administration departments of each critical industry and sector shall be responsible for formulating eligibility criteria and identifying the CIIOs in the respective industry or sector, and the CIIOs shall be responsible for protecting the CIIs’ security by performing certain prescribed obligations. As of the date of this annual report, we have not been informed by CAC or any other PRC government authorities that we are identified or will be deemed as a CIIO. However, since the criteria for determining CIIOs remain uncertain, we cannot assure you that we will not be identified as a CIIO by any competent regulatory authority in the future.</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December 28, 2021, the CAC and several other administrations jointly promulgated the Measures for Cybersecurity Review, or the Cybersecurity Review Measures, which became effective on February 15, 2022. The Cybersecurity Review Measures provide that (i) a “network platform operator” holding over one million users’ personal information shall apply for a cybersecurity review when listing their securities in a foreign country, (ii) a CIIO that intends to purchase internet products and services that affect or may affect national security shall apply for a cybersecurity review and (iii) a “network platform operator” carrying out data processing activities that affect or may affect national security shall apply for a cybersecurity review. Since the Cybersecurity Review Measures are relatively new, significant uncertainties exist in relation to their interpretation and implementation. Additionally, the Cybersecurity Review Measures do not provide the exact scope of “network platform operator” or the circumstances that would “affect or may affect national security.” There can be no assurance that we will not be required to apply for a cybersecurity review pursuant to the Cybersecurity Review Measures. To the extent any cybersecurity review is required, we cannot assure you that we will be able to complete it in a timely manner, or at all. Any failure to complete the required cybersecurity review may result in regulatory sanctions including, among others, government enforcement actions and investigations, fines, penalties, and suspension of our non-compliant operations, as well as reputational damage or legal proceedings or actions against us, any of which may have material adverse effects on our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on November 14, 2021, the CAC released the Regulations on the Administration of Cyber Security Management (Draft for Comments) (the “</w:t>
      </w:r>
      <w:r>
        <w:rPr>
          <w:rFonts w:ascii="Times New Roman" w:cs="Times New Roman" w:eastAsia="Times New Roman" w:hAnsi="Times New Roman"/>
          <w:sz w:val="18"/>
          <w:szCs w:val="18"/>
          <w:b w:val="1"/>
          <w:bCs w:val="1"/>
          <w:color w:val="auto"/>
        </w:rPr>
        <w:t>Draft Cyber Data Security Regulation</w:t>
      </w:r>
      <w:r>
        <w:rPr>
          <w:rFonts w:ascii="Times New Roman" w:cs="Times New Roman" w:eastAsia="Times New Roman" w:hAnsi="Times New Roman"/>
          <w:sz w:val="18"/>
          <w:szCs w:val="18"/>
          <w:color w:val="auto"/>
        </w:rPr>
        <w:t>”). On September 24, 2024, the CAC promulgated the Regulations on the Administration of Cyber Data Security (the “</w:t>
      </w:r>
      <w:r>
        <w:rPr>
          <w:rFonts w:ascii="Times New Roman" w:cs="Times New Roman" w:eastAsia="Times New Roman" w:hAnsi="Times New Roman"/>
          <w:sz w:val="18"/>
          <w:szCs w:val="18"/>
          <w:b w:val="1"/>
          <w:bCs w:val="1"/>
          <w:color w:val="auto"/>
        </w:rPr>
        <w:t>Regulation on Cyber Data Security</w:t>
      </w:r>
      <w:r>
        <w:rPr>
          <w:rFonts w:ascii="Times New Roman" w:cs="Times New Roman" w:eastAsia="Times New Roman" w:hAnsi="Times New Roman"/>
          <w:sz w:val="18"/>
          <w:szCs w:val="18"/>
          <w:color w:val="auto"/>
        </w:rPr>
        <w:t>”), which became effective on January 1, 2025. The Regulation on Cyber Data Security reiterate the general regulations for cyber data processing activities, rules of personal information protection, important data security protection, network data cross-border transfer management, and the responsibilities of internet platform service providers. In addition, unlike the Draft Cyber Data Security Regulation, the officially promulgated Regulation on Cyber Data Security does not specifically include the requirement that cyber data processing entities seeking a Hong Kong listing that affects or may affect national security, or data processors that handle personal information of more than one million people contemplating to list its securities on a “foreign” stock exchange, or the merger, reorganization or division of internet platform operators that have acquired a large number of data resources related to national security, economic development or public interests, which affect or may affect national security should apply for a cybersecurity review. Instead, the Regulation on Cyber Data Security generally provides that cyber data processors whose cyber data processing activities affect or may affect national security shall be subject to national security review in accordance with the relevant regulations.</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According to the PRC National Security Law, “national security” refers to a status in which the regime, sovereignty, unity, territorial integrity, welfare of the people, sustainable economic and social development, and other vital interests of the state are relatively not in danger and not threatened internally or externally and the ability to maintain a sustained security status. However, as of the date of this annual report, the criteria for determining the circumstances that “affect or may affect national security” for the purpose of the Regulation on Cyber Data Security remain unclear and are subject to further clarification by the CAC. The Regulation on Cyber Data Security is relevantly new and there is no further explanation or interpretation on what kind of activities “affect or may affect national security” under the Regulation on Cyber Data Security yet. It remains uncertain whether future regulatory changes would impose additional restrictions on us. We cannot predict the impact of the definition of “affect or may affect national security” in the Regulation on Cyber Data Security, if any, at this stage, and we will closely monitor and assess any development in the rulemaking process.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EU and U.K.</w:t>
      </w:r>
    </w:p>
    <w:p>
      <w:pPr>
        <w:spacing w:after="0" w:line="223"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7"/>
          <w:szCs w:val="17"/>
          <w:color w:val="auto"/>
        </w:rPr>
        <w:t>The General Data Protection Regulation (EU) 2016/679 (the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which applies to the collection, use, storage, retention, transfer, disclosure and other processing of personal data obtained from individuals located in the European Union (the “</w:t>
      </w:r>
      <w:r>
        <w:rPr>
          <w:rFonts w:ascii="Times New Roman" w:cs="Times New Roman" w:eastAsia="Times New Roman" w:hAnsi="Times New Roman"/>
          <w:sz w:val="17"/>
          <w:szCs w:val="17"/>
          <w:b w:val="1"/>
          <w:bCs w:val="1"/>
          <w:color w:val="auto"/>
        </w:rPr>
        <w:t>EU</w:t>
      </w:r>
      <w:r>
        <w:rPr>
          <w:rFonts w:ascii="Times New Roman" w:cs="Times New Roman" w:eastAsia="Times New Roman" w:hAnsi="Times New Roman"/>
          <w:sz w:val="17"/>
          <w:szCs w:val="17"/>
          <w:color w:val="auto"/>
        </w:rPr>
        <w:t>”) or by businesses operating within the EU, became effective on May 25, 2018 and has resulted, and will continue to result, in significantly greater compliance burdens and costs for companies with customers, end users, or operations in the EU. The GDPR places stringent obligations and operational requirements on us as both a processor and controller of personal data and could make it more difficult or more costly for us to use and share personal data. Under the GDPR, data protection supervisory authorities are given various enforcement powers, including levying fines of up to €20 million or up to 4% of an organization’s annual worldwide turnover, whichever is greater, for the preceding financial year, for non-compliance. Data subjects also have the right to be compensated for damages suffered as a result of a controller or processor’s non-compliance with the GDPR. While the GDPR provides a more harmonized approach to data protection regulation across the EU member states, it also gives EU member states certain areas of discretion and therefore laws and regulations in relation to certain data processing activities may differ on a member state by member state basis, which could further limit our ability to use and share personal data and could require localized changes to our operating model. In addition to the GDPR, the EU also has released a proposed Regulation on Privacy and Electronic Communications, or the ePrivacy Regulation, to replace the EU’s current Privacy and Electronic Communications Directive, or the ePrivacy Directive, to, among other things, better align EU member states and the rules governing online tracking technologies and electronic communications, such as unsolicited marketing and cookies, with the requirements of the GDPR. While the ePrivacy Regulation was originally intended to be adopted on May 25, 2018 (alongside the GDPR), on February 11, 2025, the European Commission announced the end of the legislative procedure for the ePrivacy Regulation. Whether it will be reintroduced or adopted remains unclear, and the details of this regulation remain in flux. Additional time and effort may need to be spent addressing the new requirements in the potential ePrivacy Regulation as compared to the GDPR, as the ePrivacy Regulation, if reintroduced or adopted in its prior form or any similar form, would significantly increase fining powers to the same levels as the GDPR and may require us to change our operational model and incur additional compliance expenses.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Under the GDPR, restrictions are placed on transfers of personal data outside of the European Economic Area to countries which have not been deemed “adequate” by the European Commission (including the PRC). As a global business, with customers and end users worldwide, we are susceptible to any changes in legal requirements affecting international data flows. Due to recent regulatory changes and guidance, we may need to invest in additional technical, legal and organization safeguards in the future to avoid disruptions to data flows within our business and to and from our customers and service providers. Furthermore, this uncertainty, and its eventual resolution, may increase our costs of compliance, impede our ability to transfer data and conduct our business, and harm our business or results of operations.</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Additionally, the withdrawal of the United Kingdom (“U.K.”) from the EU (commonly known as “Brexit”) has created uncertainty with regard to the regulation of privacy and data protection in the U.K. Since January 1, 2021, when the transitional period following Brexit expired, the so-called U.K. GDPR (combining the GDPR and the U.K.’s Data Protection Act of 2018) has been in effect in the U.K. Although the U.K. GDPR currently imposes substantially the same obligations as the GDPR, and currently authorizes similar fines,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While the European Commission has issued an “adequacy” decision to the U.K., which facilitates the sharing of personal data between the EU and the U.K. for the time being, such adequacy decision will sunset in June 2025 unless extended and it may be revoked in the future by the European Commission if the U.K. data protection regime is reformed in ways that deviate substantially from the level of protection currently in place. Adding further complexity for international data flows, in March 2022, the U.K. adopted its own International Data Transfer Agreement for transfers of personal data out of the U.K. to so-called third countries, as well as an international data transfer addendum that can be used with GDPR’s standard contractual clauses for the same purpose. All of this creates a risk of divergent parallel regimes and related uncertainty, along with the potential for increased compliance costs and risks for affected businesses based on differing, interpretation and enforcement by regulators and authorities. For details of related regulations, see “Regulation—Regulation Relating to Cybersecurity, Data Security and Privacy Protection.”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the United States, various federal regulators, including governmental agencies like the Federal Trade Commission, and states and state regulators have adopted, or are considering adopting, laws and regulations concerning personal data and data security, such as the California Consumer Privacy Act, of 2018 (as modified by the California Privacy Rights Act, collectively “CCPA”). This patchwork of legislation and regulation may give rise to conflicts or differing views of personal privacy rights. For example, certain state laws may be more stringent or broader in scope, or offer greater individual rights, with respect to personal data than federal, international or other state laws, and such laws may differ from each other, all of which may complicate compliance efforts. One such comprehensive privacy law in the United States is the CCPA, which came into effect on January 1, 2020 and was significantly amended as of January 1, 2023. Among other things, the CCPA requires companies that process personal information of California residents to make detailed disclosures to consumers about such companies’ data collection, use and sharing practices, gives California residents expanded rights to access and delete their personal information and to opt out of certain personal information sharing with (and sales of personal information to) third parties. The CCPA provides for civil penalties for violations, as well as a private right of action for certain data breaches that result in the loss of personal data that may increase the likelihood of, and risks associated with, data breach litigation. Additionally, the CCPA expands consumers’ rights with respect to certain sensitive personal information, further restricts the use of cross-context behavioral advertising and creates a state agency, the California Privacy Protection Agency, to oversee implementation and enforcement efforts. Amendments have been made to the CCPA, and it is possible that further amendments will be enacted, but even in its current form it remains unclear how various provisions of the CCPA will be interpreted and enforced potentially resulting in further uncertainty and requiring us to incur additional costs and expenses in an effort to comply. Other state laws are changing rapidly and there have been ongoing discussions and proposals in the U.S. Congress with respect to new federal data privacy and security laws to which we would become subject if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 For details of related regulations, see “Regulation—Regulation Relating to Cybersecurity, Data Security and Privacy Protection.”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For example, there is an increasing trend of jurisdictions requiring data localization, which may prohibit companies from storing data relating to resident individuals in data centers outside the relevant jurisdiction or, at a minimum, require a complete set of the data to be stored in data centers within the relevant jurisdiction.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complaints, inquiries, allegations,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information, where applicable) may potentially deter end users from consenting to certain uses of their personal information.</w:t>
      </w:r>
    </w:p>
    <w:p>
      <w:pPr>
        <w:spacing w:after="0" w:line="19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general, negative publicity of us or our industry regarding actual or perceived violations of our end users’ privacy-related rights, including fines and enforcement actions against us or other similarly placed businesses, also may impair users’ trust in our privacy practices and make them reluctant to give their consent to share their data with us. Any inability to adequately address data privacy or security-related concerns, complaints, inquiries or allegations when they arise, even if unfounded, or to comply with applicable laws, regulations, standards and other obligations relating to data privacy and security, could result in additional cost and liability to us, harm our reputation and brand, damage our relationships with consumers and have a material and adverse impact on our business, financial condition and results of operations. In addition, due to data privacy or data security concerns, our ability to retain or increase our user base and user engagement may be materially and adversely affected, we may not be able to maintain or grow our revenues as anticipated and our financial results could be materially and adversely affected.</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With regard to our commercial arrangements, we and our counterparties, including business partners and external service providers, might be subject to contractual obligations regarding the processing of personal information.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18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While we strive to comply with our internal data privacy guidelines as well as all applicable data privacy and security laws and regulations and contractual obligations in respect of personal information, there is no assurance that we are able to comply with these laws, regulations and contractual obligations in all respects. Any failure or perceived failure by us, external service providers or business partners to comply may result in proceedings or actions against us, including fines and penalties or enforcement orders (including orders to cease processing activities) being levied on us by government agencies or proceedings or actions against us by our business partners, customers or end users, including class action privacy litigation in certain jurisdictions, and could damage our reputation and discourage current and future users from using our products and services, which could materially and adversely affect our business, financial condition and results of operations. In addition, compliance with applicable laws on data privacy requires substantial expenditure and resources, including to continually evaluate our policies and processes and adapt to new requirements that are or become applicable to us on a jurisdiction-by-jurisdiction basis, which would impose significant burdens and costs on our operations or may require us to alter our business practices. Concerns about the security of personal information also could lead to a decline in general internet usage, which could result in a decrease in demand for our products and services and have a material and adverse effect on our business, financial condition and results of operations. Furthermore, if the local government authorities in our target markets require real-name registration for users of our platform, the growth of our customer and end-user bases may slow down and our business, financial condition and results of operations may be adversely affected.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expansion of our international operations exposes us to significant regulatory, economic and political risks.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Expansion of our operations and customer base worldwide is essential to our growth strategy. We operate internationally with local offices in Europe, Singapore, India, China, Japan and Colombia among other locations.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Currently, Europe is the primary region where the downstream ultimate demand for our business originates. Other regions, including the United States, Latin America, China, and the rest of the Asia-Pacific region excluding China, contribute in a relatively balanced manner. While we are not overly reliant on any single regional market, adverse developments or challenges in an individual regional market due to various factors, such as the imposition of new tariffs or adjustments in existing tariffs or trade barriers, may nonetheless result in a slowdown or decline in our revenue growth.</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expect that our international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the imposition of new tariffs, or adjustments in existing tariffs or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will face risks in doing business internationally that could adversely affect our business, including:</w:t>
      </w:r>
    </w:p>
    <w:p>
      <w:pPr>
        <w:spacing w:after="0" w:line="225" w:lineRule="exact"/>
        <w:rPr>
          <w:sz w:val="20"/>
          <w:szCs w:val="20"/>
          <w:color w:val="auto"/>
        </w:rPr>
      </w:pPr>
    </w:p>
    <w:p>
      <w:pPr>
        <w:ind w:left="680" w:right="50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and the increased operations, travel, infrastructure and legal compliance costs associated with numerous international locations;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corporate culture resulting from a dispersed workforce;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our products in competitive international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restrictions;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greater difficulty in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and services for specific countries;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61"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understanding and complying with local laws, regulations and customs in foreign jurisdictions, including those governing competition, pricing, internet activities, cybersecurity and data protection, employment and labor laws, privacy, collection, use, processing, or sharing of personal information, intellectual property, and other activities important to our business;</w:t>
      </w:r>
    </w:p>
    <w:p>
      <w:pPr>
        <w:spacing w:after="0" w:line="179" w:lineRule="exact"/>
        <w:rPr>
          <w:rFonts w:ascii="Times New Roman" w:cs="Times New Roman" w:eastAsia="Times New Roman" w:hAnsi="Times New Roman"/>
          <w:sz w:val="18"/>
          <w:szCs w:val="18"/>
          <w:color w:val="auto"/>
        </w:rPr>
      </w:pPr>
    </w:p>
    <w:p>
      <w:pPr>
        <w:ind w:left="680" w:right="32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differing technical and environmental standards, privacy, cybersecurity, data protection and telecommunications regulations and certification requirements across multiple jurisdictions, which could prevent customers from deploying our products and services or limit their usage;</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understanding, and adapting our products and services to, local end users’ habits and preferences;</w:t>
      </w:r>
    </w:p>
    <w:p>
      <w:pPr>
        <w:spacing w:after="0" w:line="22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complying with current and future export controls and economic sanctions administered by the Department of Commerce Bureau of Industry and Security and the Treasury Department’s Office of Foreign Assets Control and other relevant sanctions authorities;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arising from sanctions and regulations from United States, the European Union or other foreign jurisdictions.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non-tariff trade barriers, such as quotas and local content rules;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limited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80" w:hanging="321"/>
        <w:spacing w:after="0" w:line="258"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 of our products and services in certain markets, increase the purchase price of raw materials and inventories, increase the cost of components and services used in our operations, including cloud infrastructure services, and increase the expenses of our international operations and expose us to foreign currency exchange rate risk or the cost and risk of hedging transactions if we choose to enter into such transactions in the future;</w:t>
      </w:r>
    </w:p>
    <w:p>
      <w:pPr>
        <w:spacing w:after="0" w:line="183"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 regulations, which might restrict or prohibit our conversion of other currencies into RMB and/or U.S. dollars;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across borders.</w:t>
      </w:r>
    </w:p>
    <w:p>
      <w:pPr>
        <w:spacing w:after="0" w:line="22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we operate across various countries and regions, we are subject to a complex web of data security laws and regulatory requirements. These laws and regulations vary significantly from one jurisdiction to another, and often, there can be overlaps or direct conflicts between the data protection frameworks of different countries and regions. Managing compliance with these diverse regulatory landscapes poses a substantial challenge. Failure to navigate these jurisdictional overlaps or address regulatory conflicts could result in a range of adverse outcomes, including but not limited to business interruptions, the termination of critical services in certain regions, or the imposition of fines and penalties. Additionally, any perceived or actual non-compliance could harm our reputation, eroding trust among customers, users and partners, and potentially leading to decreased adoption of our platform.</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failure to manage any of these risks successfully could harm our international operations, and adversely affect our business, operating results and financial condition. In some cases, compliance with the laws and regulations of one country could violate the laws and regulations of another country. As our global operations evolve, we cannot assure you that we are able to fully comply with the legal requirements of each jurisdiction and successfully adapt our business models to local market conditions. Due to the complexity involved in our international business expansion, we cannot assure you that we are or will be in compliance with all local laws.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disrupted our and our business partners’ operations and it, or any future health epidemic or other adverse public health developments, may continue to do so.</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COVID-19 pandemic has in the past caused temporary disruption to our operations and those of our customers, suppliers and other business partners. For example, the pandemic has caused significant logistical challenges to the global supply chains, resulting in disrupted shipping lanes, labor and material shortages and weakened consumer demand for smart devices, all of which have negatively impacted our business and results of operations. Travel restrictions and social distancing guidelines imposed by governments globally have also reduced international travels and in-person meetings, which in turn have limited our ability to engage in in-person marketing with brands, particularly those brands based in the United States and Europe. In addition, the economic downturn due to COVID-19 has adversely affected, and may continue to adversely affect our customers’ ability to pay and customer demand for and end user usage of our products and services, which would adversely affect our operating results and financial condition.</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the operation of our platform and infrastructure, our customers and end users may experience service outages and delays in the deployment of our products and services.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seek to maintain sufficient excess capacity on our cloud platform to meet the needs of all of our customers and end users. We also seek to maintain excess capacity to facilitate the rapid provision of new customer deployments and the expansion of existing customer deployments. In addition, we need to properly manage our technological operations infrastructure and cloud platform, and to respond to security threats, cyberattacks and performance and reliability problems that may arise from time to time, in order to support version control, changes in hardware and software parameters and the evolution of our products and services. However, the provision of new hosting infrastructure requires adequate lead time. We have experienced, and may in the future experience, system disruptions, outages and other performance problems. These types of problems may be caused by a variety of factors, including infrastructure changes, human or software errors, viruses, security attacks, fraud, spikes in customer and end user usage and denial of service issues. In some instances, we may not be able to identify the cause or causes of these performance problems within an acceptable period of time.</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Further, if our contractual and other business relationships with our cloud infrastructure providers are terminated, suspended, or suffer a material change to which we are unable to adapt, such as the elimination of services or features on which we depend, we could be unable to provide our platform and could experience significant delays and incur additional expense in transitioning customers to a different cloud infrastructure provider. Any difficulties these providers face, including the potential of certain network traffic receiving priority over other traffic (i.e., lack of net neutrality), may adversely affect our business, and we exercise little control over these providers, which increases our vulnerability to problems with the services they provide. Any disruptions, outages, defects, and other performance and quality problems with our platform or with our products and services and internet infrastructure on which they rely, or any material change in our contractual and other business relationships with our cloud infrastructure providers,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errors or any other problems associated with our products and services could diminish demand for our products or services, harm our business and results of operations and subject us to liability.</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customers may use our products and services for important aspects of their businesses or operations, and any errors, defects or disruptions to our products and services and any other performance problems with our products and services could damage our customers’ businesses and operations and, in turn, hurt our brand and reputation. We provide regular updates to our products and services, which have in the past contained, and may in the future contain, undetected errors, failures, vulnerabilities and bugs, especially when first introduced or released. Real or perceived errors, failures, bugs or security vulnerabilities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As a result, our reputation and our brand could be harmed, and our business, operating results and financial condition may be adversely affected.</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Moreover, the edge capabilities of IoT PaaS are embedded in modules manufactured by certain third-party suppliers. Our smart solutions for smart devices are delivered to our customers in the form of finished smart devices that are manufactured by third-party suppliers. We also engage third-party suppliers manufacturing the finished smart devices for our customers for whom we purchase and deliver finished smart devices based on their demands or requests. Such modules and finished smart devices may contain defects, errors or other product issues due to various factors such as design flaws, defects in software, raw materials, components or manufacturing difficulties, which can affect both the quality and the yield of the product, and since some of smart devices using our Smart Solution are electricity-related devices or to be used in a renewable energy-related scenarios, it is possible that these products could result in injury, whether by product malfunctions, defects, improper installation, or other causes. These events may negatively impact the performance of our platform, our products and services, and Tuya-powered smart devices, damage our reputation, harm our ability to attract new and existing customers, and incur significant support, repairment or replacement costs even if we can be reimbursed from the third-party suppliers.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significant portion of our revenue from a limited number of major customers and any loss of business from these customers could have a negative impact on our revenues and harm our business.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major customers. Our five largest customers in the aggregate accounted for approximately 11.7%, 13.1% and 13.0% of our total revenue in 2022, 2023 and 2024, respectively. Our ability to maintain close relationships with major customers is essential to the success of our business.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However, the purchase orders placed by specific customers may vary from period to period, and we typically do not have long-term purchase commitments from customers not enrolled in our membership program. As a result, most of our customers could reduce or cease their use of our products and services at any time without any penalty or termination charges. A major customer may not contribute the same level of our revenue in one year as in any previous years. In addition, reliance on any individual customer that contributes a significant portion of our revenue may increase such customer’s pricing leverage when negotiating relevant terms or contracts of our products or services.</w:t>
      </w:r>
    </w:p>
    <w:p>
      <w:pPr>
        <w:spacing w:after="0" w:line="187"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Many factors not within our control could cause the loss of, or reduction in, business or revenue from any customer, and these factors are not predictable. These factors include, among others, pricing pressure from competitors, a change in a customer’s business strategy, rising raw material prices, failure of a chip or module supplier to develop competitive products, and the imposition of new tariffs or adjustments in existing tariffs or trade barriers. Our customers may choose to pursue alternative technologies and develop alternative products in addition to, or in lieu of, our products, either on their own or in collaboration with others, including our competitors. The loss of any major customer, or a significant decrease in the volume of customer demand or the price at which we sell our products to customers, could materially adversely affect our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recorded net loss and net cash operating outflow in the past and may not be able to achieve or sustain profitability in the future.</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net loss in each year since our inception until 2023. We recorded net losses of US$146.2 million and US$60.3 million in 2022 and 2023, respectively. In 2024, we turned profitable for the first time, achieving a net profit of US$5.0 million. We expect to continue to devote significant resources to research and development activities and expect to continue to incur substantial sales and marketing expenses in acquiring and retaining customers and enhancing our brand awareness, and incur substantial general and administrative expenses including those associated with operating as a public company. We may also expect to incur more expenses related to general and administrative matters in order to improve our operation and management, or address both operational and non-operational issues, if any. We may not be able to increase our revenue enough to offset the increase in operating expenses resulting from these investments. If we are unable to sustain profitability, or if we are unable to achieve the revenue growth that we expect from these investments, the value of our business and stock may decrease.</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we recorded net cash operating outflow of US$70.7 million in 2022 and net cash operating inflow of US$36.4 million in 2023 and US$80.4 million in 2024. We may experience quarterly or yearly net cash operating outflow in the future if we fail to grow our business or properly manage our operating leverage. If so, our business, liquidity, financial condition and results of operations may be materially and adversely affected. There is no assurance that we will always generate sufficient net income or operating cash flows to meet our working capital requirements and repay our liabilities as they become due, due to a variety of factors. For actions we intend to take to finance our future working capital requirements and capital expenditures, see “Item 5. Operating and Financial Review and Prospects—5.B. Liquidity and Capital Resources.” There can be no assurance that we will be able to successfully take any of these actions in a timely manner, including prudently managing our working capital, or raising additional equity or debt financing on terms that are acceptable to us. Our failure to take these actions as and when necessary could materially adversely affect our liquidity, results of operations, financial condition and ability to operate.</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future monetization strategies will be successfully implemented or generate sustainable revenues and profit.</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developed a diversified revenue model and plan to explore additional opportunities to monetize our customer base and technology by, for example, promoting new AI related value-added services to end users or new SaaSs to enterprises customers to generate more subscription fees. If these efforts fail to achieve our anticipated results, we may not be able to increase or maintain our revenue growth. Specifically, in order to increase the number of our customers and end users and their levels of spending, we will need to address a number of challenges, including providing consistent quality products and services, continuing to innovate and stay ahead of our competitors, and improving the effectiveness and efficiency of our sales and marketing efforts. If we fail to address any of these challenges, we may not be successful in increasing the number of our customers and end users and their expenditures with us, which could have a material adverse impact on our business, financial condition and results of operations.</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may fluctuate from period to period, and if we fail to meet securities analysts’ and investors’ expectations, the trading price of our ADSs and Class A ordinary shares and the value of your investment could decline substantially.</w:t>
      </w:r>
    </w:p>
    <w:p>
      <w:pPr>
        <w:spacing w:after="0" w:line="15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Our operating results have fluctuated from period to period and may continue to fluctuate in the future as a result of a variety of factors, many of which are outside of our control and may be difficult to predict, correlate, or anticipate even when external indicators are present. For example, our business model is based in large part on our ability to accurately estimate customer demands, which may constrain our ability to forecast our revenue. If operating results for any particular period fall below securities analysts’ and investors’ expectations, then the trading price of our ADSs and Class A ordinary shares could decline substantially. Some factors that may cause our operating results to fluctuate from period to period include:</w:t>
      </w:r>
    </w:p>
    <w:p>
      <w:pPr>
        <w:spacing w:after="0" w:line="187"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increase revenue from customers and end users;</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services and our ability to introduce new products and services and enhance existing products and services;</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the actions of our competitors, including pricing changes, the introduction of new products and services, and expansion into new geographies;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6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operating expenses, including but not limited to the fees that we pay cloud infrastructure and AI large language model providers, chip and module suppliers, outsourcing manufacturing suppliers or OEMs who manufacture smart devices for our smart solutions business;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as a result of our negotiations with our larger customers or our optimization efforts or otherwise;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expansion and productivity of our sales force;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mix of products and services that our customers and end users use;</w:t>
      </w:r>
    </w:p>
    <w:p>
      <w:pPr>
        <w:spacing w:after="0" w:line="225" w:lineRule="exact"/>
        <w:rPr>
          <w:rFonts w:ascii="Times New Roman" w:cs="Times New Roman" w:eastAsia="Times New Roman" w:hAnsi="Times New Roman"/>
          <w:sz w:val="18"/>
          <w:szCs w:val="18"/>
          <w:color w:val="auto"/>
        </w:rPr>
      </w:pPr>
    </w:p>
    <w:p>
      <w:pPr>
        <w:jc w:val="both"/>
        <w:ind w:left="680" w:right="26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 user and customer demand as end users increase or decrease their demand for smart home products, or other products and services, due to the imposition or easing of stay-at-home, travel and other government mandates in response to disease outbreaks, such as the Covid-19 pandemic or future epidemics and public health crisis;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business, particularly in international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 and interest rates, particularly the U.S. federal funds rate;</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regulatory enforcement, in China, the United States or other countries and regions, that impact our ability to market, sell or deliver our products;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services on our platform;</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even if not supported by fact or based on isolated incidents, relating to cybersecurity events relating to our business operations or our unauthorized use, misuse or disclosure of personal information or other sensitive information;</w:t>
      </w:r>
    </w:p>
    <w:p>
      <w:pPr>
        <w:spacing w:after="0" w:line="161" w:lineRule="exact"/>
        <w:rPr>
          <w:rFonts w:ascii="Times New Roman" w:cs="Times New Roman" w:eastAsia="Times New Roman" w:hAnsi="Times New Roman"/>
          <w:sz w:val="18"/>
          <w:szCs w:val="18"/>
          <w:color w:val="auto"/>
        </w:rPr>
      </w:pPr>
    </w:p>
    <w:p>
      <w:pPr>
        <w:ind w:left="680" w:right="180" w:hanging="321"/>
        <w:spacing w:after="0" w:line="261"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and imposition of new tariffs or adjustments in existing tariffs or trade barriers that may adversely affect a prospective customer’s ability or willingness to adopt our products and services, delay a prospective customer’s adoption decision, reduce the revenue that we generate from their use of our products and services, or impact customer retention;</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and other tax determinations by authorities in jurisdictions where we conduct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mergers, acquisitions or other strategic transactions and integrating acquired business, technologies, services, products and other assets;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share-based compensation expenses.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occurrence of one or more of the foregoing and other factors may cause our operating results to vary significantly. As such, we believe that period-to-period comparisons of our operating results may not be meaningful and should not be relied upon as an indication of future performance. If we fail to meet or exceed the expectations of investors or securities analysts, then the trading price of our ADSs and Class A ordinary shares could fall substantially, and we could face costly lawsuits, including securities class action suits.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misuse of our platform, tools, and services.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provide an advanced platform and suite of software development tools, products, services and AI capabilities designed to enable developers to create innovative smart devices. While we strive to foster innovation and support the development of high-quality smart devices, there is a risk that developers might use our platform, tools, products, services, or AI capabilities improperly. Such improper use could include, but is not limited to, the creation of devices or applications that are harmful, infringe upon intellectual property rights, violate privacy regulations, or are used for illicit purposes.</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Despite implementing terms of service and usage policies, it is challenging to completely mitigate the risk of misuse by all users. Any failure to detect, prevent, or address misuse promptly could harm our reputation among customers, developers, and industry partners. Negative public perception, particularly if amplified by social media or traditional news outlets, could result in decreased user engagement, reluctance of developers to use our platform, and potential legal and regulatory challenges. Moreover, should any misuse of our platform lead to litigation, regulatory scrutiny, or government action, we could incur significant legal expenses and potential fines, further impacting our financial performance. Additionally, rectifying any issues arising from such misuse may require substantial resources and lead to service interruptions, undermining the trust of our user base and potentially causing long-term harm to our brand.</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effectively develop and expand our marketing and sales capabilities could harm our ability to increase our customer base and achieve broader market acceptance of our products and services.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relied on the adoption of our products and services by developers through our self-service portal as well as more targeted sales efforts. Our ability to further increase our customer base and achieve broader market acceptance of our platform will significantly depend on our ability to expand our marketing and sales operations. We plan to maintain an appropriate number of sales people both domestically and internationally. We also plan to dedicate appropriate resources to sales and marketing programs. All of these efforts will require us to invest significant financial and other resources and if they fail to attract additional customers and end users our business will be harmed.</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effective and qualified sales personnel to support our growth according to our business and product strategies.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products and platform, and our business model. If we are unable to hire and train sufficient numbers of effective and qualified sales personnel, our sales personnel do not reach significant levels of productivity in a timely manner, or our sales personnel are not successful in acquiring new customers and end users or expanding usage by existing customers and end users, our business will be harmed.</w:t>
      </w:r>
    </w:p>
    <w:p>
      <w:pPr>
        <w:spacing w:after="0" w:line="19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continued growth in our business is also dependent upon identifying, developing and maintaining strategic relationships with additional retail channels that can drive substantial revenue growth. If we fail to identify additional channel partners in a timely and cost-effective manner, or at all, or are unable to assist our current and future channel partners in independently selling and deploying our products and services, then our business, operating results and financial condition could be adversely affected.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developer and customer support may adversely affect our relationships with our developers and customers.</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High quality, ongoing developer and customer support are critical to the successful marketing, sale and adoption of our products and services. Many of our customers depend on our customer support team to assist them in deploying our products and services effectively, help them resolve post-deployment issues quickly and provide ongoing support. As we grow our developer and customer base, we will need to further invest in and expand our developer and customer support teams, which could strain our resources and reduce profit margins. If we do not devote sufficient resources or otherwise do not help our developers and customers adopt our products and services, quickly resolve any post-implementation matters, and provide effective ongoing developer and customer support and training, our ability to expand sales to existing and future developers and customers and our reputation would be adversely affected. Our support teams will face additional challenges associated with our international operations, including those associated with delivering support and documentation in multiple languages. We might also face additional difficulties associated with providing customer support and warranties to our customers as we may not be able to control customer service terms of third-party suppliers, such as outsourcing manufacturing suppliers or OEMs who manufacture smart devices for our smart solutions business. Increased demand for developer and customer support, without corresponding revenues, could increase costs and adversely affect our business, operating results and financial condition. Any failure to maintain high-quality developer and customer support, or a market perception that we do not maintain high-quality developer and customer support, could adversely affect our reputation, business, operating results and financial condition.</w:t>
      </w:r>
    </w:p>
    <w:p>
      <w:pPr>
        <w:spacing w:after="0" w:line="1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sanctioned or otherwise restricted from engaging in certain businesses due to heightened regulatory and public scrutiny, including in connection with our data processing practices and policies.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level of regulatory and political scrutiny on technology companies in general, and companies whose businesses involve the processing of personal information in particular, has increased significantly recently and may continue to increase globally. Legislators have enacted, and may continue to enact, new laws or regulatory agencies may promulgate new rules or regulations that are adverse to our business, or they may view matters or interpret or enforce laws and regulations differently than they have in the past or in a manner adverse to our business. Such legislative or regulatory scrutiny or action may create or enhance different or conflicting obligations on us from one jurisdiction to another. Additionally, we have been in the past and may in the future be the subject of scrutiny and press attention. Any related claims, allegations and investigations, even if without merit, may be very expensive to defend or respond to, involve negative publicity, and substantial diversion of management time and effort. These events could also result in reputational harm, significant judgments, fines and remedial actions against us, or require us to change our business practices, make product or operational changes, or delay or preclude planned transactions, product launches or improvements, any of which could harm our business, reputation, financial condition and operating results. For risks associated with our compliance with data privacy and data security laws in general, see “Item 3. Key Information—3.D. Risk Factors—Risks Related to Our Business and Industry—Compliance with the rapidly evolving landscape of global data privacy and data security laws may be challenging, and any failure or perceived failure to comply with such laws, or other concerns about our practices or policies with respect to the processing of personal information,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strong reputation and the value of “Tuya” brand. If we are unable to maintain and enhance our Tuya brand and increase market awareness of Tuya and its products and services, our business, operating results and financial condition may be adversely affected.</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must maintain and enhance the “Tuya” brand identity and increase market awareness of Tuya-powered smart devices generally and our products and services. The successful promotion of our brand will depend on our efforts to achieve widespread acceptance of our platform and products and services, attract and retain customers and our ability to maintain our current market leadership and successfully differentiate our products and services from competitors.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 In addition, independent industry analysts often provide reviews of our products and competing products and services, which may significantly influence the perception of our products and services. If these reviews are negative or not as strong as reviews of our competitors’ products and services, our brand may be harmed. Adverse publicity (whether or not justified) relating to events or activities attributed to us, members of our workforce, agents, or third parties we rely on, may tarnish our reputation and reduce the value of our brand. Our brand value also depends on our ability to provide secure and trustworthy products and services as well as our ability to protect and use end users’ data in a manner that meets their expectations. In addition, any security incident, including one that results in unauthorized disclosure of sensitive data, could cause material reputational harm. Damage to our reputation and loss of brand equity may reduce demand for our products and services and thus have an adverse effect on our future financial results, as well as require additional resources to rebuild our reputation and restore the value of the brands and could also reduce the trading price of our ADSs and Class A ordinary shares.</w:t>
      </w:r>
    </w:p>
    <w:p>
      <w:pPr>
        <w:spacing w:after="0" w:line="1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in protecting or defending our intellectual property rights, and any failure to protect our intellectual property could adversely affect our business, operating results and financial condition.</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 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In addition, we may be subject to allegation of infringement of other parties’ proprietary rights, and other parties may misappropriate our intellectual property rights, which would cause us to suffer economic or reputational damages. Because of the rapid pace of technological change, we cannot assure you that all of our proprietary technologies and similar intellectual property rights can be patented in a timely or cost-effective manner, or at all.</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maintain and facilitate certain technical measures and access control mechanisms internally to ensure secure access to our proprietary information by our employees and consultants. We also maintain internal policies requiring our employees and consultants to enter into confidentiality agreements to control access to our proprietary information. However, if our employees and consultants do not fully comply with these internal policies, such policies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the laws of some countries do not protect intellectual property and other proprietary rights to the same extent as the laws of the United States.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To the extent we expand our international activities, our exposure to unauthorized copying, transfer and use of our proprietary technology or information may increase.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Preventing any unauthorized use of our intellectual property is difficult and costly and the steps we take may be inadequate to prevent the misappropriation of our intellectual property.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spacing w:after="0" w:line="19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particular ways and means of protecting our intellectual property and proprietary rights, including business decisions about when to file patent applications and trademark applications, will be adequate to protect our 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spacing w:after="0" w:line="17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Unauthorized or improper disclosures of personal information, cyberattacks or other security incidents or data breaches that affect our networks or systems, or those of our cloud service providers or our customers, whether inadvertent or purposeful, could degrade our ability to conduct our business, compromise the integrity of our products and services, platform and data, result in significant data losses and the theft of our intellectual property, damage our reputation, expose us to liability to third parties and require us to incur significant additional costs to maintain the security of our networks and data which could adversely affect our business, financial condition and results of operations.</w:t>
      </w:r>
    </w:p>
    <w:p>
      <w:pPr>
        <w:spacing w:after="0" w:line="18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depend significantly on our technology infrastructure, IT systems, data and other equipment and systems to conduct virtually all of our business operations, ranging from our internal operations and research and development activities to our marketing and sales efforts and communications with our customers, end users, suppliers and business partners. In addition, our products and services collect and store data of customers and end users, some of which may involve sensitive information, including personal information, trade secrets and other proprietary information. Internal or external individuals or entities may attempt to penetrate our network security, or that of our platform, and to disrupt or cause harm to our business operations, including by sabotaging or misappropriating our personal or proprietary information or that of our customers, end users, employees, suppliers and business partners or to cause interruptions of our products and services and platform. Because the vulnerabilities and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While we take reasonable measures to protect the security of, and against unauthorized access to, our systems, as well as the security of personal information and proprietary information, it is possible that our security controls and other security practices we follow may not prevent the improper access to or disclosure of personal information or proprietary information. We also rely on systems provided by third parties, including our clients, which may also suffer security breaches or unauthorized access to or disclosure of personal information or proprietary information. Additionally, we depend on our employees and contractors to appropriately handle confidential and sensitive data, including customer data,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 providers could result in loss of confidential or proprietary information or personal information, damage to our reputation, loss of customers and end users, litigation, regulatory investigations, fines, penalties and other liabilities. Accordingly, if our cybersecurity measures or those of our customers fail to protect against unauthorized access, attacks (which may include sophisticated cyberattacks), the compromise or mishandling of data, or other misconduct or malfeasance, including by computer hackers, employees, contractors, vendors, customers and business partners, as well as software bugs, human error or technical malfunctions, then our reputation, business, operating results and financial condition could be adversely affected. Cyberattacks and other security incidents aimed at our products could lead to third-party claims that our product failures have caused damages to our customers or end users.</w:t>
      </w:r>
    </w:p>
    <w:p>
      <w:pPr>
        <w:spacing w:after="0" w:line="19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experience cyberattacks of varying degrees and other attempts to gain unauthorized access to our systems from time to time, which may include by way of malware, phishing attacks, ransomware attacks, denial of service attacks, brute-force attacks or other means, any of which may result in disclosure of confidential information and intellectual property, defective products, production downtimes or compromised data, including personal information. Such cybersecurity threats and attacks that we may be subject to may take a variety of forms ranging from individuals or groups of hackers to sophisticated organizations, including state-sponsored actors and may even culminate in “mega breaches” targeted against cloud services and other hosted software. As the techniques used to obtain unauthorized access or sabotage systems change frequently and generally are not identified until they are launched against a target, we may be unable to anticipate these attacks or to implement adequate preventative measures. We anticipate that increase in the frequency and sophistication of cyber and other security threats, particularly with respect to breaches of IoT devices, and our customers’ increasing demands for cyber and other security protections and standards in our products, may cause us to incur additional costs to comply with such demands.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unauthorized access, acquisition, use or destruction of information we collect, store, transmit or otherwise process, the unavailability of such information or other disruptions of our ability to provide solutions to our clients or end users, regardless of whether it originates or occurs on our systems or those of third party service providers or clients, could expose us to significant liability under our contracts, regulatory actions, litigation, investigations, remediation obligations, damage to our reputation and brand, theft of intellectual property, supplemental disclosure obligations, loss of customer, consumer and partner confidence in the security of our applications, destruction of information, indemnity obligations, impairment to our business, and resulting fees, costs, expenses, loss of revenues and other potential liabilities and harms to our business. In addition, if a high profile security breach occurs within our industry or even other related industries, our customers and potential customers may lose trust in the security of our systems and information even if we are not directly affected.</w:t>
      </w:r>
    </w:p>
    <w:p>
      <w:pPr>
        <w:spacing w:after="0" w:line="188"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Many statutory requirements, in China, the United States and the EU, as well as in other jurisdictions in which we operate, include obligations for companies to notify data protection authorities and individuals of security breaches involving certain personal information, which could result from breaches experienced by us or our external service providers. These laws are not consistent, and compliance in the event of a widespread data breach is difficult and may be costly. In addition, such mandatory disclosures could lead to negative publicity and may cause our current and prospective customers or end users to lose confidence in the effectiveness of our data security measures. See “—Compliance with the rapidly evolving landscape of global data privacy and data security laws may be challenging, and any failure or perceived failure to comply with such laws, or other concerns about our practices or policies with respect to the processing of personal information,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necessary permits and licenses to operate our business operations under applicable laws and regulations could materially and adversely affect our business and results of operations.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accordance with the laws and regulations in the jurisdictions in which we operate, we are required to maintain various approvals, licenses, permits and certifications in order to operate our business. Complying with such laws and regulations may require substantial expense, and any non-compliance may expose us to liability. We cannot guarantee that we will be able to obtain all requisite approvals, licenses, permits and certifications. Regulatory authorities who have extensive authority to supervise and regulate the industry we operate in may not interpret relevant laws and regulations the way we do. In addition, as the regulatory regime for the IoT and related industries in China and other jurisdictions in which we operate continues to evolve, new laws, regulations and regulatory requirements are promulgated and implemented from time to time, and the interpretation and application of existing laws, regulations and regulatory requirements are subject to changes. We may be required to obtain approvals, licenses, permits and certifications that we do not currently have for our existing business or new scope of business that we may expand into in the future. In the event of non-compliance, we may have to incur significant expenses and divert substantial management time to rectify the incidents. In the future, if we fail to obtain all the necessary approvals, licenses, permits and certifications required by relevant laws and regulations or if we are deemed to have conducted business operations requesting certain approvals, licenses, permits and certifications without having one, we may be subject to fines or the suspension of operations of the relevant business segments or facilities that do not have all the requisite approvals, licenses, permits and certifications, which could materially and adversely affect our business and results of operations. We may also experience adverse publicity arising from non-compliance with government regulations, which would negatively impact our reputation.</w:t>
      </w:r>
    </w:p>
    <w:p>
      <w:pPr>
        <w:spacing w:after="0" w:line="19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Furthermore, in the event that we are required to renew our existing licenses or permits or acquire new ones, whether as a result of the promulgation of new laws and regulations or otherwise, we cannot assure you that we will be able to meet the requisite conditions and requirements, or that the relevant government authorities will always, if ever, exercise their discretion in our favor. There may also be delays on the part of government authorities in reviewing our applications and granting approvals, whether due to the lack of human resources or the imposition of new rules, regulations, government policies or their implementation, interpretation and enforcement. If we are unable to obtain, or experience material delays in obtaining, necessary government approvals, our operations may be substantially disrupted, which could materially and adversely affect our business, financial condition and results of operations.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litigations and disputes relating to alleged infringement of intellectual property rights, which could adversely affect our business, operating results and financial condition.</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industry. Our future success depends, in part, on not infringing the intellectual property rights of others. Our competitors or other third parties may in the future claim that our products and services or platform and underlying technology infringe on their intellectual property rights, and we may be found to be infringing 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products and services, require us to develop alternative non-infringing technology or require that we comply with other unfavorable terms, any of which could have a material adverse effect on our business and results of operations. We may also be obligated to indemnify our customers or business partners in connection with any such litigation and to obtain licenses or modify our products and services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operating results and financial condition. In addition, even if our products and services or platform and underlying technology do not infringe upon any intellectual property rights of others, we cannot avoid the harm of malicious or frivolous intellectual property litigations that any third party may bring against us, such as costs we may incur in defending ourselves in these litigations.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the industries in which we operate. We must provide competitive compensation packages and a high-quality work environment to hire, retain and motivate employees. If we are unable to retain and motivate our existing employees and attract qualified personnel to fill important positions, we may be unable to manage our business effectively, including the development, marketing and sale of our products and services, which could adversely affect our business, operating results and financial condition. To the extent we hire personnel from competitors, we also may be subject to allegations that they have been improperly solicited or divulged proprietary or other confidential information.</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may evaluate and consider potential strategic transactions, including acquisitions of, or investments in, businesses, technologies, services, products and other assets in the future. We also may enter into relationships with other businesses to expand our products and services, which could involve preferred or exclusive licenses, additional channels of distribution, discount pricing or investments in other companies.</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8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 (i) issue additional equity securities that would dilute our existing shareholders; (ii) use cash that we may need in the future to operate our business; (iii) incur large charges or substantial liabilities; (iv) incur debt on terms unfavorable to us or that we are unable to repay; (v) encounter difficulties retaining key employees of the acquired company or integrating diverse offerings or business cultures; or (vi) become subject to adverse tax consequences, substantial depreciation or deferred compensation charges. The occurrence of any of these foregoing could adversely affect our business, operating results and financial condition.</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about us, our products and services, operations and our directors, management and business partners may adversely affect our reputation and business.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from time to time, receive negative publicity, including negative internet and blog postings, ratings or comments on social media platforms or through traditional media about our company, our business, our directors and management, our brands, our products and services, our suppliers or other business partners. Negative publicity about us, such as alleged misconduct by our employees, unauthorized use, misuse or release of personal information or other sensitive information, unethical business practices, or rumors relating to our business, management, employees, or our shareholders and affiliates, or negative publicity about other companies that use similar brand names as ours, can harm our reputation, business and results of operations. Any such allegations, even if not supported by facts or based on isolated incidents, may lead to inquiries, regulatory investigations or legal actions against us. Such actions could substantially damage our reputation and cause us to incur significant costs to defend ourselves. Certain of such negative publicity may be the result of malicious harassment or unfair competition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may receive complaints from our customers and end users on our products and services, pricing and customer support. If we do not handle customer complaints effectively, our brand and reputation may suffer, our customers and end users may lose confidence in us and they may reduce or cease their use of our products and services. Our success depends, in part, on our ability to generate positive customer feedback and minimize negative feedback on social media channels where existing and potential customers and end users seek and share information. If actions we take or changes we make to our products and services or platform upset these customers and end users, their online commentary could negatively affect our brand and reputation. Complaints or negative publicity about us, our products and services or platform could materially and adversely impact our ability to attract and retain customers and end users, our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operating results.</w:t>
      </w:r>
    </w:p>
    <w:p>
      <w:pPr>
        <w:spacing w:after="0" w:line="22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have in the past experienced, and expect in the future to continue to experience, seasonal fluctuations in our revenues and sales from time to time as a result of the holiday season, customers’ buying patterns, and changes in the business and economic environment that are outside our and our customers’ control. We have experienced lower growth in revenues in the first quarter as a result of the reduced capacity of OEM customers located in China due to the Lunar New Year. The rapid growth in our business has offset this seasonal trend to some extent; however, we expect the historical seasonality trends to continue to impact our results of operations and financial condition. As a result, our results of operations and the trading price of our ADSs and Class A ordinary shares may fluctuate from time to time due to seasonality.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relating to the real properties that we lease.</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lease office spaces from third parties for our operations in China, the United States, Europe, Australia, India, Japan and Colombia, among other locations. Any limitations on the leased properties, or lessors’ title to such properties, may impact our use of the offices, or in extreme cases, result in relocation, which may in turn adversely affect our business operations. In addition, certain lease agreements of our leased properties in China have not been registered with the relevant PRC government authorities as required by PRC law. Therefore, we may be exposed to potential fines if we fail to rectify within the prescribed time period after receiving notices from the relevant PRC government authorities. Furthermore, the lessors of certain of our leased properties have not provided us with valid property ownership certificates or other documentation proving their right to lease those properties to us. As of the date of this annual report, we are not aware of any material actions or claims raised by any third parties challenging our use of these properties we currently lease, nor have we received any notices from the PRC government authorities. If our lessors are not the owners of the properties or they have not obtained consents from the owners or their lessors or permits from the relevant government authorities, our leases could be invalidated. If leases are invalid, we may face the risk of moving out of the leased property.</w:t>
      </w:r>
    </w:p>
    <w:p>
      <w:pPr>
        <w:spacing w:after="0" w:line="188"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products and services, and could adversely affect our business, operating results and financial condition.</w:t>
      </w:r>
    </w:p>
    <w:p>
      <w:pPr>
        <w:spacing w:after="0" w:line="15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future success of our business depends on the continued use of the internet as well as continued demand for smart devices and our products and services. The PRC and foreign governments have in the past adopted, and may in the future adopt, laws or regulations affecting the use of the internet as a commercial medium.</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Almost all access to the internet in China is maintained through state-owned telecommunication operators under the administrative control and regulatory supervision of the Ministry of Industry and Information Technology (the “MIIT”). In addition, the national networks in China are connected to the internet through state-owned international gateways, which are the only channels through which a domestic user can connect to the internet outside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Changes in these laws or regulations could require us to modify our products and services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and services could decline, which could adversely affect our business, operating results and financial condition.</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insufficient computing resources, transmission bandwidth and storage space, which could result in disruptions and our business, results of operations and financial condition could be adversely affected.</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and end users.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Such a failure could result in our inability to acquire new customers demanding capacity not available on our platform. See “ - We rely upon third-party providers of cloud-based infrastructure to host our platform. Any disruption in the operations of these third-party providers, limitations on capacity or interference with our use could adversely affect our business, financial condition and results of operations.”</w:t>
      </w:r>
    </w:p>
    <w:p>
      <w:pPr>
        <w:spacing w:after="0" w:line="18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rely on the stable performance of servers, networks, IT infrastructure and data processing systems, and any disruption to such servers, networks, assets or systems due to internal or external factors could diminish demand for our products and services, harm our business, our reputation and results of operations and subject us to liability.</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rely in part upon the stable performance of our servers, networks, IT infrastructure and data processing systems for provision of our products and services. Disruptions to such servers, networks, assets or systems may occur due to internal or external factors, such as inappropriate maintenance, defects in the servers, cyberattacks or other malicious attacks or hacks targeted at us, occurrence of catastrophic events or human errors. Such disruptions could result in negative publicity, loss of or delay in market acceptance of our products and services, loss of competitive position, lower customer retention or claims by customers for losses sustained by them, or loss, destruction or unauthorized use of, or access to, data (including personal information for which we may incur liability under applicable data protection laws). In such an event, we may need to expend additional resources to bring the incident to an end, mitigate the liability associated with the fallout of such incident, make notifications to regulators and individuals affected, replace damaged systems or assets, defend ourselves in legal proceedings and compensate customers or end users. In addition, we may not carry insurance to compensate us for any losses that may result from claims arising from disruption in servers. As a result, our reputation and our brand could be harmed, and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and provision of AI could lead to operational or reputational damage, competitive harm, legal and regulatory risk and additional costs.</w:t>
      </w:r>
    </w:p>
    <w:p>
      <w:pPr>
        <w:spacing w:after="0" w:line="15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business involves the use of artificial intelligence (“AI”), including generative AI, large language models (“LLM”), and other AI related technologies. The use of AI, a relatively new and emerging technology still in its early commercial stages, introduces additional risk, such as damage to our reputation, competitive position and business, legal and regulatory risks and additional costs. For example, if any of our employees, contractors, vendors or service providers use any third-party AI-powered software relating to our business or the services they provide to us, it may lead to the inadvertent disclosure of our confidential information. This could include the unintentional release of our data into publicly available third-party training sets, potentially undermining our ability to protect and enforce our intellectual property or confidential information, harming our competitive position and business.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any content created by us using AI tools or capabilities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and may affect our ability to develop related products, services, innovations and features. For example, the output produced by AI tools or capabilities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To the extent that we do not have sufficient rights to use the data or other material or content used in or produced by the AI tools or capabilities used in our business, or if we experience cybersecurity breaches or incidents in connection with our use of AI, it could adversely affect our reputation and expose us to legal liability or regulatory risk, including with respect to third-party intellectual property, privacy, publicity, contractual or other rights. Further, our competitors or other third parties may incorporate AI into their products more quickly or more successfully than us, which could impair our ability to compete effectively.</w:t>
      </w:r>
    </w:p>
    <w:p>
      <w:pPr>
        <w:spacing w:after="0" w:line="19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we are committed to building an AIoT platform-level enterprise service offering, we have integrated AI capabilities into our platform to empower developers to more easily and autonomously deploy AI functionalities into their smart devices through the design and development process. This lowers the technical threshold for developing AI-enabled devices and enables innovative applications to reach end users or downstream scenarios. However, given the early stage of AI commercialization, these capabilities may be expensive or cost-inefficient, and the AI features may fail to meet the expectations of developers, customers, end users, or other stakeholders. As a result, related products, solutions, or services may generate lower-than-expected revenue or fail to meet market or investor expectations.</w:t>
      </w:r>
    </w:p>
    <w:p>
      <w:pPr>
        <w:spacing w:after="0" w:line="18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In addition, we acquire AI capabilities both through our own research and development activities and through third-party procurement, such as purchasing tokens from LLM providers. These investments in AI may increase our operating expenses, and we cannot guarantee that the resulting products or technological capabilities will be successfully monetized. As a result, such forward-looking investments could negatively impact our operating leverage and profitability.</w:t>
      </w:r>
    </w:p>
    <w:p>
      <w:pPr>
        <w:spacing w:after="0" w:line="180"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As the utilization of AI becomes more prevalent, we anticipate that it will continue to present new or unanticipated ethical, reputational, technical, operational, legal, competitive and regulatory issues, among others. We expect that such utilization of AI will require additional resources, including the incurrence of additional costs, to develop and maintain our platform offerings, services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the use of AI could adversely affect our use and provision of AI in our products, services and business.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the regulatory framework for machine learning technology, generative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our use and provision of AI in our products, services and business.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For example, in Europe, the EU’s Artificial Intelligence Act (the “AI Act”) entered into force on August 1, 2024 and established, among other things, a risk-based governance framework for regulating AI systems operating in the EU. This framework categorizes AI systems, based on the risks associated with such AI systems’ intended purposes. While certain codes of practice and implementing legislation related to the AI Act have not yet been finalized, and certain provisions of the AI Act have not yet come into effect, there is a risk that our current or future AI-powered software or applications may obligate us to comply with the applicable requirements of the AI Act, which may impose additional costs on us, increase our risk of liability or adversely affect our business. For example, the AI Act prohibits certain uses of AI systems and places numerous obligations on providers and deployers of certain AI systems, with heightened requirements placed on AI systems that are considered high risk or which qualify as general purpose AI systems. This regulatory framework is expected to have a material impact on the way AI is regulated in the EU, and together with developing regulatory guidance and judicial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18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from time to time, rely on intellectual properties that we license from third parties, including product designs that are integrated with our internally developed products.</w:t>
      </w:r>
    </w:p>
    <w:p>
      <w:pPr>
        <w:spacing w:after="0" w:line="11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may, from time to time, rely on intellectual properties that we license from third parties, including third-party product design, which is used with certain of our products. We cannot be certain that our licensors are not infringing the intellectual property rights of third parties or that our licensors have sufficient rights to the licensed intellectual property in all jurisdictions in which we may sell our products. Some of our agreements with our licensors may be terminated for convenience by them. If we are unable to continue to license any of these intellectual properties on commercially reasonable terms, we will face delays in releases of certain products or we will be required to redesign our products until equivalent, non-infringing design can be licensed or developed and integrated into our current products. This effort could take significant time (during which we would be unable to continue to offer our affected products) and expense and may ultimately not be successful. In addition, our inability to obtain certain licenses or other rights might require us to engage in litigation regarding these matters, which could have a material adverse effect on our business, results of operations, prospects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current and former directors and officers were named as defendants in a putative shareholder class action lawsuit, and may, from time to time, be the subject of shareholder class action lawsuits, which could have a material adverse impact on our business, financial condition, results of operations, cash flows and reputation.</w:t>
      </w:r>
    </w:p>
    <w:p>
      <w:pPr>
        <w:spacing w:after="0" w:line="13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August 2022, we and certain of our current and former directors and officers were named as defendants in a securities class action lawsuit, described in “Item 8. Financial Information—A. Consolidated Statements and Other Financial Information—Legal and Administrative Proceedings.” On March 7, 2025, the court granted our motion for judgment on the pleadings, concluding that the plaintiffs failed to identify any false or misleading statements in the Company’s registration statement. On March 31, 2025, the court entered judgment in favor of us and all other defendants, dismissing all claims asserted in the action with prejudice.</w:t>
      </w:r>
    </w:p>
    <w:p>
      <w:pPr>
        <w:spacing w:after="0" w:line="1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or certain of our directors or officers may, from time to time, be a target for lawsuits in the future, including putative class action lawsuits brought by shareholders and lawsuits against our directors and officers as a result of their position in other public companies. The existence of such cases and any adverse outcome of these cases, including any appeal of a judgment, could have a material adverse effect on our business, reputation, financial condition, results of operations, cash flows as well as the trading price of our securities. Resolution of these matters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in the ordinary course of our business. If the outcomes of these proceedings are adverse to us, they could have a material adverse effect on our business, results of operations and financial condition.</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except for the putative shareholder class action lawsuit described in “Item 8. Financial Information—A. Consolidated Statements and Other Financial Information—Legal and Administrative Proceedings,” we are not a party to any other material legal or administrative proceedings. However, we or our directors, management, employees and shareholders have been, and may from time to time in the future be, subject to or involved in various claims, disputes, lawsuits, other legal and administrative proceedings and fines. Lawsuits and other administrative or legal proceedings can involve substantial costs, including the costs associated with investigation, litigation and possible settlement, judgment, penalty or fine. In addition, lawsuits and other legal and administrative proceedings may be costly and time consuming and may require a commitment of management and personnel resources that will be diverted from our normal business operations. There may also be negative publicity associated with litigation that could decrease customer acceptance of our product offerings, regardless of whether the allegations are valid or whether we are ultimately found liable.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been, and may, from time to time, be involved in class action lawsuits in the United States in the future. Such lawsuits could divert a significant amount of our management’s attention and other resources from our business and operations, which could harm our results of operations and require us to incur significant expenses to defend the lawsuits. The threat of such claims and the costs associated with defending them could have a material adverse effect on business, results of operations and reputation. See “—We and certain of our current and former directors and officers were named as defendants in a putative shareholder class action lawsuit, and may, from time to time, be the subject of shareholder class action lawsuits, which could have a material adverse impact on our business, financial condition, results of operations, cash flows and reputation.”</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inventory obsolescence, shortage or excess risks. Our results of operations could be materially harmed if we are unable to optimally manage our inventories to meet our operational needs.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inventories consist mainly of (i) modules and chips relating to our IoT PaaS, and (ii) finished smart devices purchased from manufacturers or manufactured by manufacturing suppliers as part of our Smart Solution business. As of December 31, 2023 and 2024, we had inventories, net, of US$32.9 million and US$23.8 million respectively. Maintaining an optimal level of inventory is important for the success of our business. However, we are exposed to inventory obsolescence and inventory shortage risks as a result of a variety of factors beyond our control, including changes of customer needs due to various factors such as the imposition of new tariffs or adjustments in existing tariffs or trade barriers and the inherent uncertainty of the success of product launches. The inventory write-downs, net, increased US$4.1 million in 2022, decreased US$0.01 million in 2023, and decreased US$1.0 million in 2024 as a result of the net impact of current year provision and sales or uses of inventories with reserve. We regularly track our inventory to keep it at a level sufficient to fulfill customers’ orders. We also proactively assess changes in market conditions and pre-store strategic raw materials in anticipation of potential supply shortage. However, we cannot assure you that we can accurately predict these trends and events and avoid understocking or overstocking inventory, or that our inventory management measures will be implemented effectively so that we will not have significant levels of inventory obsolescence, shortage or excess. As a result of unforeseen or sudden events, we may experience slow movement of our inventories, fail to utilize or sell our inventories swiftly, or face the risk of inventory obsolescence, and our business, results of operations, financial condition and prospects may be adversely affected.</w:t>
      </w:r>
    </w:p>
    <w:p>
      <w:pPr>
        <w:spacing w:after="0" w:line="1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and response to business opportunities, and this capital might not be available on favorable terms, if at all.</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the long-term operating and development of our business and may require additional funds. In particular, we may seek additional funds to develop new products and new features such as AI capabilities, enhance our platform and existing products, expand our operations, including our sales and marketing efforts and our global presence, and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ADSs and Class A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uncertainties associated with the regulations on listing and securities offerings conducted overseas by China-based companies proposed and/or enacted in China and the United States.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PRC government authorities have been exerting more oversight and control over listings and offerings conducted overseas by Chinese companies and investment in overseas-listed China-based companies. For example, on December 28, 2021, the CAC and several other administrations jointly promulgated the Cybersecurity Review Measures, which provide, among other things, that a “network platform operator” holding over one million users’ personal information shall apply for a cybersecurity review when listing its securities “in a foreign country.” In November 2021, the CAC promulgated the Draft Cyber Data Security Regulation, which states that a cybersecurity review will be required for a listing in foreign countries contemplated by a data processor who processes the personal information of at least one million users or the listing of a data processor in Hong Kong which affects or may affect the national security. Furthermore, on February 17, 2023, the CSRC released the Trial Administrative Measures of Overseas Securities Offering and Listing by Domestic Companies (the “Trial Measures,” and together with relevant supporting guidelines promulgated by the CSRC, the “New Overseas Listing Rules”). The New Overseas Listing Rules set out new filing procedures for China-based companies seeking direct or indirect listings and offerings in overseas markets and came into force since March 31, 2023. For details, see “Item 3. Key Information— Recent PRC Regulatory Developments—CSRC Approval for Issuance and Listing of Securities Overseas” and “Item 4. Information on the Company—4.B. Business Overview—Regulation—Regulation Relating to M&amp;A and Overseas Listing.”</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To the extent we are required to obtain any approvals, complete any filings and/or other administrative procedures or satisfy any other regulatory requirements under the above-mentioned proposed laws and regulations or any new regulatory requirements in the PRC in order to maintain the listing status of the ADSs or conduct listing or offering of our securities overseas, we cannot assure you that we will be able to meet these requirements in a timely manner, or at all. The PRC regulatory agencies may also take further actions requiring us, or making it advisable for us, not to proceed with such securities offering or maintain the listing status of the ADSs. If we proceed with any future listing or offering of our securities without obtaining the required approval, completing the necessary filings or other administrative procedures, or satisfying other regulatory requirements, we may face fines and other regulatory actions imposed by competent PRC regulatory agencies, and our ability to raise capital could be significantly limited or completely hindered, which could have a material adverse effect on our business, financial condition and results of operations or cause the value of our securities to significantly decline or be worthless. See also “—Risks Related to Doing Business in China—The filing, approval or other administration requirements of the CSRC, the CAC or other PRC government authorities may be required to maintain our listing status or conduct future offshore securities offerings under PRC law” and “—Risks Related to Doing Business in China—The uncertainties in the PRC legal system could materially and adversely affect us.”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as part of a continued regulatory focus in the United States on access to audit and other information currently protected by national law in some jurisdictions, such as those in China, the U.S. Holding Foreign Companies Accountable Act (the “HFCAA”) was enacted on December 18, 2020. Trading in our securities on U.S. markets, including the NYSE, will be prohibited under the HFCAA if the PCAOB determines that it is unable to inspect or investigate completely registered public accounting firms headquartered in mainland China and Hong Kong, including our auditor as an independent registered public accounting firm, for two consecutive years. If this is to happen, our liquidity and ability to raise additional capital will be materially and adversely affected. See “—Risks Related to Doing Business in China—Trading in our securities will be prohibited under the HFCAA if the PCAOB determines that it is unable to inspect or investigate completely registered public accounting firms headquartered in mainland China and Hong Kong, including our auditor as an independent registered public accounting firm, and as a result, U.S. national securities exchanges, such as the NYSE, may determine to delist our securities.”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 U.S. federal funds rate changes and Federal Reserve interest rate adjustments and such fluctuations and changes could adversely affect our business, operating results and financial condition.</w:t>
      </w:r>
    </w:p>
    <w:p>
      <w:pPr>
        <w:spacing w:after="0" w:line="159"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As we continue to expand our international operations, we will become increasingly exposed to the effects of fluctuations in currency exchange rates. The majority of our cash generated from revenue is denominated in Renminbi,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impact our operating results. We recorded other comprehensive loss from foreign currency translation of US$14.9 million in 2022, US$2.7 million in 2023 and US$2.6 million in 2024.</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Tuya Inc. is a holding company and we rely mainly on dividends paid by our wholly foreign-owned enterprise in China for our cash needs. Any significant fluctuation of Renminbi against the U.S. dollar could adversely affect our business, operating results and financial condition, and the value of any dividends payable in U.S. dollars. To the extent that we need to convert U.S. dollars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and the ADSs or for other business purposes, appreciation of the U.S. dollar against the Renminbi would have a negative effect on the U.S. dollar amount.</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hold a substantial amount of our cash reserves in U.S. dollars. To manage our funds, we utilize various financial instruments, such as treasury securities, with a focus on ensuring the safety of our principal amount. Since 2023, the Federal Reserve has maintained the federal funds rate within the target range of 4.5% to 5.50%, a level that is elevated compared to the average rates seen in the past decade. This environment has allowed us to benefit from relatively higher interest income on our U.S. dollar-denominated deposits. However, recent communications from the Federal Reserve indicate an adjustment in its expectations for future interest rates, with a tendency towards lowering rates in response to evolving economic conditions. Such a policy shift poses risks to our financial strategy, as a reduction in interest rates would directly impact the yield on our interest-sensitive assets. A significant decrease in interest income generated from our U.S. dollar deposits could adversely affect our financial performance.</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 value measurements of certain financial assets and liabilities inherently involve a certain degree of uncertainty, and any adverse movements in their fair value may directly affect our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Some of our financial assets and liabilities are measured at fair value, such as the short-term investments and long-term investments measured at fair value. As of December 31, 2023 and 2024, the fair value of short-term investments was US$291.0 million and US$57.5 million, and the fair value of long-term investments was US$10.1 million and US$7.1 million, respectively. For financial reporting purposes, fair value measurements of these financial assets and liabilities are categorized into level 1, 2 or 3, based on, among other things, the observability and significance of the inputs used in the valuation technique. The fair value of financial assets and liabilities classified in levels 1 and 2 is determined based on observable inputs, while the determination of the fair value of level 3 financial assets and liabilities is based on valuation techniques and various assumptions of inputs that are unobservable and which inherently involve a certain degree of uncertainty. In 2022, 2023 and 2024, our fair value change on level 3 investments was in loss of US$9.5 million, US$7.8 million and US$0.2 million, respectively.</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 range of factors, many of which are beyond our control, may influence and cause adverse changes to the estimates we use and thereby affect the fair value of these assets and liabilities. These factors include, but are not limited to, general economic conditions, changes in market interest rates and stability of the capital markets. Any of these factors, as well as others, could cause our estimates to vary from actual results and cause the fair value of our financial assets and liabilities to fluctuate substantially, which may in turn have a material adverse effect on our financial position and results of operations. The fair value of our short-term investments and long-term investments measured at fair value is subject to changes beyond our control, and any adverse movements in their fair value may directly affect our results of operations. If the fair value of our short-term investments and long-term investments measured at fair value were to fluctuate, our business, financial condition and results of operations could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credit risk related to defaults of customers, and any significant default on our accounts receivable could materially and adversely affect our liquidity, financial condition and results of operations.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credit risk related to defaults of our various customers. As of December 31, 2023 and 2024, our accounts receivable, net were US$9.2 million and US$7.6 million, respectively. Our accounts receivable turnover days were 21 and 15 in 2023 and 2024, respectively. We may not be able to collect all such accounts receivable due to a variety of factors that are outside of our control. If the relationship between us and any of our customers is terminated or deteriorated, or if any of our customers experience financial difficulties to the extent it affects their ability to make timely payments, our corresponding accounts receivable might be adversely affected in terms of recoverability. Our accounts receivable balance may continue to grow alongside our business expansion, which may increase our risks for uncollectible receivable. If we are unable to timely collect our accounts receivable from our customers, our business, financial condition and results of operations may be materially and adversely affected.</w:t>
      </w:r>
    </w:p>
    <w:p>
      <w:pPr>
        <w:spacing w:after="0" w:line="18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we may be unable to accurately or timely report our results of operations, meet our reporting obligations or prevent fraud, and investor confidence and the market price of our ADSs and Class A ordinary shares may be materially and adversely affected.</w:t>
      </w:r>
    </w:p>
    <w:p>
      <w:pPr>
        <w:spacing w:after="0" w:line="175"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or Section 404, requires that we maintain internal control over financial reporting and disclosure controls and procedures. An effective internal control environment is necessary to enable us to produce reliable financial reports and is an important component of our efforts to prevent and detect financial reporting errors and fraud. We are a public company subject to the Sarbanes-Oxley Act of 2002. Section 404 requires that we include a report from management on the effectiveness of our internal control over financial reporting in our annual report on Form 20-F beginning with the annual report for the fiscal year ended December 31, 2022. In addition, once we cease to be an “emerging growth company” as such term is defined in the JOBS Act, our independent registered public accounting firm must attest to and report on the effectiveness of our internal control over financial reporting.</w:t>
      </w:r>
    </w:p>
    <w:p>
      <w:pPr>
        <w:spacing w:after="0" w:line="19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the course of preparing and auditing our consolidated financial statements for the year ended December 31, 2024, we and our independent registered public accounting firm did not identify a material weakness in our internal control over financial reporting. Our management has concluded that our internal control over financial reporting was effective as of December 31, 2024. See “Item 15. Controls and Procedures.”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the future, however, if we fail to maintain an effective system of internal control over financial reporting, our management may not be able to conclude that we have effective internal control over financial reporting at a reasonable assurance level.</w:t>
      </w:r>
    </w:p>
    <w:p>
      <w:pPr>
        <w:spacing w:after="0" w:line="162" w:lineRule="exact"/>
        <w:rPr>
          <w:sz w:val="20"/>
          <w:szCs w:val="20"/>
          <w:color w:val="auto"/>
        </w:rPr>
      </w:pPr>
    </w:p>
    <w:p>
      <w:pPr>
        <w:ind w:right="46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our reporting obligations may place a significant strain on our management, operational and financial resources and systems for the foreseeable future. We may be unable to timely complete our evaluation testing and any required remediation. Furthermore,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w:t>
      </w:r>
    </w:p>
    <w:p>
      <w:pPr>
        <w:spacing w:after="0" w:line="183"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Even if our management concludes that our internal control over financial reporting is effective,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relevant requirements differently from us.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and Class A ordinary shares. Moreover, we may need to incur additional costs and use additional management and other resources as our business and operations further expand or in an effort to remediate any significant control deficiencies that may be identified in the future.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pandemics and other natural catastrophic events, and to interruption by man-made problems such as power disruptions or terrorism.</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flood or pandemic, occurring at our headquarters, at one of our local offices and facilities or where a business partner is located could adversely affect our business, operating results and financial condition. Further, if a natural disaster or man-made problem were to affect our service providers, this could adversely affect the ability of our customers and end users to use our products and services. In addition, natural disasters and acts of terrorism could cause disruptions in our or our customers’ businesses, national economies or the world economy as a whole, as is the case due to the COVID-19 pandemic. We also rely on our network and third-party infrastructure and enterprise applications and internal technology systems for our engineering, sales and marketing, and operations activities.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computer malware, viruses and computer hacking, fraudulent use attempts and phishing attacks have become more prevalent in our industry, have occurred on our platform and have impacted some of our customers in the past and may occur on our platform in the future. Any failure to maintain performance, reliability, security, integrity and availability of our products and services and technical infrastructure, including third-party infrastructure and services upon which we rely, may expose us to significant consequences, including legal and financial exposure and loss of customers and end users, and give rise to litigation, consumer protection actions, or harm to our reputation, and as a result, may hinder our ability to retain existing customers and end users and attract new customers and end users.</w:t>
      </w:r>
    </w:p>
    <w:p>
      <w:pPr>
        <w:spacing w:after="0" w:line="18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completely cover the risks related to our business and operations, which could expose us to significant costs and business interruptions.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Insurance products available in the PRC and many other markets in which we operate currently are not as extensive as those offered in more developed regions. Consistent with customary industry practice in the markets in which we operate, our business insurance is limited, and we do not carry key-man life insurance. Any uninsured damage to our facilities or technology infrastructures or disruption of our business operations could require us to incur substantial costs and divert our resources, which could have an adverse effect on our business, financial condition and results of operations. For more information, see “Item 4. Information on the Company—4.B. Business Overview—Insurance.” Furthermore, lack of any insurance coverage, or any failure of any insurance policy providing adequate coverage to cover any potential claims under such policy could leave us exposed to uninsured risk and could have a material adverse effect on our business or financial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share-based awards, which may increase our share-based compensation and may have an adverse effect on our results of operations.</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December 2014, we adopted the 2015 Equity Incentive Plan (the “2015 Plan”), which was amended in July 2020, February 2021 and June 2022. In June 2024, we adopted the 2024 Equity Share Scheme (the “2024 Share Scheme”). We account for compensation costs for all share-based awards using a fair-value-based method and recognize expenses in our consolidated statements of comprehensive loss in accordance with U.S. GAAP. For details of the 2015 Plan and the 2024 Share Scheme, see “Item 6. Directors, Senior Management and Employees—6.B. Compensation—Share Incentive Plan.”</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2022, 2023 and 2024, we recorded share-based compensation expenses of US$69.0 million, US$65.2 million and US$67.8 million, respectively. As of December 31, 2024, there were US$16.4 million of unrecognized share-based compensation expenses related to share options granted by our company, which were expected to be recognized over a weighted-average vesting period of 0.15 years. As of December 31, 2024, there were US$9.9 million of unrecognized share-based compensation expenses related to RSUs granted by us, which were expected to be recognized over a weighted-average vesting period of 1.75 years. We believe that the granting of share-based awards is of significant importance to our ability to attract and retain key personnel and employees, and we will continue to grant share-based awards in the future. As a result, our expenses associated with share-based compensation may increase, which may have an adverse effect on our results of operations. In addition, any ordinary shares that we issue under our 2015 Plan and the 2024 Share Scheme would dilute the percentage ownership held by public investors.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the VIE.</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Foreign ownership of telecommunication businesses is subject to restrictions under current PRC laws and regulations. For example, foreign investors are generally not allowed to own more than 50% of the equity interests in an information service provider or other value-added telecommunication service provider (other than operating e-commerce, domestic multiparty communication, storage and forwarding and call center) and the major foreign investor in a value-added telecommunication service provider in China must have experience in providing value-added telecommunication services overseas and maintain a good track record in accordance with the Encouraged Industries Catalog for Foreign Investment (2022 version), the Special Administrative Measures for Foreign Investment Access (Negative List (2024), or the Negative List (2024), and other applicable laws and regulations.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Tuya Inc. is a Cayman Islands company and we currently conduct substantially all of our business operations in the PRC through our PRC subsidiaries, including Tuya Information, our wholly owned subsidiary incorporated in the PRC. We are classified as a foreign enterprise under the PRC laws and regulations, and Tuya Information, our wholly owned subsidiary in the PRC, is a foreign-invested enterprise. In light of the restrictions described above, we have determined that it was not viable for us to hold Hangzhou Tuya Technology, or the VIE, directly through equity ownership. Therefore, we may only conduct the business operations currently conducted by the VIE through a series of contractual arrangements between our PRC subsidiary on one hand, and the VIE and its registered shareholders on the other hand, to comply with PRC laws and regulations. These contractual arrangements have enabled us to (i) exercise effective control over the VIE, (ii) receive substantially all of the economic benefits of the VIE, (iii) have the pledge right over the equity interests in the VIE as the pledgee and (iv) have an exclusive option to purchase all or part of the equity interests in the VIE when and to the extent permitted by PRC law. As a result of these contractual arrangements, we have control over and are the primary beneficiary of the VIE for accounting purposes and hence consolidate its financial results under U.S. GAAP.</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opinion of Jia Yuan Law Offices, our PRC legal counsel, (i) the ownership structures of our wholly foreign-owned enterprise and the VIE in China are not in violation of provisions of applicable PRC laws and regulations currently in effect; and (ii) the contractual arrangements between our wholly foreign-owned enterprise, the VIE and its shareholders governed by PRC law are not in violation of provisions of applicable PRC laws or regulations currently in effect, and valid and binding upon each party to such arrangements and, save as disclosed in “Item 4. Information on the Company—Contractual Arrangements with the VIE and the VIE’s Registered Shareholders,” enforceable against each party thereto in accordance with their terms and applicable PRC laws and regulations currently in effect. However, we have been further advised by our PRC legal counsel that there are substantial uncertainties regarding the interpretation and application of current and future PRC laws, regulations and rules. Thus, the PRC government authorities may take a view contrary to the opinion of our PRC legal counsel. It is uncertain whether any new PRC laws or regulations relating to variable interest entity structure will be adopted or if adopted, what they would provide. If we or the VIE is found to be in violation of any existing or future PRC laws or regulations, or fail to obtain or maintain any of the required permits or approvals to operate our business, the relevant PRC government authorities would have broad discretion to take action in dealing with such violations or failures, including:</w:t>
      </w:r>
    </w:p>
    <w:p>
      <w:pPr>
        <w:spacing w:after="0" w:line="190"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and/or operating licenses of such entities;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on us;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confiscating any of our income that they deem to be obtained through illegal operations;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placing restrictions or onerous conditions on the operations of the VIE;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restrictions on our right to collect revenue;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shutting down our servers or blocking our app or websites; or</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w:t>
      </w:r>
    </w:p>
    <w:p>
      <w:pPr>
        <w:spacing w:after="0" w:line="20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Any of these events could cause significant disruption to our business operations and severely damage our reputation, which would in turn have a material adverse effect on our financial condition and results of operations. Furthermore, new PRC laws, rules and regulations may be introduced to impose additional requirements that may be applicable to our corporate structure and the VIE. For details, please see “—Risks Related to Our Corporate Structure—Substantial uncertainties exist with respect to the interpretation and implementation of the Foreign Investment Law and how it may impact the viability of our current corporate structure, corporate governance and operations.” If occurrences of any of these events result in our inability to direct the activities of the VIE in China that most significantly impact its economic performance and/or our failure to receive the economic benefits and residual returns from the VIE, and we are unable to restructure our ownership structure and operations in a satisfactory manner, we may not be able to consolidate the financial results of the VIE in our consolidated financial statements in accordance with U.S. GAAP.</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VIE and its registered shareholders to use, or otherwise benefit from, certain licenses and approvals we may need in the future, which may not be as effective as direct ownership in providing operational control and could adversely affect our business, operating results and financial condition.</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VIE and its registered shareholders to conduct a portion of our operations in China. These contractual arrangements, however, may not be as effective as direct ownership in providing us with control over the VIE. For example, the VIE and its shareholders could breach their contractual arrangements with us by, among other things, failing to conduct the operations of the VIE in an acceptable manner or taking other actions that are detrimental to our interests.</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we had direct ownership of the VIE in China, we would be able to exercise our rights as a shareholder to effect changes in the board of directors of the VIE, which in turn could implement changes, subject to any applicable fiduciary obligations, at the management and operational level. However, under the current contractual arrangements, we rely on the performance by the VIE and its registered shareholders of their obligations under the contracts to exercise control over the VIE. If any dispute relating to these contracts remains unresolved, we will have to enforce our rights under these contracts through the operations of PRC law and arbitration, litigation and other legal proceedings and therefore will be subject to uncertainties in the PRC legal system. See “—Any failure by the VIE or its shareholders to perform their obligations under our contractual arrangements with them would have an adverse effect on part of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VIE or its shareholders to perform their obligations under our contractual arrangements with them would have an adverse effect on part of our business.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the VIE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For example, if the registered shareholders were to refuse to transfer their equity interests in the VIE to us or our designee when we exercise the purchase option pursuant to these contractual arrangements, or if they were otherwise to act in bad faith toward us, then we may have to take legal actions to compel them to perform their contractual obligations.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As a result, uncertainties in the PRC legal system could limit our ability to enforce these contractual arrangements. See “—Risks Related to Doing Business in China—The uncertainties in the PRC legal system could materially and adversely affect us.” Meanwhile, there are very few precedents and little formal guidance as to how contractual arrangements in the context of a VIE should be interpreted or enforced under PRC law. There remain significant uncertainties regarding the ultimate outcome of such arbitration if legal action becomes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we are unable to enforce these contractual arrangements, or if we suffer significant delay or other obstacles in the process of enforcing these contractual arrangements, we may not be able to exert effective control over the VIE, and our business, financial condition and results of operations may be negatively affected.</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registered shareholders of the VIE may have potential conflicts of interest with us, which may materially and adversely affect part of our business.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registered shareholders of the VIE may have potential conflicts of interest with us. These shareholders may breach, or cause the VIE to breach, or refuse to renew, the existing contractual arrangements we have with them and the VIE, which would have a material adverse effect on our ability to effectively receive economic benefits from the VIE. For example,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 The registered shareholders of the VIE have executed powers of attorney to appoint our wholly foreign-owned enterprise or a person designated by our wholly foreign-owned enterprise to vote on their behalf and exercise voting rights as shareholders of the VIE. If we cannot resolve any conflict of interest or dispute between us and the shareholders of the VIE, we would have to rely on legal proceedings, which could result in disruption of part of our business and subject us to substantial uncertainty as to the outcome of any such legal proceedings.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registered shareholders of the VIE may be involved in personal disputes with third parties or other incidents that may have an adverse effect on their respective equity interests in the VIE and the validity or enforceability of our contractual arrangements with the VIE and its registered shareholders. For example, in the event that any of the shareholders of the VIE divorces his or her spouse, the spouse may claim that the equity interest of the VIE held by such shareholder is part of their community property and should be divided between such shareholder and the spouse. If such claim is supported by the court, the relevant equity interest may be obtained by the shareholder’s spouse or another third party who is not subject to obligations under our contractual arrangements, which could result in a loss of the effective control over the VIE by us. Similarly, if any of the equity interests of the VIE is inherited by a third party with whom the current contractual arrangements are not binding, we could lose our control over the VIE or have to maintain such control by incurring unpredictable costs, which could cause significant disruption to part of our business and operations and harm our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we have entered into with the VIE may be subject to scrutiny by the PRC tax authorities. A finding that we owe additional taxes could negatively affect our financial condition and the value of your investment.</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contractual arrangements in relation to the VIE were not entered into on an arm’s-length basis in such a way as to result in an impermissible reduction in taxes under applicable PRC laws, rules and regulations, and adjust income of the VIE in the form of a transfer pricing adjustment. A transfer pricing adjustment could, among other things, result in a reduction of expense deductions recorded by the VIE for PRC tax purposes, which could in turn increase their tax liabilities without reducing our PRC subsidiaries’ tax expenses. In addition, the PRC tax authorities may impose late payment fees and other administrative sanctions on the VIE for the adjusted but unpaid taxes according to the applicable regulations. Our financial position could be materially and adversely affected if the VIE’s tax liabilities increase or if it is required to pay late payment fees and other penalties.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lose the ability to use and benefit from assets held by the VIE that are supplementary to the operation of our business if the VIE goes bankrupt or becomes subject to dissolution or liquidation proceeding.</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part of our contractual arrangements with the VIE, such entity may in the future hold certain assets that are supplementary to the operation of our business. If the VIE goes bankrupt and all or part of its assets become subject to liens or rights of creditors, we may be unable to continue some or all of our business activities we currently conduct through contractual arrangements, which could adversely affect our business, financial condition and results of operations. Under the contractual arrangements, the VIE may not, in any manner, sell, transfer, mortgage or dispose of its assets or legal or beneficial interests in the business without our prior consent. If the VIE undergoes voluntary or involuntary liquidation proceeding, third-party creditors may claim rights to some or all of these assets, thereby hindering our ability to operate part of our business, which could adversely affect our business, financial condition and results of operations.</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interpretation and implementation of the Foreign Investment Law and the recently amended PRC Company Law and how they may impact the viability of our current corporate structure, corporate governance and operations.</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value-added telecommunication services that we conduct through the VIE are subject to foreign investment restrictions set forth in the Negative List (2024), which was issued by the Ministry of Commerce (“MOFCOM”) and the National Development and Reform Commission (the “NDRC”) and became effective on November 1, 2024.</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which became effective on January 1, 2020, replaced the Sino-Foreign Equity Joint Venture Enterprise Law, the Sino-Foreign Cooperative Joint Venture Enterprise Law and the Wholly Foreign-Owned Enterprise Law and became the legal foundation for foreign investment in the PRC. As of the date of this annual report, there remain uncertainties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arrangements would not be interpreted as a type of indirect foreign investment activities in the future. In addition, the definition of foreign investment contains a catchall provision that includes investments made by foreign investors through means stipulated in laws, administrative regulations or provisions of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If further actions shall be taken under future laws, administrative regulations or provisions of the State Council, we may face substantial uncertainties as to whether we can complete such actions. Failure to do so could materially and adversely affect our current corporate structure, corporate governance and operations.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PRC Company Law (the “Company Law”) promulgated by the Standing Committee of the National People’s Congress on December 29, 1993, was recently amended on December 29, 2023 and became effective on July 1, 2024. The Company Law provides new requirements for the time limit for contribution of capital, the company’s organizational structure, corporate governance, and the rights and obligations of shareholders, which also apply to foreign investment enterprises in the PRC. Since the Company Law has only come into effect recently, uncertainties remain with respect to its interpretation and implementation and how it may impact the viability of our current corporate structure, corporate governance and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economic, political or social conditions or government policies of China and globally could have a material adverse effect on our business, financial condition and results of operations.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Substantially all of our assets and operations are located in China. Accordingly, our business, results of operations, financial condition and prospects are affected by economic, political and social conditions in China generally and by continued economic growth in China as a whole. China’s economy differs from the economies of other countries in many respects, and the Chinese government plays a significant role in regulating industry development and has extensive influence over China’s economic growth through allocating resources and setting monetary and fiscal policy.</w:t>
      </w:r>
    </w:p>
    <w:p>
      <w:pPr>
        <w:spacing w:after="0" w:line="14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recent decades, the PRC regulatory authorities have implemented measures emphasizing market forces for economic reform, the reduction of state ownership of productive assets and the establishment of sound corporate governance in business enterprises. However, state-owned enterprises are still playing a key role in the economy of China. Furthermore, although China’s economy has grown significantly in the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results of operations, lead to a reduction in demand for our services and adversely affect our competitive position. In addition, some of the government measures aim to benefit the overall Chinese economy, but may unexpectedly have a negative effect on us. For example, our financial condition and results of operations may be affected by government control over capital investments or changes in tax regulations.</w:t>
      </w:r>
    </w:p>
    <w:p>
      <w:pPr>
        <w:spacing w:after="0" w:line="15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Additionally, the global macroeconomic environment might face significant challenges in the near-term future. For example, following the COVID-19 outbreak, most countries have encountered rising inflation, resulting in weakened customers’ spending on smart devices. Furthermore, there is considerable uncertainty about the short and long-term economic impact of the monetary and fiscal policies adopted by the central banks and government authorities of some of the world’s leading economies and the imposition of new tariffs or adjustments in existing tariffs or trade barriers, including the United States and China.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international relations and geopolitical risks.</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are exposed to risks associated with international relations, in particular, the relationship between the United States and China. Any unfavorable government policies, including those on investment restrictions or international trade, such as capital and data controls, tariffs or international payment and settlement system, updated or expanded sanctions and export control regulations, or any new or escalation of geopolitical confrontation and conflicts, may affect the demand for our products, impact the competitive position of our products, or prevent us from selling products in certain countries, or even our participation in international capital markets or the international payment and settlement system, any of which would materially and adversely affect our international operations,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On February 28, 2024, President Biden signed Executive Order 14117, which seeks to restrict access to bulk sensitive personal data and U.S. government-related data by “countries of concern.” It creates uncertainties and complications in our efforts to stay compliant with such regulations when it becomes effective. For example, if third-party cloud-hosting providers of our data centers in the United States, such as AWS, or our U.S. subsidiaries or U.S. personnel, were to be restricted from providing access to the relevant U.S. data in accordance with such regulations, it may negatively affect our businesses. More recently, specifically, on January 20, 2025, President Trump issued a national security presidential memorandum, titled “America First Trade Policy”, which, among other things, directs the Secretary of Treasury and several other executive departments and offices of the U.S. government to review the outbound investment controls focused on China, including Hong Kong and Macau, to determine if it includes “sufficient controls to address national security threats” and to determine whether the executive order implementing such program “should be modified or rescinded and replaced.” For more information about such program, see “ – If we became subject to the U.S. Department of Treasury’s final rule on outbound investment in the future, investments in our securities by U.S. persons and our ability to raise capital from U.S. persons could be subject to restrictions.” On February 21, 2025, President Trump issued a national security presidential memorandum titled “America First Investment Policy” to provide guidance on investment oversight. The America First Investment Policy includes directives to, among other things, (i) determine if adequate financial auditing standards are upheld for companies covered by the HFCAA, and (ii) review the variable interest entity and subsidiary structures used by “foreign-adversary companies” to trade on United States exchanges, as well as allegations of fraudulent behavior by these companies, to protect United States investors. These developments, and any similar legislative or executive actions in the future, could have an adverse effect on our business, financial condition and results of operations.</w:t>
      </w:r>
    </w:p>
    <w:p>
      <w:pPr>
        <w:spacing w:after="0" w:line="13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October 16, 2023, the Commerce Department’s Bureau of Industry and Security, or BIS, issued an interim final rule, “Implementation of Additional Export Controls: Certain Advanced Computing Items; Supercomputer and Semiconductor End Use; Updates and Corrections”. BIS sought comments in relation to “infrastructure as a service”, or IaaS, to address access by Chinese customers to IaaS to develop dual-use AI foundation models with potential capabilities of concern. Any future rulemaking in this area may restrict or limit our access to AI capabilities of our existing cloud service providers and negatively impact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At the same time, rising geopolitical tensions, particularly between the U.S. and China, and other global factors such as the war in Ukraine, sanctions on Russia, and Middle East instability, have led to significant shifts in international trade and investment policies. These developments have increased the costs of importing and/or exporting products, technology, services, and/or software to or from any major markets in which many of our customers, suppliers, brands, OEMs and developers operate. These costs and uncertainties may be further exacerbated by shifting policy stances, new tariffs, trade restrictions, or changes to regulatory frameworks, particularly in environments where trade policy is frequently used as a tool of foreign policy and subject to sudden reversals. In particular, ongoing tensions between the U.S. and China have been characterized by frequent tariff actions, retaliatory measures, and abrupt policy changes that have disrupted global trade flows and supply chains. Moreover, any political or trade controversies between the United States or any other major global economies, including China, or any proposed or new legislation, executive orders or administrative rule making affecting China, whether or not directly related to us or our business and whether or not materialized, could have a material adverse effect on our business operations, results of operations and growth prospects. In particular, there have been ongoing concerns about the relationship and trade disputes between the U. S. and China. These tensions have been marked by the unilateral imposition of additional tariffs by one side and retaliatory measures by the other, including higher tariffs, as well as potentially broader strategic responses. For instance, President Trump has recently escalated his tariff policies, imposing sweeping new tariffs on imports from numerous countries, including China, as part of what Trump describes as a strategy to address trade imbalances and revive domestic manufacturing. Many of our customers, suppliers, brands, OEMs and business partners that import and/or export products, technology, services, and/or software using our products, technology, and platform could face rising costs and be significantly impacted by these developments, which may ultimately impact our business as well. The imposition of these higher tariffs may also result in delays or disruptions in supply chains and could lead to a reduction in demand for products or services. In addition, certain of our customers export their products into the United States under the exemption provided in Section 321 of the Tariff Act of 1930, which exempts packages shipped to the United States under a specified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monetary threshold from import duties as long as certain requirements are met. On February 1, 2025, President Trump signed an executive order making all Chinese imports ineligible for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exemption, in addition to imposing an additional 10% tariff on Chinese imports. On February 5, 2025, the order was amended to temporarily reinstate the exemption for eligible Chinese imports, pending a certification by the Secretary of Commerce that adequate systems are in place to fully and expediently process and collect the applicable tariff revenue. Further changes to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exemption were introduced on April 2, 2025 through a new executive order signed by President Trump. Under this order, duty-free treatment under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exemption will no longer apply to covered goods from the PRC and Hong Kong, effective on May 2, 2025. All relevant postal items containing goods that are sent through the international postal network that are valued at or under $800 and that would otherwise qualify for the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exemption are subject to additional duties. If the</w:t>
      </w:r>
      <w:r>
        <w:rPr>
          <w:rFonts w:ascii="Times New Roman" w:cs="Times New Roman" w:eastAsia="Times New Roman" w:hAnsi="Times New Roman"/>
          <w:sz w:val="18"/>
          <w:szCs w:val="18"/>
          <w:i w:val="1"/>
          <w:iCs w:val="1"/>
          <w:color w:val="auto"/>
        </w:rPr>
        <w:t xml:space="preserve"> de minimis </w:t>
      </w:r>
      <w:r>
        <w:rPr>
          <w:rFonts w:ascii="Times New Roman" w:cs="Times New Roman" w:eastAsia="Times New Roman" w:hAnsi="Times New Roman"/>
          <w:sz w:val="18"/>
          <w:szCs w:val="18"/>
          <w:color w:val="auto"/>
        </w:rPr>
        <w:t>exemption becomes permanently unavailable for imports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and Hong Kong, or if the exemption threshold is reduced more broadly, our business, financial condition and results of operations may be materially and adversely affected. Additionally, recent statements from U.S. government officials have raised concerns over potential regulatory actions affecting Chinese companies listed on U.S. exchanges. If such measures result in the delisting of Chinese companies, it could significantly impact market access, investor confidence, and the liquidity of affected stocks, ultimately influencing the global investment landscape and our business operations.</w:t>
      </w:r>
    </w:p>
    <w:p>
      <w:pPr>
        <w:spacing w:after="0" w:line="20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These uncertainties entail risks may materially and adversely affect our business and prospects, and/or your investments in our shares. In September 2021, three United States senators and other commentators expressed concern about our alleged failure to protect U.S. consumers’ data, and some have urged the U.S. government to take actions against us, including adding us to the Non-SDN Chinese Military-Industrial Complex Company List, or the NS-CMIC List. If we were to be added to the NS-CMIC List, U.S. persons would be prohibited from purchasing or otherwise dealing in our publicly traded securities. This could affect the liquidity of our securities and could result in the delisting of the ADSs from U.S. markets. Similarly, United States, the European Union and other jurisdictions maintain other similar lists for purposes of economic sanctions and export control, such as the Entity List administered by BIS. If we were to be added to any of the foregoing lists or targeted by similar programs, our business and prospects, and/or your investments in our shares, may be materially and adversely affected.</w:t>
      </w:r>
    </w:p>
    <w:p>
      <w:pPr>
        <w:spacing w:after="0" w:line="188"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These various types of actions or government policies, and any further changes in export controls, sanctions or other international trade restrictions, even if merely proposed or threatened, may cause investors to be unwilling to hold or buy our ADSs and Class A ordinary shares and consequently lead to decrease of the liquidity of our shares and cause the trading price of our ADSs and Class A ordinary shares to decline, and any unfavorable changes could have a material adverse impact on us, our customers or suppliers, or the industries in which we operate.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became subject to the U.S. Department of Treasury’s final rule on outbound investment in the future, investments in our securities by U.S. persons and our ability to raise capital from U.S. persons could be subject to restrictions.</w:t>
      </w:r>
    </w:p>
    <w:p>
      <w:pPr>
        <w:spacing w:after="0" w:line="159"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7"/>
          <w:szCs w:val="17"/>
          <w:color w:val="auto"/>
        </w:rPr>
        <w:t>On August 9, 2023, the Biden administration published an executive order, and the Treasury published an advanced notice of proposed rule-making (the “ANPRM”), providing a conceptual framework for outbound investment controls focused on China, including Hong Kong and Macau (the “Outbound Investment Program” or the “OIP”). Further to this ANPRM, on June 21, 2024, the Treasury issued a proposed rule on outbound U.S. investments involving China that was generally consistent in its requirements with the ANPRM. On October 28, 2024, Treasury issued a Final Rule to implement the executive order of August 9, 2023. The Final Rule took effect on January 2, 2025. The Final Rule imposes investment prohibition and notification requirements on U.S. persons for certain investments in entities associated with China (including Hong Kong and Macau) that are engaged in certain activities relating to three sectors: (i) semiconductors and microelectronics, (ii) quantum information technologies, and (iii) artificial intelligence systems, collectively defined as “Covered Foreign Persons.” U.S. persons subject to the Final Rule are in some instances prohibited altogether from making, and in other instances required to report, certain investments in Covered Foreign Persons, which are defined as “Covered Transactions.”</w:t>
      </w:r>
    </w:p>
    <w:p>
      <w:pPr>
        <w:spacing w:after="0" w:line="17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“Covered Transactions” include acquisitions of equity interests, certain debt financing, joint ventures, and certain investments as a limited partner in a non-U.S. person pooled investment fund. The Final Rule excludes some investments from the scope of Covered Transactions, including those in publicly traded securities listed on a national stock exchange. The Final Rule is aimed at exerting greater U.S. government oversight over U.S. direct and indirect investments involving China and may introduce new hurdles and uncertainties for cross-border collaborations, investments, and funding opportunities of China-based issuers including us.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 recently, the America First Investment Policy aims to expand the industry sectors covered by the U.S. outbound investment regulations and supplement outbound restrictions through the imposition of sanctions. The proposed restrictions may further deepen the uncertainties for cross-border collaboration, investment, and funding opportunities of China-based issuers, including us. It is unclear whether these challenges and uncertainties will be addressed or resolved, and how they might impact global political and economic conditions over the long term. Possible changes to the U.S. outbound investment regulations could limit or, in the worst case scenario, eliminate our ability to raise capital or contingent equity capital from U.S. investors in the future, or our ability to raise such capital may be significantly and negatively affected, which could be detrimental to our capital-raising capacity and our business, financial condition and prospects. If we were deemed a Covered Foreign Person and therefore be subject to the Final Rule, even though U.S. persons’ acquisitions of certain publicly traded securities (such as our ADSs) will be exempted from the scope of covered transactions under the Final Rule, the Final Rule could still limit our ability to raise capital or contingent equity capital from U.S. investors after this offering, or our ability to raise such capital may be significantly and negatively affected, which could be detrimental to our capital raising capacity and our business, financial condition and prospects. In such case, the value of the ADSs may significantly decline, or in extreme cases,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regarding the interpretation and enforcement of PRC laws, rules and regulations.</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PRC legal system is based on written statutes. Prior court decisions may be cited for reference but have limited precedential value. The past decades have seen the progressive legislation by the PRC government designed to enhance the protections afforded to various forms of foreign investments in China. However, because certain laws and regulations are relatively new, and because of the limited volume of published decisions and their nonbinding nature, the interpretation and enforcement of these laws and regulations involve uncertainties.</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China is geographically large and divided into various provinces and municipalities. Therefore, different regulations and policies may have different and varying applications and interpretations in different parts of China, and it is possible that we may not be aware in a timely manner that we have been identified to be in violation of these policies and rules until sometime after the occurrence of the violation. In addition, certain administrative and court proceedings in China may result in substantial costs and diversion of resources and management attention.</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PRC government has complex regulatory requirements on the conduct of our business and it has recently promulgated certain regulations and rules to exert more oversight over offerings that are conducted overseas and/ or foreign investment in China-based issuers. Such action could significantly limit or hinder our ability to offer or continue to offer securities to investors and cause the value of such securities to significantly decline.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mainland China and Hong Kong against us or our management based on foreign laws.</w:t>
      </w:r>
    </w:p>
    <w:p>
      <w:pPr>
        <w:spacing w:after="0" w:line="10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Tuya Inc. is an exempted company limited by shares incorporated under the laws of the Cayman Islands. The Group conducts substantially all of its operations in mainland China, and substantially all of its assets are located outside the United States. In addition, we do not have any material operations in Hong Kong. Furthermore, to our best knowledge, most of our directors and executive officers reside within mainland China or Hong Kong for a significant portion of the time and are PRC nationals. As a result, it may not be possible to effect service of process within the United States or elsewhere outside China upon us, our directors and executive officers, including with respect to matters arising under U.S. federal securities laws or applicable state securities laws.</w:t>
      </w:r>
    </w:p>
    <w:p>
      <w:pPr>
        <w:spacing w:after="0" w:line="13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Even if you obtain a judgment against us, our directors or executive officers or the expert named in this annual report in a U.S. court or other court outside China, you may not be able to enforce such judgment against us or them in mainland China or Hong Kong. Neither mainland China nor Hong Kong has treaties providing for the reciprocal recognition and enforcement of judgments of courts with the Cayman Islands and many other countries and regions, such as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Nevertheless, a separate legal action for debt must be commenced in Hong Kong in order to recover such debt from the judgment debtor, and there can be no assurance that such legal action in Hong Kong would be resolved in favor of the judgment debtor. Therefore, recognition and enforcement in mainland China or Hong Kong of judgments of a court in any of foreign jurisdictions in relation to any matter not subject to a binding arbitration provision may be difficult or impossible.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July 14, 2006, the Supreme People’s Court of the PRC and Hong Kong entered into the Arrangement on Reciprocal Recognition and Enforcement of Judgments in Civil and Commercial Matters by the Courts of the Mainland and of the Hong Kong Special Administrative Region Pursuant to Choice of Court Agreements between Parties Concerned (the “2006 Arrangement”). Under the 2006 Arrangement, where any designated PRC court or any designated Hong Kong court has made an enforceable final judgment requiring payment of money in a civil or commercial case under a choice of court agreement in writing, any party concerned may apply to the relevant PRC court or Hong Kong court for recognition and enforcement of the judgment. On January 18, 2019, the Supreme People’s Court and Hong Kong entered into the Arrangement on Reciprocal Recognition and Enforcement of Judgments in Civil and Commercial Matters by the Courts of the Mainland and of the Hong Kong Special Administrative Region (the “2019 Arrangement”), which seeks to establish a mechanism with greater clarity and certainty for recognition and enforcement of judgments in a wider range of civil and commercial matters between Hong Kong and the PRC. The 2019 Arrangement discontinued the requirement for a choice of court agreement for bilateral recognition and enforcement. The 2006 Arrangement was superseded upon the effectiveness of the 2019 Arrangement on January 29, 2024 but remains applicable to a choice of court agreement in writing entered into before the effective date of the 2019 Arrangement. However, we cannot assure you that all final judgments will be recognized and effectively enforced by the relevant PRC court.</w:t>
      </w:r>
    </w:p>
    <w:p>
      <w:pPr>
        <w:spacing w:after="0" w:line="14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Moreover, you may not be able to bring original actions in China based on the U.S. or other foreign laws against us, our directors or executive officers or the expert named in this annual report. In particular, 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In the absence of a mutual and practical cooperation mechanism, there has not been efficient regulatory cooperation between the local authorities in China and the securities regulatory authorities in the United States to implement cross-border supervision and administration so far. Although the local authorities in China may establish a regulatory cooperation mechanism with the securities regulatory authorities of another country or region to implement cross-border supervision and administration, such regulatory cooperation with the securities regulatory authorities in the United States have not been efficient in the absence of a mutual and practical cooperation mechanism.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Related to Our ADSs—You may face difficulties in protecting your interests, and your ability to protect your rights through U.S. or Hong Kong courts may be limited, because we are incorporated under Cayman Islands law.”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subsidiaries in mainland China and Hong Kong to fund any cash and financing requirements we may have, and any limitation on the ability of these subsidiaries to make payments to us could have a material and adverse effect on our ability to conduct our business.</w:t>
      </w:r>
    </w:p>
    <w:p>
      <w:pPr>
        <w:spacing w:after="0" w:line="13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Tuya Inc. is a Cayman Islands holding company and we rely principally on Tuya Inc.’s own capital reserves and dividends and other distributions on equity from our subsidiaries in mainland China and Hong Kong for our cash requirements, including for services of any debt we may incur. To the extent cash or assets in the business are in the PRC, including Hong Kong, or a PRC (including Hong Kong) entity, the funds or assets may not be available to fund operations or for other use outside of the PRC, including Hong Kong, due to interventions in or the impositions of restrictions and limitations on the availability of Tuya Inc., its subsidiaries or the VIE by the PRC government to transfer cash or assets. There is no assurance that the PRC government will not intervene in or impose restrictions on the ability of Tuya Inc., its subsidiaries or the VIE to transfer cash or assets.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each of their registered capitals. These reserves are not distributable as cash dividends. If our PRC subsidiaries incur debt on their own behalf in the future, the instruments governing the debt may restrict their ability to pay dividends or make other payments to us.</w:t>
      </w:r>
    </w:p>
    <w:p>
      <w:pPr>
        <w:spacing w:after="0" w:line="14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To address the persistent capital outflow and the RMB’s depreciation against the U.S. dollar in the fourth quarter of 2016, the People’s Bank of China and the State Administration of Foreign Exchange (“SAFE”) implemented a series of capital control measures in the subsequent months, including stricter vetting procedures for China-based companies to remit foreign currency for overseas acquisitions, dividend payments and shareholder loan repayments. For instance, the Circular on Further Promoting the Reform of Foreign Exchange Management and Improving the Verification of Authenticity and Compliance Review (the “SAFE Circular 3”) issued on January 18, 2017 provides that the banks shall, when dealing with dividend remittance transactions from a domestic enterprise to its offshore shareholders of more than US$50,000, review the relevant board resolutions, original tax filing form and audited financial statements of such domestic enterprise based on the principal of genuine transaction. The PRC government may continue to strengthen its capital controls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Enterprise Income Tax Law (the “EIT Law”)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residents. Pursuant to the tax agreement between Mainland China and the Hong Kong Special Administrative Region,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a PRC tax perspective. Under administrative guidance,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our Hong Kong subsidiary may be able to benefit from the 5% withholding tax rate for the dividends it receives from our PRC subsidiaries, if it satisfies the conditions prescribed under the State Administration of Taxation on the Issues Concerning the Application of the Dividend Clauses of Tax Agreements and other relevant tax rules and regulations. However, if the relevant tax authorities consider the transactions or arrangements we have to be for the primary purpose of enjoying a favorable tax treatment, the relevant tax authorities may adjust the favorable withholding tax in the future. Accordingly, there is no assurance that the reduced 5% withholding tax rate will apply to dividends received by our Hong Kong subsidiary from our PRC subsidiaries. This withholding tax will reduce the amount of dividends we may receive from our PRC subsidiaries.</w:t>
      </w:r>
    </w:p>
    <w:p>
      <w:pPr>
        <w:spacing w:after="0" w:line="18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authorities.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 However, such internal control procedures may not be sufficient to prevent all instances of abuse or negligence. There is a risk that our employees could abuse their authority, for example, by entering into a contract not approved by us or seeking to gain control of one of our subsidiaries or the VIE.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preferential tax treatments and government subsidies granted by the PRC government become unavailable, our results of operations and financial condition may be adversely affected.</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PRC subsidiaries are subject to the PRC corporate income tax at a standard rate of 25% on their taxable income, while in 2022, 2023 and 2024, preferential tax treatment was available to Tuya Information, one of our PRC subsidiaries. Tuya Information was qualified as a “High-tech Enterprise” and was entitled to enjoy a 15% beneficial tax rate for the year ended December 31, 2024. We cannot assure you that the PRC policies on preferential tax treatments will not change or that the current preferential tax treatments we enjoy or will be entitled to enjoy will not be canceled. Moreover, we cannot assure you that our PRC subsidiaries will be able to renew the same preferential tax treatments upon expiration. If any such change, cancellation or discontinuation of preferential tax treatment occurs, the relevant PRC subsidiaries will be subject to the PRC enterprise income tax (the “EIT”) at a rate of 25% on taxable income. As a result, the increase in our tax charge could materially and adversely affect our results of operations.</w:t>
      </w:r>
    </w:p>
    <w:p>
      <w:pPr>
        <w:spacing w:after="0" w:line="18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restrict or delay us from using the proceeds of our offshore securities offerings to make loans or additional capital contributions to our PRC subsidiaries and making loans to the VIE or its subsidiaries, which could adversely affect our liquidity and our ability to fund and expand our business.</w:t>
      </w:r>
    </w:p>
    <w:p>
      <w:pPr>
        <w:spacing w:after="0" w:line="1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Tuya Inc. is an offshore holding company and we conduct our operations in China through our PRC subsidiaries and the VIE. We may make loans to our PRC subsidiaries and the VIE, subject to the approval from government authorities and limitation of amount, or we may make additional capital contributions to our PRC subsidiaries in China.</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Any loans to our PRC subsidiaries in China, which are treated as foreign-invested enterprises under PRC law, are subject to PRC regulations and foreign exchange loan registrations. For example, loans by us to our PRC subsidiaries in China to finance their activities cannot exceed statutory limits and must be registered with the local counterpart of SAFE. In addition, a foreign-invested enterprise shall use its capital pursuant to the principle of authenticity and for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 Invested Enterprises (the “SAFE Circular 19”), effective in June 2015, in replacement of the Circular on the Relevant Operating Issues Concerning the Improvement of the Administration of the Payment and Settlement of Foreign Currency Capital of Foreign 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(the “SAFE Circular 16”), effective on June 9, 2016, which reiterates some of the rules set forth in SAFE Circular 19, but changes the prohibition against using RMB capital converted from foreign currency-denominated registered capital of a foreign-invested enterprise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to our PRC subsidiaries, which may adversely affect our liquidity and our ability to fund and expand business in China.</w:t>
      </w:r>
    </w:p>
    <w:p>
      <w:pPr>
        <w:spacing w:after="0" w:line="19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Among others, SAFE Circular 28 relaxes prior restrictions and allows foreign-invested enterprises that do not have equity investments in their approved business scope to use their capital obtained from foreign exchange settlement to make domestic equity investments as long as the investments are real and in compliance with the foreign investment-related laws and regulations.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the VIE or future capital contributions by us to our PRC subsidiaries in China. As a result, uncertainties exist as to our ability to provide prompt financial support to our PRC subsidiaries or the VIE when needed. If we fail to complete such registrations or obtain such approvals, our ability to use the proceeds we expect to receive from our future offshore securities offerings and to capitalize or otherwise fund our PRC operations may be negatively affected, which could materially and adversely affect our liquidity and our ability to fund and expand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affect the value of your investment.</w:t>
      </w:r>
    </w:p>
    <w:p>
      <w:pPr>
        <w:spacing w:after="0" w:line="22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substantially all of our revenue in Renminbi. Under our current corporate structure, our Cayman Islands holding company primarily relies on dividend payments from our PRC subsidiaries to fund any cash and financing requirements it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the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 and Class A ordinary shares.</w:t>
      </w:r>
    </w:p>
    <w:p>
      <w:pPr>
        <w:spacing w:after="0" w:line="19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administration requirements of the CSRC, the CAC or other PRC government authorities may be required to maintain our listing status or conduct future offshore securities offerings.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August 8, 2006, six PRC regulatory agencies jointly adopted the Regulations on Mergers and Acquisitions of Domestic Enterprises by Foreign Investors, or the M&amp;A Rules, which came into effect on September 8, 2006 and were amended on June 22, 2009. The M&amp;A Rules include, among other things, provisions that purport to require that an offshore special purpose vehicle (the “SPV”) that is controlled by PRC domestic companies or individuals and that has been formed for the purpose of an overseas listing of securities through acquisitions of PRC domestic companies or assets to obtain the approval of the CSRC prior to the listing and trading of such SPV’s securities on an overseas stock exchange. On September 21, 2006, the CSRC published on its official website procedures regarding its approval of overseas listings by SPVs. However, substantial uncertainty remains regarding the scope and applicability of the M&amp;A Rules to offshore SPVs.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the application of the M&amp;A Rules remains unclear, we believe, based on the advice of Jia Yuan Law Offices, our PRC legal counsel, that the CSRC approval mentioned above is not required in our context because (i) our wholly foreign-owned PRC subsidiary was not established through mergers or acquisitions of equity interest or assets of a PRC domestic company owned by PRC companies or individuals as defined under the M&amp;A Rules that are the beneficial owners of our company; and (ii) no provision in the M&amp;A Rules clearly classifies contractual arrangements as a type of transaction subject to the M&amp;A Rules. However, there can be no assurance that the relevant PRC government agencies, including the CSRC, would reach the same conclusion as our PRC legal counsel.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July 6, 2021, the relevant PRC governments promulgated the Opinions on Strictly Cracking Down on Illegal Securities Activities (the “Opinions”), which among others provide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As a follow-up, on February 17, 2023, the CSRC released the Trial Administrative Measures of Overseas Securities Offering and Listing by Domestic Companies (the “Trial Measures”) and relevant supporting guidelines, collectively, the New Overseas Listing Rules, setting out new filing procedures for China-based companies seeking direct or indirect listings and offerings in overseas markets, which came into force on March 31, 2023. The New Overseas Listing Rules are applicable to PRC domestic companies that seek to offer and list securities in overseas markets, either through direct or indirect means. If an issuer meets both of the following criteria, the overseas securities offering and listing conducted by such issuer shall be deemed as an indirect overseas offering subject to the filing procedures set forth under the New Overseas Listing Rules: (i) 50% or more of the issuer’s operating revenue, total profit, total assets or net assets as documented in its audited consolidated financial statements for the most recent fiscal year are derived from PRC domestic companies; and (ii) the issuer’s business activities are substantially conducted in mainland China, or its principal place(s) of business are located in mainland China, or the senior managers in charge of its business operations and management are mostly Chinese citizens or domiciled in mainland China. Pursuant to the New Overseas Listing Rules, an issuer listed in an overseas market that contemplates any follow-on offering in the same overseas market where it has previously offered and listed securities should, through its major operating entity incorporated in the PRC, file the required materials with the CSRC within three business days after the completion of such follow-on offering. Furthermore, according to the New Overseas Listing Rules, after an issuer has completed its offering and listed its securities on an overseas stock exchange, the issuer shall submit a report to the CSRC within three business days after the occurrence and public disclosure of certain material events, including (i) a change of control, (ii) investigations of or sanctions imposed on the issuer by overseas securities regulatory agencies or other relevant competent authorities, (iii) changes of listing status or transfers of the listing segment, (iv) a voluntary or mandatory delisting and (v) a material change in its main business operation, as a result of which that issuer is no longer subject to the filing requirements under the New Overseas Listing Rules. The New Overseas Listing Rules provide that in the event of any breach, including any failure to fulfill the filing procedure, or any offering and listing of securities in an overseas market in violation of the measures, the CSRC will order such domestic company to rectify, issue warnings to such domestic company, and impose a fine between RMB1 million and RMB10 million. Fines and warnings will be imposed on persons-in-charge and other persons who are directly liable. In addition, fines will also be imposed on controlling shareholders and actual controllers of the domestic company who initiate or cause the aforesaid non-compliance activities. As these measures and rules are relatively new, it remains uncertain as to their implementation. We may not be able to obtain approval or complete the required filing for any future offshore securities offering, and it is uncertain how long it will take us to obtain such approval or complete such filing, or if we can obtain any waiver of aforesaid requirements if and when procedures are established to obtain such waiver. Any failure to obtain or delay in obtaining such approval or completing such filing for any future offshore securities offering, or a rescission of any such approval obtained by us, could subject us to sanctions by the CSRC, the CAC or other PRC regulatory agencies for failure to seek approval or other governmental authorization or complete the necessary filing for any future offshore securities offering.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the CAC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ADSs and Class A ordinary shares.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affect our ability to pursue growth through acquisitions.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Among other things,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MOFCOM be notified in advance of any change of control transaction in which a foreign investor takes control of a PRC domestic enterprise, if (i) any important industry is concerned, (ii) such transaction involves factors that have or may have an impact on national economic security, or (iii) such transaction will lead to a change in control of a domestic enterprise which holds a famous trademark or PRC time-honored brand. Moreover, the PRC Anti-Monopoly Law promulgated by the Standing Committee of the NPC which became effective in 2008 and was amended in 2022 requires that transactions which are deemed concentrations and involve parties with specified turnover thresholds must be cleared by the relevant anti-monopoly authority before they can be completed. In addition, PRC national security review rules which became effective in September 2011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w:t>
      </w:r>
    </w:p>
    <w:p>
      <w:pPr>
        <w:spacing w:after="0" w:line="19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Complying with the requirements of these regulations to complete such transactions could be time-consuming, and any required approval processes, including obtaining approval or clearance from the competent government authority, may delay or inhibit our ability to complete such transactions, which could affect our ability to expand our business or maintain our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make adequate contributions to various employee benefit plans as required by PRC regulations may subject us to penalties.</w:t>
      </w:r>
    </w:p>
    <w:p>
      <w:pPr>
        <w:spacing w:after="0" w:line="24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required under PRC laws and regulations to participate in various government-sponsored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and we cannot assure you that we are able to make adequate contribution for each employee in a timely and appropriate manner at all time. If we fail to make adequate employee benefit payments, we may be subject to fines, late fees and legal sanctions, and our business, financial condition and results of operations may be adversely affected.</w:t>
      </w:r>
    </w:p>
    <w:p>
      <w:pPr>
        <w:spacing w:after="0" w:line="188"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5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(the “SAFE Circular No. 37”) to replace the Notice on Relevant Issues Concerning Foreign Exchange Administration for Domestic Residents’ Financing and Roundtrip Investment Through Offshore Special Purpose Vehicles (the “SAFE Circular 75”), which ceased to be effective upon the promulgation of SAFE Circular No. 37. SAFE Circular No. 37 requires PRC residents (including PRC individuals and PRC corporate entities) to register with SAFE or its local branches in connection with their direct or indirect offshore investment activities. SAFE Circular No. 37 is applicable to our shareholders who are PRC residents and may be applicable to any offshore acquisitions that we make in the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SAFE Circular No. 37 requires registration with, and approval from, Chinese government authorities in connection with direct or indirect control of an offshore entity by PRC residents. The term “control” under SAFE Circular No. 37 is broadly defined as the operation rights, beneficiary rights or decision-making rights acquired by PRC residents in the offshore SPVs, by means of acquisition, trust, proxy, voting rights, repurchase, convertible bonds or other arrangements. In addition, any PRC resident who is a direct or indirect shareholder of an SPV is required to update its filed registration with the local branch of SAFE with respect to that SPV, to reflect any material change. On February 13, 2015, SAFE promulgated a Notice on Further Simplifying and Improving Foreign Exchange Administration Policy on Direct Investment (the “SAFE Circular 13”), which became effective on June 1, 2015. Under SAFE Circular 13, applications for foreign exchange registration of inbound foreign direct investments and outbound overseas direct investments, including those required under SAFE Circular No. 37, will be filed with qualified banks instead of SAFE. The qualified banks will directly examine the applications and accept registrations under the supervision of SAFE.</w:t>
      </w:r>
    </w:p>
    <w:p>
      <w:pPr>
        <w:spacing w:after="0" w:line="19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These regulations described above may have a significant impact on our present and future structuring and investment. We intend to structure and execute our future offshore acquisitions in a manner consistent with these regulations and any other relevant legislation. However, because it is presently uncertain how these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Any failure or inability by such individuals or entities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In February 2012, SAFE promulgated the Notices on Issues Concerning the Foreign Exchange Administration for Domestic Individuals Participating in Stock Incentive Plan of Overseas Publicly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In addition, SAFE Circular 37 stipulates that PRC residents who participate in a share incentive plan of an overseas non-publicly listed special purpose company may register with SAFE or its local branches before they obtain the incentive shares or exercise the share options. We and our executive officers and other employees who are PRC citizens or who reside in the PRC for a continuous period of not less than one year and who have been or will be granted incentive shares or options are or will be subject to these regulations. Failure to complete the SAFE registrations may subject them to fines and legal sanctions, and there may be additional restrictions on their ability to exercise their share options or remit proceeds gained from sale of their shares into the PRC. We also face regulatory uncertainties that could restrict our ability to adopt additional incentive plans for our directors, executive officers and employees under PRC law.</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its “de facto management body” within the PRC is considered a “resident enterprise” and will be subject to the enterprise income tax on its global income at a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(the “SAT”) issued the Notice Regarding the Determination of Chinese-Controlled Offshore Incorporated Enterprises as People’s Republic of China Tax Resident Enterprises on the Basis of De Facto Management Bodies (the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According to the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offshore subsidiaries is a PRC resident enterprise for enterprise income tax purposes, our company or the relevant offshore subsidiaries will be subject to PRC enterprise income tax on its worldwide income at a rate of 25%. Furthermore, if we are treated as a PRC tax resident enterprise, we will be required to withhold a 10% tax from dividends we pay to our shareholders that are non-resident enterprises, including the holders of our ADSs and Class A ordinary shares. In addition, non-resident enterprise shareholders (including holders of our ADSs and Class A ordinary shares) may be subject to PRC tax at a rate of 10% on gains realized on the sale or other disposition of the ADSs/Class A ordinary shares, if such gain is treated as derived from a PRC source. Furthermore, if we are deemed a PRC resident enterprise, dividends paid to our non-PRC individual shareholders (including the holders of our ADSs and Class A ordinary shares) and any gain realized on the transfer of the ADSs and/or Class A ordinary shares by such shareholders may be subject to PRC tax at a rate of 20% (which, in the case of dividends, may be withheld at source by us). These rates may be reduced by an applicable tax treaty, but it is unclear whether our non-PRC shareholders would, in practice, be able to obtain the benefits of any tax treaties between their country of tax residence and the PRC in the event that we are treated as a PRC resident enterprise. Any such tax may reduce the returns on your investment in our ADSs or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resident companies.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(the “SAT Bulletin 7”), which came into effect on the same day, but will also apply to cases where their PRC tax treatments are not yet concluded. The SAT Bulletin 7 extends its tax jurisdiction to transactions involving the transfer of taxable assets through offshore transfer of a foreign intermediate holding company. In addition, the SAT Bulletin 7 has introduced safe harbors for internal group restructurings and the purchase and sale of equity securities through a public securities market. The SAT Bulletin 7 also brings challenges to both foreign transferor and transferee (or other person who is obligated to pay for the transfer) of taxable assets.</w:t>
      </w:r>
    </w:p>
    <w:p>
      <w:pPr>
        <w:spacing w:after="0" w:line="18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Issues Concerning the Withholding of Non-resident Enterprise Income Tax at Source (the “SAT Bulletin 37”), which came into effect on December 1, 2017. The SAT Bulletin 37 further clarifies the practice and procedure of the withholding of non-resident enterprise income tax.</w:t>
      </w:r>
    </w:p>
    <w:p>
      <w:pPr>
        <w:spacing w:after="0" w:line="176"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Where a non-resident enterprise transfers taxable assets in China indirectly by disposing of the equity interests of an overseas holding company, or an Indirect Transfer, the non-resident enterprise as either transferor or transferee, or the PRC entity whose equity is transferred,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a transferor in such transactions, and may be subject to withholding obligations if our company is transferee in such transactions, under the SAT Bulletin 7 and/or SAT Bulletin 37. For transfer of shares in our company that do not qualify for the public securities market safe harbor by investors who are non-PRC resident enterprises, our PRC subsidiaries may be requested to assist in the filing under the SAT Bulletin 7 and/or SAT Bulletin 37. As a result, we may be required to expend valuable resources to comply with the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China has enacted laws and regulations governing internet access and the distribution of products, services, news, information, audio-video programs and other content through the internet. In the past, the PRC government has prohibited the distribution of information through the internet that it deems to be in violation of PRC laws and regulations. If any of the information offered on our platform were deemed by the PRC government to violate any content restrictions, we would not be able to continue to display such content and could become subject to penalties, including confiscation of income, fines, suspension of business and revocation of required licenses, which could materially and adversely affect our business, financial condition and results of operations.</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will be prohibited under the HFCAA if the PCAOB determines that it is unable to inspect or investigate completely registered public accounting firms headquartered in mainland China and Hong Kong, including our auditor as an independent registered public accounting firm, and as a result, U.S. national securities exchanges, such as the NYSE, may determine to delist our securities.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without the approval of the Chinese authorities. The inability of the PCAOB to conduct inspections of auditors in China in the past has made it more difficult to evaluate the effectiveness of our independent registered public accounting firm’s audit procedures or quality control procedures as compared to auditors outside China that are subject to the PCAOB inspections. As a result, investors were deprived of the benefits of such PCAOB inspections.</w:t>
      </w:r>
    </w:p>
    <w:p>
      <w:pPr>
        <w:spacing w:after="0" w:line="1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recent years, U.S. regulatory authorities have continued to express their concerns about challenges in their oversight of financial statement audits of U.S.-listed companies with significant operations in China. More recently, as part of a continued regulatory focus in the United States on access to audit and other information currently protected by national law, in particular China’s, the United States enacted the Holding Foreign Companies Accountable Act, or the HFCAA, in December 2020. Trading in our securities on U.S. markets, including the NYSE, will be prohibited under the HFCAA if the PCAOB determines that it is unable to inspect or investigate completely registered public accounting firms headquartered in mainland China and Hong Kong, including our auditor as an independent registered public accounting firm, for two consecutive years.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May 26, 2022, we were conclusively identified by the SEC under the HFCAA as having filed audit reports issued by a registered public accounting firm that cannot be inspected or investigated completely by the PCAOB in connection with the filing of our 2021 Form 20-F. The inability of the PCAOB to conduct inspections in the past also deprived our investors of the benefits of such inspections.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do not expect to be identified as a “Commission-Identified Issuer” under the HFCAA for the fiscal year ended December 31, 2024 after we file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and states that it has already made plans to resume regular inspections. The PCAOB is required under the HFCAA to make its determination on an annual basis in regard to its ability to inspect and investigate completely accounting firms based in mainland China and Hong Kong. The possibility of being a “Commission-Identified Issuer” and risk of delisting could continue to adversely affect the trading price of our securities.</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If the PCAOB determines in the future that it is unable to inspect or investigate completely registered public accounting firms headquartered in mainland China and Hong Kong, including our auditor as an independent registered public accounting firm, for two consecutive years, trading in our securities on U.S. markets will be prohibited. This will substantially impair your ability to sell or purchase the ADSs when you wish to do so. Furthermore, such trading prohibition will significantly affect our ability to raise capital on terms acceptable to us, or at all, which will have a material adverse impact on our business,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 and Class A Ordinary Shares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and trading volume of our ADSs and Class A ordinary shares may be volatile, which could lead to substantial losses to investors.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trading price of the ADSs has been volatile since the ADSs started to trade on the NYSE on March 18, 2021. The trading price of the ADSs could continue to fluctuate widely due to factors beyond our control. The trading price of our Class A ordinary shares, likewise, can be volatile for similar or different reasons. In particular, the business and performance and the market price of the shares of other companies engaging in similar business to ours or those with operations located mainly in China that have listed their securities in the United States or Hong Kong may affect the price and trading volume of our ADSs and Class A ordinary shares. In addition to market and industry factors, the price and trading volume of our ADSs may be highly volatile for factors specific to our own operations, including the following:</w:t>
      </w:r>
    </w:p>
    <w:p>
      <w:pPr>
        <w:spacing w:after="0" w:line="189"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revenues, earnings or cash flow;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capital raisings or capital commitments or joint ventures by us or our competitors;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solutions and services and expansions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to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a lack of effective internal control over financial reporting, inadequate corporate governance policies or fraud, among other things, involving China-based issuers;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major shareholders’ business performance and reputation;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trade tensions between the United States and China, including but not limited to the imposition of new tariffs or adjustments in existing tariffs or trade barriers;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among Renminbi, the U.S. dollar and the Hong Kong dollar;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ADSs or Class A ordinary shares.</w:t>
      </w:r>
    </w:p>
    <w:p>
      <w:pPr>
        <w:spacing w:after="0" w:line="22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or Class A ordinary shares will trade. Furthermore, the stock exchanges on which our ADSs and Class A ordinary shares are traded in general experience price and volume fluctuations that are often unrelated or disproportionate to the operating performance of companies like us. These broad market and industry fluctuations may adversely affect the market price of our ADSs or Class A ordinary shares.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successful or not,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shares’ voting power limited our shareholders’ ability to influence corporate matters.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Our company is controlled through weighted voting rights. Each Class A ordinary share carries only one tenth (1/10) of the voting rights of each Class B ordinary share under our current memorandum and articles of association (except as required by applicable law, rules and regulations and in relation to certain reserved matters). As of April 15, 2025, there were 609,721,949 issued and outstanding ordinary shares, consisting of 539,516,649 Class A ordinary shares (including 2,085,143 Class A ordinary shares issued to the depositary bank for bulk issuance of ADSs reserved for future issuances upon the exercise or vesting of awards granted under our 2024 Share Scheme and 223,773 Class A ordinary shares represented by ADSs that have been repurchased by us from the open market) and 70,205,300 Class B ordinary shares. Mr. Xueji Wang and Mr. Liaohan Chen beneficially owned 77,294,700 Class A ordinary shares and 70,205,300 Class B ordinary shares, representing approximately 62.9% of the voting rights in our company with respect to shareholder resolutions relating to matters other than certain reserved matters, on the basis that Class A ordinary shares entitle shareholders to one vote per share and Class B ordinary shares entitle shareholders to 10 votes per share. As a result, Mr. Wang and Mr. Chen have significant influence over management and affairs of our company and over all matters requiring shareholder approval, including the election of directors (excluding the appointment, election or removal of any independent non-executive director) and significant corporate transactions, such as a mergers, consolidations, liquidations and the sale of all or substantially all of our assets, and other significant corporate actions. In addition, the issuance of the Class A ordinary shares, including future stock-based acquisition transactions and employee equity incentive programs, could prolong the duration of the ownership of Mr. Wang and Mr. Chen of our voting power and their ability to determine the outcome of most matters submitted to a vote of our shareholders. This concentrated control limits or severely restricts our shareholders’ ability to influence corporate matters, and therefore we may take actions that our shareholders do not view as beneficial. As a result, the market price of our ADSs or Class A ordinary shares could be adversely affected. This concentrated control could discourage others from pursuing any potential merger, takeover or other change of control transactions that holders of Class A ordinary shares and ADSs may view as beneficial, and may also discourage, delay, or prevent a change of control of our company, which could have the effect of depriving our other shareholders of the opportunity to receive a premium for their shares as part of a sale of our company and may reduce the price of our ADSs or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ADSs may not have the same voting rights as the holders of our Class A ordinary shares and may not be able to exercise their right to direct how our Class A ordinary shares represented by the ADSs are voted.</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Holders of the ADSs do not have the same rights as our registered shareholders. Holders of the ADSs will not have any direct right to attend general meetings of our shareholders or to cast any votes at such meetings and will only be able to exercise the voting rights that are carried by the underlying Class A ordinary shares represented by the ADSs indirectly by giving voting instructions to the depositary in accordance with the provisions of the deposit agreement. Under the deposit agreement, holders of the ADSs may vote only by giving voting instructions to the depositary. If we instruct the depositary to ask holders of the ADSs for their instructions, then upon receipt of voting instructions from holders of the ADSs, the depositary will try, as far as practicable, to vote the underlying Class A ordinary shares represented by the ADSs in accordance with the instructions. If we do not instruct the depositary to ask holders of the ADSs for their instructions, the depositary may still vote in accordance with instructions given, but it is not required to do so. Holders of the ADSs will not be able to directly exercise their right to vote with respect to the Class A ordinary shares represented by the ADSs unless holders of the ADSs withdraw the shares and become the registered holder of such shares prior to the record date for the general meeting. Under the Articles, the minimum notice period required to be given by our company to our registered shareholders for convening a general meeting is seven business days.</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holders of the ADSs may not receive sufficient advance notice of the meeting to surrender their ADSs for the purpose of withdrawal of our Class A ordinary shares represented by such ADSs and become the registered holder of such shares to allow them to vote directly with respect to any specific matter or resolution to be considered and voted upon at the general meeting. In addition, under the Articles,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holders of the ADSs from surrendering ADSs for the purpose of withdrawing our Class A ordinary shares represented by such ADSs and becoming the registered holder of such shares prior to the record date, so that they would not be able to attend the general meeting or to vote directly. If we ask for instructions, the depositary will notify holders of the ADSs of the upcoming vote and will arrange to deliver our voting materials to them. We have agreed to give the depositary at least 40 days’ prior notice of shareholder meetings. Nevertheless, there is no guarantee that holders of the ADSs will receive the voting materials in time to ensure that holders of the ADSs can instruct the depositary to vote the Class A ordinary shares represented by their ADSs. In addition, the depositary and its agents are not responsible for failing to carry out voting instructions or for their manner of carrying out voting instructions from holders of the ADSs. This means that holders of the ADSs may not be able to exercise their right to direct how our Class A ordinary shares represented by their ADSs are voted and they may have no legal remedy if our Class A ordinary shares represented by their ADSs are not voted as they have requested.</w:t>
      </w:r>
    </w:p>
    <w:p>
      <w:pPr>
        <w:spacing w:after="0" w:line="1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our securities ineligible for inclusion in certain stock market indices, and thus adversely affect the trading price and liquidity of our ADSs or Class A ordinary shares.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cannot predict whether our dual-class share structure with different voting rights will result in a lower or more volatile market price of our ADSs or Class A ordinary shares, in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our securities in such indices, which could adversely affect the trading price and liquidity of our securities. In addition, several shareholder advisory firms have announced their opposition to the use of the multiple class structure and our dual-class structure may cause shareholder advisory firms to publish negative commentary about our corporate governance, in which case the market price and liquidity of our ADSs and Class A ordinary shares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our securities, the market price and trading volume for our ADSs and Class A ordinary shares could decline.</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trading market for our ADSs and Class A ordinary shares depends in part on the research and reports that securities or industry analysts publish about us or our business. If research analysts do not establish and maintain adequate research coverage or if one or more of the analysts who covers us downgrades our ADSs or Class A ordinary shares,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and Class A ordinary shares to decline.</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sales of our ADSs or Class A ordinary shares could materially and adversely affect their market price.</w:t>
      </w:r>
    </w:p>
    <w:p>
      <w:pPr>
        <w:spacing w:after="0" w:line="15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Sales of our ADSs and Class A ordinary shares in the public market, or the perception that these sales could occur, could cause the market price of our securities to decline. Shares held by our existing shareholders may be available for sale subject to the volume and other restrictions as applicable provided in Rules 144 and 701 under the U.S. Securities Act of 1933, as amended (the “Securities Act”), and the applicable lock-up agreements. We cannot predict what effect, if any, market sales of securities held by our significant shareholders or any other shareholder or the availability of these securities for future sale will have on the market price of our ADSs or Class A ordinary shares.</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have granted equity-based awards to certain management, employees and non-employees. We adopted the 2015 Plan, which is terminated in June 2024 and established the 2024 Share Scheme, under which we may have the discretion to grant a range of equity-based awards to eligible participants. We intend to register all ordinary shares that we have issued or that we may issue in connection with any employee share-based awards. Once we register these ordinary shares, ADSs representing them can be freely sold in the public market upon issuance, subject to volume limitations applicable to affiliates and the applicable lock-up agreements. If ADSs representing a large number of our ordinary shares or securities convertible into our ordinary shares are sold in the public market after they become eligible for sale, the sales could reduce the trading price of the ADSs and impede our ability to raise future capital. In addition, any ordinary shares that we issue under our share incentive plan would dilute the percentage ownership held by investors who purchase the ADSs.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ADSs or Class A ordinary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Short sellers hope to profit from a decline in the price of the securities between the sale of the borrowed securities and the purchase of the replacement shares, as short sellers expect to pay less in that purchase than they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public companies that have substantially all of their operations in China.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or Class A ordinary shares could be greatly reduced or even rendered worthless.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may not pay dividends in the future, you must rely on a price appreciation of our ADSs or Class A ordinary shares for a return on your investment.</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Although we have declared dividends in the past, including in August 2024 and February 2025, we cannot guarantee that we will continue to do so in the future. We have adopted a policy on payment of dividends which however does not mandate our declaration of regular cash dividends, and investors should not rely on an investment in our ADSs or Class A ordinary shares as a source for any future dividend income. Any decision to distribute dividends remains at the full discretion of our board of directors.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the broader business and economic environment, as well as other factors deemed relevant by our board of directors. Accordingly, the return on your investment in our ADSs or Class A ordinary shares will likely depend entirely upon any future price appreciation of such securities. There is no guarantee that our ADSs or Class A ordinary shares will appreciate in value or even maintain the price at which you purchased them. You may not realize a return on your investment in our ADSs or Class A ordinary shares and you may even lose your entire investment.</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or Hong Kong courts may be limited, because we are incorporated under Cayman Islands law.</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the Articles, the Companies Act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the United States or Hong Kong.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19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Articles, the register of mortgages and charges and any special resolutions passed by shareholders) or to obtain copies of lists of shareholders of these companies. To the extent permissible under the Articles and that shall be in compliance with applicable stock exchange rules, our directors have discretion under our Articles to determine the closure of the register of members.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In the absence of a mutual and practical cooperation mechanism, there has not been efficient regulatory cooperation between the local authorities in China and the securities regulatory authorities in the United States to implement cross-border supervision and administration so far.</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Furthermore, according to Article 177 of the PRC Securities Law (the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not receive cash dividends if the depositary decides it is impractical to make them available to such holders.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ordinary shares or other deposited securities. To the extent that there is a distribution, the depositary of the ADSs has agreed to pay to holders of the ADSs the cash dividends or other distributions it or the custodian receives on our ordinary shares or other deposited securities after deducting its fees and expenses. Holders of the ADSs will receive these distributions in proportion to the number of ordinary shares the ADSs represent. However, the depositary may, at its discretion, decide that it is inequitable or impractical to make a distribution available to any holders of the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the ADSs.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ADSs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holders of the ADSs waive the right to a jury trial for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City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8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If owners or holders of the ADSs bring a claim against us or the depositary in connection with matters arising under the deposit agreement or the ADSs, including claims under federal securities laws, owners or holders of the ADSs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owners or holders of the ADSs or by us or the depositary of compliance with any substantive provision of the U.S. federal securities laws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experience dilution of their holdings due to the inability to participate in rights offerings.</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However, we cannot make such rights available to holders of the ADSs in the United States unless we register both the rights and the securities to which the rights relate under the Securities Act or an exemption from the registration requirements is available. Under the deposit agreement, the depositary will not distribute rights to holders of the ADSs unless the distribution and sale of rights and the securities to which these rights relate are either exempt from registration under the Securities Act with respect to all holders of the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be subject to limitations on the transfer of the ADSs.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it expedient in connection with the performance of its duties.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give us power to take certain actions that could discourage a third party from acquiring us, which could limit your opportunity to sell your shares, including ADSs, at a premium.</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Our Articles give us power to take certain actions that could have the effect of depriving our shareholders of an opportunity to sell their shares at a premium over prevailing market prices by discouraging third parties from seeking to obtain control of our company in a tender offer or similar transaction. Subject to the Articles, compliance with the Hong Kong Listing Rules (and only to such extent permitted thereby), the Codes on Takeovers and Mergers and any applicable rules and regulations of authorities of places where the securities of our company are listed, and on the conditions that (i) no new class of shares with voting rights superior to those of Class A ordinary shares will be created and (ii) any variation in the relative rights as between the different classes will not result in creating a new class of shares with voting rights superior to those of Class A ordinary shares,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Preferred shares could be issued quickly with terms calculated to delay or prevent a change in control of our Company or make removal of management more difficult. If our Board decides to issue preferred shares, the price of our ADSs or Class A ordinary shares may fall and the voting and other rights of the holders of our ADSs or Class A ordinary shares may be materially and adversely affected. However, our exercise of any such power that may limit the ability of others to acquire control of our company or cause us to engage in change-of-control transactions under the Articles is subject to our overriding obligations to comply with all applicable Hong Kong laws and regulations, the Hong Kong Listing Rules, and the Codes on Takeovers and Mergers and Share Buy-backs.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1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35" w:lineRule="exact"/>
        <w:rPr>
          <w:sz w:val="20"/>
          <w:szCs w:val="20"/>
          <w:color w:val="auto"/>
        </w:rPr>
      </w:pPr>
    </w:p>
    <w:p>
      <w:pPr>
        <w:ind w:left="680" w:right="40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2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2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18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which may be difficult for overseas regulators to conduct investigation or collect evidence within China.</w:t>
      </w:r>
    </w:p>
    <w:p>
      <w:pPr>
        <w:spacing w:after="0" w:line="14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public company, particularly after we cease to qualify as an “emerging growth company” as such term is defined under the JOBS Act of the United States.</w:t>
      </w:r>
    </w:p>
    <w:p>
      <w:pPr>
        <w:spacing w:after="0" w:line="13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of 2002, as well as rules subsequently implemented by the SEC and NYSE, impose various requirements on the corporate governance practices of public companies. We expect these rules and regulations to increase our legal and financial compliance costs and to make some corporate activities more time-consuming and costly. For example, as a public company, we have increased the number of independent directors and adopted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have incurred, and will continue to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company with less than US$1.235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5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Any such class action suit could divert a significant amount of our management’s attention and other resources from our business and operations, which could harm our results of operations and require us to incur significant expenses to defend the suit. In addition, any such class action suit, whether or not successful, could harm our reputation and restrict our ability to raise capital in the future. Furthermore, if a claim is successfully made against us, we may be required to pay significant damages, which could have a material adverse effect on our financial condition and results of operations.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NYSE corporate governance listing standards. These practices may afford less protection to shareholders than they would enjoy if we complied fully with the NYSE corporate governance listing standards.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listed on the NYSE, we are subject to corporate governance listing standards of the NYSE.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followed Cayman Islands corporate governance practices in lieu of certain corporate governance requirements of the NYSE that listed companies must have (i) a nominating / corporate governance committee composed entirely of independent directors; and (ii) a compensation committee composed entirely of independent directors. As we have chosen, and may from time to time choose, to follow home country practice, our shareholders may be afforded less protection than they otherwise would enjoy under NYSE corporate governance listing standards applicable to U.S. domestic issuers.</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“Investment Company Act”), applicable restrictions could make it impractical for us to continue our business as contemplated and could have a material adverse effect on our business, results of operations and financial condition.</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intend to conduct our operations so that we will not be deemed to be an investment company under the Investment Company Act. Under Section 3(a)(1) of the Investment Company Act, an entity generally will be deemed to be an “investment company” for purposes of the Investment Company Act if, absent an applicable exemption: (a) it is or holds itself out as being engaged primarily, or proposes to engage primarily, in the business of investing, reinvesting or trading in securities or (b) it is engaged or proposes to engage in the business of investing, reinvesting, owning, holding or trading in securities, and owns or proposes to acquire securities (other than U.S. government securities, securities issued by employees’ securities companies and securities issued by qualifying majority-owned subsidiaries of such entity) having a value exceeding 40% of the value of its total assets (exclusive of U.S. government securities and cash items) on an unconsolidated basis.</w:t>
      </w:r>
    </w:p>
    <w:p>
      <w:pPr>
        <w:spacing w:after="0" w:line="192" w:lineRule="exact"/>
        <w:rPr>
          <w:sz w:val="20"/>
          <w:szCs w:val="20"/>
          <w:color w:val="auto"/>
        </w:rPr>
      </w:pPr>
    </w:p>
    <w:p>
      <w:pPr>
        <w:ind w:right="160" w:firstLine="324"/>
        <w:spacing w:after="0" w:line="252" w:lineRule="auto"/>
        <w:rPr>
          <w:sz w:val="20"/>
          <w:szCs w:val="20"/>
          <w:color w:val="auto"/>
        </w:rPr>
      </w:pPr>
      <w:r>
        <w:rPr>
          <w:rFonts w:ascii="Times New Roman" w:cs="Times New Roman" w:eastAsia="Times New Roman" w:hAnsi="Times New Roman"/>
          <w:sz w:val="18"/>
          <w:szCs w:val="18"/>
          <w:color w:val="auto"/>
        </w:rPr>
        <w:t>We believe that we are, and hold ourselves out as being, engaged primarily in the business of IoT related product and service offerings, including PaaS and SaaS (such as industry SaaS and cloud-based software value-added services), based on a purpose-built cloud development platform, as well as smart solutions for smart devices and not in the business of investing, reinvesting or trading in securities. Accordingly, we do not believe that the Company is what is frequently referred to as an “orthodox” investment company as defined in the Investment Company Act and described in clause (a) in the preceding paragraph. Furthermore, we believe that, on an unconsolidated basis, at least 60% of the value of the Company’s total assets (exclusive of U.S. government securities and cash items) consists of direct equity interests in and/or loans to its direct or indirect qualifying majority-owned subsidiaries. We believe these subsidiaries are each qualifying majority-owned subsidiaries for purposes of the test described in clause (b) in the preceding paragraph, because such subsidiaries are primarily engaged in the business of providing internet-of-things products and services, and are either (i) not investment companies under the 40% test described in clause (b) in the preceding paragraph, because each such subsidiary does not hold securities (other than U.S. government securities, securities issued by employees’ securities companies and securities issued by qualifying majority owned subsidiaries of such entity) having a value exceeding 40% of the value of its total assets (exclusive of U.S. government securities and cash items) on an unconsolidated basis or (ii) not investment companies under exemptions under the Investment Company Act, such as for companies that are not primarily engaged in investing in securities.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need to comply with Section 3(a)(1), or exemptions, under the Investment Company Act may cause us to restrict our business and subsidiaries with respect to how we invest excess cash pending use in our business, a substantial portion of which is held in short-and long-term bank time deposits which may be deemed investment securities for purposes of the 40% test described in clause (b) above. In addition, if we no longer meet the requirements of Section 3(a)(1), and no other exemption is available to us, we may take other actions in order to conduct our business in a manner that does not subject us to the registration and other requirements of the Investment Company Act. This may include adjusting our cash management assets, which may result in lower rates of returns, and/or liquidating all or a portion of our investment securities (including potentially short- and/or long-term bank time deposits), including on unfavorable terms, and holding such amounts in cash, and/or acquiring assets or businesses that could change the nature of our business or potentially taking other actions that may be viewed as adverse to the holders of our ADS or ordinary shares, in order to conduct our business in a manner that does not subject us to the registration and other requirements of the Investment Company Act.</w:t>
      </w:r>
    </w:p>
    <w:p>
      <w:pPr>
        <w:spacing w:after="0" w:line="19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anything were to happen which would cause the Company to be deemed to be an investment company under the Investment Company Act, we may lose our ability to raise money in the U.S. capital markets and from U.S. lenders, and additional restrictions under the Investment Company Act could apply to us, all of which could make it impractical for us to continue our business as currently conducted. This would materially and adversely affect the value of our ADS or ordinary shares and our ability to pay dividends in respect of our ADS or ordinary shares.</w:t>
      </w:r>
    </w:p>
    <w:p>
      <w:pPr>
        <w:spacing w:after="0" w:line="1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were likely a passive foreign investment company (a “PFIC”) for 2024 and there is a significant risk that we will be a PFIC for 2025 and possibly subsequent taxable years, in which case U.S. investors will generally be subject to adverse U.S. federal income tax consequences.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(or is treated as owning for U.S. federal income tax purposes),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Goodwill and other intangible assets are active under the PFIC rules to the extent attributable to activities that produce active income.</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hold a substantial amount of cash and financial investments, and while that continues to be the case our PFIC status for any taxable year may depend on the average value of our goodwill and other intangible assets. We have not obtained any valuation of our goodwill or other assets. However, the value of our goodwill and other intangible assets for any taxable year may be determined, in large part, by reference to our average market capitalization, which has declined substantially since our initial public offering. If the value of our goodwill for 2024 is determined by reference to our average market capitalization for 2024, then we were likely a PFIC for our 2024 taxable year. In light of our declined market capitalization, there is a significant risk that we will also be a PFIC for 2025, and possibly future taxable years, if the value of our assets were to be determined by reference to our market capitalization. Moreover, it is not entirely clear how the contractual arrangements between us and the VIE will be treated for purposes of the PFIC rules, and we may be a PFIC for any taxable year if the VIE is not treated as owned by us for these purposes. Our PFIC status for any taxable year is an annual factual determination that can be made only after the end of that year and will depend on the composition of our income and assets and the value of our assets from time to time. For these reasons, we cannot express an expectation as to our PFIC status for 2025 or any future taxable year. U.S. holders of our ADSs or Class A ordinary shares should consult their tax advisers regarding our PFIC status for 2024 and any other taxable year.</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holds ADSs or Class A ordinary shares, the U.S. taxpayer generally will be subject to adverse U.S. federal income tax consequences, including increased tax liability on disposition gains and “excess distributions,” and certain reporting requirements. This will generally continue to be the case even if we ceased to be a PFIC in a later taxable year, unless certain elections are made. See “Item 10. Additional Information—10.E. Taxation—Material U.S. Federal Income Tax Considerations—Passive Foreign Investment Company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investment in our ADSs or Class A ordinary shares may be impacted if we are encouraged to issue CDRs in the future.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PRC government authorities have issued new rules that allow PRC technology companies listed outside China to list on the mainland stock market through the creation of Chinese Depositary Receipts (“</w:t>
      </w:r>
      <w:r>
        <w:rPr>
          <w:rFonts w:ascii="Times New Roman" w:cs="Times New Roman" w:eastAsia="Times New Roman" w:hAnsi="Times New Roman"/>
          <w:sz w:val="18"/>
          <w:szCs w:val="18"/>
          <w:b w:val="1"/>
          <w:bCs w:val="1"/>
          <w:color w:val="auto"/>
        </w:rPr>
        <w:t>CDRs</w:t>
      </w:r>
      <w:r>
        <w:rPr>
          <w:rFonts w:ascii="Times New Roman" w:cs="Times New Roman" w:eastAsia="Times New Roman" w:hAnsi="Times New Roman"/>
          <w:sz w:val="18"/>
          <w:szCs w:val="18"/>
          <w:color w:val="auto"/>
        </w:rPr>
        <w:t>”). However, as the CDR mechanism is newly established, there are substantial uncertainties in the interpretation and implementation of these rules. We might consider and be encouraged by the evolving PRC governmental policies to issue CDRs and allow investors to trade our CDRs on PRC stock exchanges in the future. However, there are uncertainties as to whether a pursuit of CDRs in China would bring positive or negative impact on your investment in our ADSs or Class A ordinary shares.</w:t>
      </w:r>
    </w:p>
    <w:p>
      <w:pPr>
        <w:spacing w:after="0" w:line="1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4.A.</w:t>
      </w:r>
      <w:r>
        <w:rPr>
          <w:sz w:val="20"/>
          <w:szCs w:val="20"/>
          <w:color w:val="auto"/>
        </w:rPr>
        <w:tab/>
      </w:r>
      <w:r>
        <w:rPr>
          <w:rFonts w:ascii="Times New Roman" w:cs="Times New Roman" w:eastAsia="Times New Roman" w:hAnsi="Times New Roman"/>
          <w:sz w:val="17"/>
          <w:szCs w:val="17"/>
          <w:b w:val="1"/>
          <w:bCs w:val="1"/>
          <w:color w:val="auto"/>
        </w:rPr>
        <w:t>History and Development of the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commenced our operations in June 2014 through Hangzhou Tuya Technology Co., Ltd., or Hangzhou Tuya Technology.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2014, Tuya, Inc., our current ultimate holding company, was incorporated under the laws of the Cayman Islands.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September 2014, Tuya (HK) Limited, currently a wholly owned subsidiary of Tuya Inc., was incorporated under the laws of Hong Kong.</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December 2014, Hangzhou Tuya Information Technology Co., Ltd. (formerly known as Hangzhou Aixiangji Technology Co., Ltd.) (“Tuya Information”) was incorporated in the PRC. Tuya Information is currently a wholly owned subsidiary of Tuya (HK) Limited.</w:t>
      </w:r>
    </w:p>
    <w:p>
      <w:pPr>
        <w:spacing w:after="0" w:line="17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June 2018, we effected a 10-for-1 share subdivision, following which each of our issued and unissued ordinary shares and preferred shares was subdivided into 10 ordinary shares and preferred shares, respectively.</w:t>
      </w:r>
    </w:p>
    <w:p>
      <w:pPr>
        <w:spacing w:after="0" w:line="16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March 2021, our ADSs commenced trading on the NYSE under the symbol “TUYA.” We raised, from our initial public offering and from the underwriters’ exercise of option to purchase additional ADSs, approximately US$904.7 million in net proceeds after deducting underwriting commissions and the offering expenses paid by us.</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July 5, 2022, Hong Kong time, our Class A ordinary shares commenced trading on the Main Board of the Hong Kong Stock Exchange under the stock code “2391.” We raised from our global offering in connection with the listing in Hong Kong approximately HK$70.0 million in net proceeds after deducting underwriting commissions, fees and the offering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4.B.</w:t>
      </w:r>
      <w:r>
        <w:rPr>
          <w:sz w:val="20"/>
          <w:szCs w:val="20"/>
          <w:color w:val="auto"/>
        </w:rPr>
        <w:tab/>
      </w:r>
      <w:r>
        <w:rPr>
          <w:rFonts w:ascii="Times New Roman" w:cs="Times New Roman" w:eastAsia="Times New Roman" w:hAnsi="Times New Roman"/>
          <w:sz w:val="17"/>
          <w:szCs w:val="17"/>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REVIEW OF 2024</w:t>
      </w:r>
    </w:p>
    <w:p>
      <w:pPr>
        <w:spacing w:after="0" w:line="229"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7"/>
          <w:szCs w:val="17"/>
          <w:color w:val="auto"/>
        </w:rPr>
        <w:t>2024 was a pivotal year for Tuya, featuring multiple dimensions of progress in operational profitability, AI strategy execution, and start of shareholder return through dividends. We reached several financial milestones—including our inaugural quarterly and annual non-GAAP operating profitability and our first-ever annual GAAP net profit—while expanding our global footprint. We believe this success is rooted in Tuya’s global presence, hardware-and-software integrated business model and developer-focused approach.</w:t>
      </w:r>
    </w:p>
    <w:p>
      <w:pPr>
        <w:spacing w:after="0" w:line="164"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Throughout 2024, we observed sustained growth in end-market demand, stable customer relationships and their increased investment in smart product lines. Meanwhile, the rapid iteration and adoption of generative AI and LLMs further drove the consumer electronics industry’s transition toward intelligence-driven solutions. In this context, 2024 was also a year of our unwavering commitment to AI research and development. In the second quarter of 2024, we launched Tuya’s proprietary AI large model, Spatial LLM, while continuing to advance On-Device AI. Our goal is to leverage Gen AI to significantly enhance smart product experience, providing our customers with superior product competitiveness and end-users with more valuable smart features and functionalities. We firmly believe that AI, IoT, and cloud technologies will drive a new era of user experience and substantially increase the penetration of smart devices.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review</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2024, our total revenue reached about US$298.6 million, making nearly 30% year-over-year growth. Our overall gross margin remained stable at around 47%, while annual operating expenses declined by approximately 11% year-over-year due to continued cost discipline of the company. For the year, our non-GAAP profit from operations reached US$22.7 million, with a non-GAAP operating margin of 7.6%, validating the effectiveness and scalability of Tuya’s unique software-and-hardware integrated business model. Our non-GAAP net profit in 2024 reached US$75.3 million, with a year-over-year growth of around 268.5%. Additionally, we achieved our first-ever net profit of US$5.0 million on GAAP basis, marking a historic milestone in the Company’s financial performance. This achievement enhances our flexibility at the statutory shareholders’ equity level and enables us to pursue further strategic initiatives for long-term growth.</w:t>
      </w:r>
    </w:p>
    <w:p>
      <w:pPr>
        <w:spacing w:after="0" w:line="192"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On the cash flow side, we generated around US$80.4 million in positive operating cash flow in 2024. Following the dividend declared in August and paid in October last year, we ended the year with a net cash balance exceeding US$1.0 billion, maintaining a strong liquidity position.</w:t>
      </w:r>
    </w:p>
    <w:p>
      <w:pPr>
        <w:spacing w:after="0" w:line="176"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For IoT PaaS business, we witnessed a more diversified and dynamic developer base, contributing to solid year-over-year growth across all categories. Our product category structure has become increasingly balanced and diversified, aligning with the trend of customers expanding their product lines. In a highly fragmented and dispersed global consumer electronics market, the widespread adoption of technology continues to drive innovations across diverse product categories. The increasing variety of smart devices is fostering a more comprehensive approach to Spatial Intelligence, enhancing user convenience and comfort, ultimately progressing toward the vision of an interconnected and interactable intelligent ecosystem.</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Smart Solution business continued to gain traction, particularly among top-tier customers, achieving approximately 58% year-over-year growth in 2024. For instance, in response to the French government’s energy subsidy initiative, we supported our French customers in becoming among the first to meet the national energy efficiency subsidy standards, helping households lower energy consumption. At this stage of smart technology development, whether in consumer electronics or industry-specific applications, a rich ecosystem of smart devices is essential for top-tier customers. In this regard, Tuya possesses a significant advantage over the market with its expansive developer ecosystem, and Smart Solution further enhances our ability to support customers, strengthen engagement, and boost their market competitiveness.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remain committed to building a robust developer ecosystem. As of the end of 2024, the number of registered developers on our platform reached around 1.32 million, with over 1.07 million SKUs of smart devices developed on Tuya’s platform, spanning more than 3,000 product categories. We continue to foster an extensive ecosystem by, for example, integrating with Google Home APIs to create a seamless smart home experience and collaborating with Chery to establish a new “vehicle-home interconnectivity” ecosystem. At the same time, we are dedicated to expanding Tuya’s global influence, positioning ourselves as a reliable partner for customers and developers worldwide. Our HEMS solution was recognized in the United Nations Global Compact (UNGC) report, “20 Best Corporate Sustainability Practices in 20 Years,” highlighting Tuya’s commitment to sustainability. Additionally, we achieved an MSCI ESG rating of “A” and a Wind ESG rating of “A,” and we were included in the S&amp;P Sustainability Yearbook China Edition.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device and edge AI</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2024, as a technology-driven platform company, we continued to advance the capabilities in device and edge AI, building upon our early adoption of generative AI in 2023. We launched our AI Agent development platform in the fourth quarter of 2024. This platform enables seamless integration with leading LLMs, including ChatGPT, Qwen, DeepSeek, Doubao, Mistral’s Le Chat, Gemini, Amazon Nova, Claude, among others.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LLM-agnostic architecture represents a core differentiator. It allows developers to bypass the complexity of native LLM development by providing a middleware layer that connects foundational models to smart application scenarios. Developers are empowered to flexibly select the most appropriate LLM based on specific business requirements, and to rapidly build personalized AI-powered devices and applications using Tuya’s AI templates or custom frameworks. This approach mirrors Tuya’s all-agnostic infrastructure philosophy—enabling compatibility across diverse cloud services, IaaS, device categories, edge capabilities and hardware architectures—ultimately reducing integration costs and time-to-market for customers. The agnostic strategy significantly enhances flexibility and applicability for developers, reinforcing Tuya’s position as a horizontal enabler of diverse smart device and smart applications, rather than a vertical, single-category solution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prioritize the deployment of AI in areas such as audio-video interaction, operational efficiency, and intelligent decision-making. Audio-video AI enables new forms of user interaction with smart devices through natural language and multimedia input or output. AI-driven decision and efficiency capabilities help users optimize their smart device and usage strategies to meet increasingly personalized and differentiated needs. In parallel, we continue exploring the potential of our Spatial LLM technology in energy management and other spatial intelligence use cases.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Looking ahead, we expect device and edge AI to enter a new phase of growth, and plan to embed AI capabilities across all categories on the Tuya AI cloud developer platform, with the goal of making AI capabilities a default feature in all Powered-by-Tuya (“PBT”) devices. Through collaboration with global developers, we aim to accelerate innovation in on-device AI, continuously shaping a vibrant global AI+IoT (“AIoT”)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1146175</wp:posOffset>
            </wp:positionH>
            <wp:positionV relativeFrom="paragraph">
              <wp:posOffset>125730</wp:posOffset>
            </wp:positionV>
            <wp:extent cx="4011930" cy="18688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1193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We are a global leading AI cloud platform service provider with a mission to build an AIoT developer ecosystem and enable everything to be smart. We have pioneered a purpose-built AI cloud developer platform that delivers a full suite of offerings, including Platform-as-a-Service (“PaaS”), Software-as-a-Service (“SaaS”) and Smart Solutions to developers of smart device, commercial applications, and industries. Through our AI cloud developer platform, we have activated a vibrant global developer community of brands, OEMs, AI agents, system integrators and independent software vendors to collectively strive for smart solutions ecosystem embodying the principles of green and low-carbon, security, high efficiency, agility, and openness. We are the largest third-party AI cloud platform offering IoT PaaS in the global market of IoT PaaS in terms of the volume of smart devices powered in 2023, according to CIC.</w:t>
      </w:r>
    </w:p>
    <w:p>
      <w:pPr>
        <w:spacing w:after="0" w:line="17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deliver a variety of offerings. Our IoT PaaS offering enables businesses, including original equipment manufacturers (“OEMs”) and brands, and developers to develop, launch, manage and monetize software-enabled smart devices and services. Our SaaS offering for those who use smart devices includes industry SaaS that enables businesses to deploy, connect, and manage large numbers and different types of smart devices in different vertical scenarios for spatial intelligence, cloud-based software value-added services that provide end users with additional smart scenario features such as cloud storage, AI audio and video interaction, and Cube Smart Private Cloud Solution that enables large-scale conglomerates to build their own autonomous and controllable smart business platforms. We also offer businesses, developers and end users a diverse range of other cloud-based value-added services to improve their ability to develop and manage IoT experiences. Additionally, we offer smart solutions for smart devices in which we provide customers with smart devices that integrated AI and intelligent software capabilities beyond IoT.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53975</wp:posOffset>
            </wp:positionV>
            <wp:extent cx="5554980" cy="28975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498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business model is both unique and innovative. First, we offer technology, products, and services to enterprises, positioning us as a typical enterprise service business. Second, we focus on the smart device sector, and the products we provide are essential components of our customers’ own businesses and products. Our goal is to empower customers—helping them build their own smart products and achieve success in their respective downstream end market. As a result, majority of our revenue reflects the cyclical nature of smart devices and follows the dynamics of the hardware supply chain. Lastly, like a brain for smart devices, our platform provides an “one-platform-all-smart” unified user experience, enabling end users to fully benefit from smart scenarios through a connected device ecosystem with an agnostic system—regardless of the underlying cloud service, IaaS provider, communication protocol, chip, or LLM, etc. These features collectively contribute to the network effects typical of internet-based business models, and together, they form our core competitive advantages and barriers to entry.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324"/>
        <w:spacing w:after="0" w:line="272" w:lineRule="auto"/>
        <w:rPr>
          <w:sz w:val="20"/>
          <w:szCs w:val="20"/>
          <w:color w:val="auto"/>
        </w:rPr>
      </w:pPr>
      <w:r>
        <w:rPr>
          <w:rFonts w:ascii="Times New Roman" w:cs="Times New Roman" w:eastAsia="Times New Roman" w:hAnsi="Times New Roman"/>
          <w:sz w:val="17"/>
          <w:szCs w:val="17"/>
          <w:color w:val="auto"/>
        </w:rPr>
        <w:t>Our platform benefits from network effects driven by our ecosystem of developers, businesses, partners and end users. End users of smart devices demand a unified user experience to interact with various types of devices from different brands through one portal, such as a single interface—only achievable when all devices have the same “brain.” This is akin to using different apps on one smartphone.</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platform provides an open architecture to connect any device from any brand, while enabling users to manage all devices across brands through a single portal. As a result, we believe that as our platform continues to grow, more brands and OEMs want to join our platform to integrate their devices onto the single user interface using the same “brain”, through which devices from other brands are connected. These self-reinforcing network effects further increase our brand awareness and generate word-of-mouth referrals, helping us build an extensive, vibrant and increasingly interconnected AIoT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130175</wp:posOffset>
            </wp:positionV>
            <wp:extent cx="5537835" cy="17316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3783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offerings enable customers across a broad range of industry verticals, such as smart home, smart business, renewable energy, education, agriculture, outdoors and sport, and entertainment. We have cultivated a large and diversified customer base, primarily including brands, OEMs, industry operators and system integrators. Starting from the end of 2021, we have been strategically optimizing our customer base to focus more on key account enterprises. In 2024, we served approximately 5,800 customers and our AI cloud platform empowered approximately 3,700 brands to develop their smart devices, including leading brands and enterprises such as Calex, Philips, Schneider Electric, Sharp, ABB, SCG, Panasonic, Changhong, TCL, Midea, etc. Our IoT PaaS currently enables businesses and developers across over 200 countries and regions globally to develop smart devices in approximately 3,000 categories. We have established a large and active community of approximately 1,316,000 registered IoT device and software developers as of December 31, 2024.</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the past, our business has scaled rapidly by leveraging our strong software and robust platform-based delivery capabilities. However, from the second half of 2021 to the first half of 2023, the global consumer electronics industry went through a headwind cycle, primarily due to global high inflation and supply-chain-wide destocking. Thanks to industry-wide efforts and moderately declining inflation, the downstream inventory level gradually returned to normal in the second half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2024, with a more stable macroeconomic environment, normalized downstream inventory levels, and rising demand for consumer electronics, the industry experienced a growth trajectory. Additionally, we believe that the rapid iteration and adoption of generative AI and LLMs will be driving a positive industry development, leading to a long-term increase the penetration and adoption of smart scenarios served by smart devices and smart applications. With the effective execution of our customer and product strategies, coupled with the utilization and innovation of emerging technologies, our revenue increased by 29.8% to US$298.6 million in 2024 from US$230.0 million in 2023. More importantly, we achieved GAAP net profitability for the first time, recording a net profit of US$5.0 million, compared to a net loss of US$60.3 million in 2023. See “Item 5. Operating and Financial Review and Prospects—5.A. Operating Results—Discussion of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Challenges in the AIoT Era</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By transforming the way people interact with the physical world, IoT and AI is also changing how brands and OEMs develop products and operate their business. With favorable technology drivers, consumers are increasingly demanding a software-like experience—in addition to the traditional physical interfaces—when interacting with devices, and are showing growing interest and high expectations for AI. As a result, brands and OEMs are seeking to build software capabilities in order to offer AIoT-enabled smart devices.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However, for brands and OEMs, building software and AI capabilities from scratch is both costly and time-consuming, causing many of their AIoT ventures to be unsuccessful. While a limited number of leading brands have built their own AIoT solutions, these solutions often are restricted to their own products, or products of their selected business partners, and the vast majority of brands and OEMs globally simply do not have the capital and technology expertise necessary to develop and deploy software across millions of devices, according to CIC. Brands, OEMs and developers face a number of challenges in delivering software-enabled AIoT offerings, such as (i) lack of development talent and capabilities, (ii) high cost and complexity to develop platforms, tools and applications, (iii) long development cycles, (iv) lack of standardized, easy-to-use software infrastructure and tools for developers and (v) inconsistent user experience caused by the fragmented market due to the variety of smart device categories and products across the brands and regions, which hinders the long-term potential of AIoT applications. These significant challenges can affect the end user experience and create the need for a third-party AI cloud platform that takes care of the complexities of developing, launching, supporting and growing AIoT software and unifying the IoT standards among fragmentation, so businesses and developers can leverage full-stack infrastructure and tools to develop devices and software applications with ease and cost-efficiency.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Tuya Solution—an AI Cloud Platform for Global Developers</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Tuya was founded to solve exactly these challenges. We offer what we call an “AI cloud platform”—a platform that is open to all types of brands, OEMs and developers from across the world where they can access a common infrastructure and all the ready-to-use software, development tools and services needed to develop and manage smart devices with AI capabilities. According to CIC, we offered the world’s first IoT cloud development platform, giving us significant first-mover advantages in attracting and building long-term relationships with brands and OEMs globally.</w:t>
      </w:r>
    </w:p>
    <w:p>
      <w:pPr>
        <w:spacing w:after="0" w:line="183"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platform is a one-stop AI cloud platform with an agnostic system across diverse cloud services, IaaS, device categories, edge capabilities and hardware architectures. It allows our brands and OEMs to digitalize their businesses and transform the experience of their end users across a diverse range of use cases.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use “AI cloud platform” as a collective term to refer to a combination of the various IoT capabilities, AI capabilities, products and services that we offer to brands, OEMs, developers, partners and end users. As illustrated in the diagram below, our AI cloud platform encompasses the various AI and IoT developer kits and cloud infrastructure capabilities, and our products and services are built upon such capabilities. For more information, see “—Our Technologies.” Through our platform we have established an ecosystem of brands, OEMs, developers, partners and end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128270</wp:posOffset>
            </wp:positionV>
            <wp:extent cx="3514725" cy="1945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1472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upon our Tuya AI cloud platform, we offer the following major cloud-based products and services:</w:t>
      </w:r>
    </w:p>
    <w:p>
      <w:pPr>
        <w:spacing w:after="0" w:line="221" w:lineRule="exact"/>
        <w:rPr>
          <w:sz w:val="20"/>
          <w:szCs w:val="20"/>
          <w:color w:val="auto"/>
        </w:rPr>
      </w:pPr>
    </w:p>
    <w:p>
      <w:pPr>
        <w:ind w:left="1000" w:right="20" w:hanging="317"/>
        <w:spacing w:after="0" w:line="253"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IoT PaaS. </w:t>
      </w:r>
      <w:r>
        <w:rPr>
          <w:rFonts w:ascii="Times New Roman" w:cs="Times New Roman" w:eastAsia="Times New Roman" w:hAnsi="Times New Roman"/>
          <w:sz w:val="18"/>
          <w:szCs w:val="18"/>
          <w:color w:val="auto"/>
        </w:rPr>
        <w:t>IoT PaaS provides brands and OEMs with a common software infrastructure and ready-to-use software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tools that they need to develop, manage and upgrade smart devices. IoT PaaS combines cloud-based connectivity and basic IoT services, edge capabilities, app development and device optimization solutions, which we believe are the most fundamental elements of enabling a product with IoT. Our platform allows customers to simultaneously work with multiple public cloud solutions, such as Amazon Web Services, Microsoft Azure, Alibaba Cloud and Tencent Cloud, as well as their private cloud infrastructures, with the flexibility to switch among them if needed. Our IoT PaaS transforms traditional products into IoT-enabled products with computing, storage and networking capabilities on the “edge,” laying the foundation for a low code or no code development environment. We also provide a suite of developer tools and cloud-based services for customers to personalize or develop IoT applications that connect to our AI cloud platform and manage their smart devices for a variety of use cases. In addition, we are integrating more AI capabilities into our platform and offering them to developers in the form of PaaS, enabling more intelligent and versatile application development.</w:t>
      </w:r>
    </w:p>
    <w:p>
      <w:pPr>
        <w:spacing w:after="0" w:line="193" w:lineRule="exact"/>
        <w:rPr>
          <w:rFonts w:ascii="Times New Roman" w:cs="Times New Roman" w:eastAsia="Times New Roman" w:hAnsi="Times New Roman"/>
          <w:sz w:val="18"/>
          <w:szCs w:val="18"/>
          <w:color w:val="auto"/>
        </w:rPr>
      </w:pPr>
    </w:p>
    <w:p>
      <w:pPr>
        <w:ind w:left="1000" w:hanging="317"/>
        <w:spacing w:after="0" w:line="25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We offer industry SaaS, vertical-focused software solutions for spatial intelligence in different industry verticals. Businesses, such as hotel operators or property managers, leverage our SaaS solutions to intelligently manage their operations based on connected smart devices, thereby creating more smart scenes, improving user experiences and operating efficiency or optimizing costs by conducting better energy management. We also offer cloud-based software value-added services to business customers or end users that provide additional smart scenario features such as cloud storage, AI audio and video interaction. Our SaaS offerings are fully integrated with our IoT cloud infrastructure, device management apps and user apps, for customers to use in a plug-and-play manner. In addition, we will be continuously enriching our SaaS portfolio with more AI-powered services—such as energy management strategies, AI-driven interactive content—to further enhance the value and user experience for end users.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offer our products and services to all key AIoT stakeholders. We set out to offer </w:t>
      </w:r>
      <w:r>
        <w:rPr>
          <w:rFonts w:ascii="Times New Roman" w:cs="Times New Roman" w:eastAsia="Times New Roman" w:hAnsi="Times New Roman"/>
          <w:sz w:val="18"/>
          <w:szCs w:val="18"/>
          <w:b w:val="1"/>
          <w:bCs w:val="1"/>
          <w:i w:val="1"/>
          <w:iCs w:val="1"/>
          <w:color w:val="auto"/>
        </w:rPr>
        <w:t>IoT PaaS</w:t>
      </w:r>
      <w:r>
        <w:rPr>
          <w:rFonts w:ascii="Times New Roman" w:cs="Times New Roman" w:eastAsia="Times New Roman" w:hAnsi="Times New Roman"/>
          <w:sz w:val="18"/>
          <w:szCs w:val="18"/>
          <w:color w:val="auto"/>
        </w:rPr>
        <w:t xml:space="preserve"> to customers developing smart devices, including brands and their contracted OEMs. Over time, we have extended our offerings to those who use smart devices. We offer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xml:space="preserve"> including industry SaaS that enables businesses to deploy, connect, and manage large numbers and different types of smart devices in different vertical scenarios for spatial intelligence, cloud-based software value-added services that provide end users with additional smart scenario features, such as cloud storage, AI audio and video interaction, and Cube Smart Private Cloud Solution that enables large-scale enterprise customers to build their own autonomous and controllable smart business platforms. We also offer businesses, developers and end users a diverse range of other cloud-based value-added services to improve their ability to develop and manage IoT experiences. Additionally, we offer </w:t>
      </w:r>
      <w:r>
        <w:rPr>
          <w:rFonts w:ascii="Times New Roman" w:cs="Times New Roman" w:eastAsia="Times New Roman" w:hAnsi="Times New Roman"/>
          <w:sz w:val="18"/>
          <w:szCs w:val="18"/>
          <w:b w:val="1"/>
          <w:bCs w:val="1"/>
          <w:i w:val="1"/>
          <w:iCs w:val="1"/>
          <w:color w:val="auto"/>
        </w:rPr>
        <w:t>Smart Solution</w:t>
      </w:r>
      <w:r>
        <w:rPr>
          <w:rFonts w:ascii="Times New Roman" w:cs="Times New Roman" w:eastAsia="Times New Roman" w:hAnsi="Times New Roman"/>
          <w:sz w:val="18"/>
          <w:szCs w:val="18"/>
          <w:color w:val="auto"/>
        </w:rPr>
        <w:t xml:space="preserve"> for smart devices in which we provide customers with smart devices that integrated AI and intelligent software capabilities beyond IoT.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Business Customers Developing Smart Devices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IoT PaaS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IoT PaaS is an integrated, all-in-one product for brands and OEMs to build and manage smart devices.</w:t>
      </w:r>
    </w:p>
    <w:p>
      <w:pPr>
        <w:spacing w:after="0" w:line="225" w:lineRule="exact"/>
        <w:rPr>
          <w:sz w:val="20"/>
          <w:szCs w:val="20"/>
          <w:color w:val="auto"/>
        </w:rPr>
      </w:pPr>
    </w:p>
    <w:p>
      <w:pPr>
        <w:ind w:right="640" w:firstLine="324"/>
        <w:spacing w:after="0" w:line="266" w:lineRule="auto"/>
        <w:rPr>
          <w:sz w:val="20"/>
          <w:szCs w:val="20"/>
          <w:color w:val="auto"/>
        </w:rPr>
      </w:pPr>
      <w:r>
        <w:rPr>
          <w:rFonts w:ascii="Times New Roman" w:cs="Times New Roman" w:eastAsia="Times New Roman" w:hAnsi="Times New Roman"/>
          <w:sz w:val="18"/>
          <w:szCs w:val="18"/>
          <w:color w:val="auto"/>
        </w:rPr>
        <w:t>Our IoT PaaS combines cloud-based connectivity and basic IoT services, edge capabilities, app development, and device optimization solutions which we believe are the most fundamental elements of IoT capabilities. Customers can also leverage our developer toolkits, including SDKs and open APIs, to customize for desired use cases and functionalities.</w:t>
      </w:r>
    </w:p>
    <w:p>
      <w:pPr>
        <w:spacing w:after="0" w:line="172" w:lineRule="exact"/>
        <w:rPr>
          <w:sz w:val="20"/>
          <w:szCs w:val="20"/>
          <w:color w:val="auto"/>
        </w:rPr>
      </w:pPr>
    </w:p>
    <w:p>
      <w:pPr>
        <w:ind w:left="1000" w:right="180" w:hanging="317"/>
        <w:spacing w:after="0" w:line="26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Cloud-based connectivity and basic IoT services. </w:t>
      </w:r>
      <w:r>
        <w:rPr>
          <w:rFonts w:ascii="Times New Roman" w:cs="Times New Roman" w:eastAsia="Times New Roman" w:hAnsi="Times New Roman"/>
          <w:sz w:val="18"/>
          <w:szCs w:val="18"/>
          <w:color w:val="auto"/>
        </w:rPr>
        <w:t>Our AI cloud platform assigns a unique virtual ID to each device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powered by Tuya and pairs it with a “digital twin.” A digital twin enables real-time, closed-loop interactions between the cloud and the physical smart device throughout its life cycle. As the status of the device changes, the digital twin synchronizes with it and “closes the loop” by interacting with the device to enable different functions and use cases.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Digital twin and the cloud-based connectivity it enables offer many features hard to imagine in the pre-IoT era, such as using a smartphone to control multiple devices remotely and predicting failure based on patterns learned from vast amounts of IoT data. It also brings convenience and safety to end users. For example, when smoke is detected while nobody is at home, it automatically turns off the gas and sends alerts. End users also benefit from basic IoT services such as automatic device scene switches based on real-time weather data obtained by the cloud through the internet. Digital twin also makes troubleshooting easier and less costly by providing developers with a virtual test environment to troubleshoot problems without making any changes to the physical device.</w:t>
      </w:r>
    </w:p>
    <w:p>
      <w:pPr>
        <w:spacing w:after="0" w:line="189" w:lineRule="exact"/>
        <w:rPr>
          <w:sz w:val="20"/>
          <w:szCs w:val="20"/>
          <w:color w:val="auto"/>
        </w:rPr>
      </w:pPr>
    </w:p>
    <w:p>
      <w:pPr>
        <w:ind w:left="980" w:right="420"/>
        <w:spacing w:after="0" w:line="282" w:lineRule="auto"/>
        <w:rPr>
          <w:sz w:val="20"/>
          <w:szCs w:val="20"/>
          <w:color w:val="auto"/>
        </w:rPr>
      </w:pPr>
      <w:r>
        <w:rPr>
          <w:rFonts w:ascii="Times New Roman" w:cs="Times New Roman" w:eastAsia="Times New Roman" w:hAnsi="Times New Roman"/>
          <w:sz w:val="18"/>
          <w:szCs w:val="18"/>
          <w:color w:val="auto"/>
        </w:rPr>
        <w:t>Our IoT PaaS offers developers, many of whom work for brands and OEMs, a portal through which they can access a variety of software and development tools, as illustrated in the screenshots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114300</wp:posOffset>
            </wp:positionV>
            <wp:extent cx="3617595" cy="4354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17595"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0" w:right="80" w:hanging="317"/>
        <w:spacing w:after="0" w:line="259"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IoT edge capabilities. </w:t>
      </w:r>
      <w:r>
        <w:rPr>
          <w:rFonts w:ascii="Times New Roman" w:cs="Times New Roman" w:eastAsia="Times New Roman" w:hAnsi="Times New Roman"/>
          <w:sz w:val="18"/>
          <w:szCs w:val="18"/>
          <w:color w:val="auto"/>
        </w:rPr>
        <w:t>To become “smart,” a device must have key capabilities such as connectivity, storage and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which we call “edge” capabilities, embedded in modules installed on the device. Our IoT PaaS offers a library of edge capabilities for customers to choose from, as well as visualized, simple tools and dashboards for them to quickly find what they need. Our IoT PaaS currently supports all mainstream wireless technologies, including Wi-Fi, Bluetooth, ZigBee, Thread, Matter and other IoT edge capabilities.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below screenshot illustrates the interface through which developers can leverage IoT PaaS to embed edge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154305</wp:posOffset>
            </wp:positionV>
            <wp:extent cx="3857625" cy="2280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576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edge capabilities we offer are all pre-coded and ready-to-use, giving customers shorter time-to-market than writing the codes from scratch.</w:t>
      </w:r>
    </w:p>
    <w:p>
      <w:pPr>
        <w:spacing w:after="0" w:line="158" w:lineRule="exact"/>
        <w:rPr>
          <w:sz w:val="20"/>
          <w:szCs w:val="20"/>
          <w:color w:val="auto"/>
        </w:rPr>
      </w:pPr>
    </w:p>
    <w:p>
      <w:pPr>
        <w:ind w:left="1000" w:right="40" w:hanging="317"/>
        <w:spacing w:after="0" w:line="259"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 development. </w:t>
      </w:r>
      <w:r>
        <w:rPr>
          <w:rFonts w:ascii="Times New Roman" w:cs="Times New Roman" w:eastAsia="Times New Roman" w:hAnsi="Times New Roman"/>
          <w:sz w:val="18"/>
          <w:szCs w:val="18"/>
          <w:color w:val="auto"/>
        </w:rPr>
        <w:t>An easy-to-use app is key to a superior AIoT experience. We offer “white label” apps with minimal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modification required to give customers the shortest time-to-market. This “one-app-for-all” approach enables end users to manage multiple devices, even those from different brands and categories, using one app only. Our customers may choose to engage us to design tailor-made apps or, in many more cases, customize the apps themselves or through third-party developers with development tools that we offer.</w:t>
      </w:r>
    </w:p>
    <w:p>
      <w:pPr>
        <w:spacing w:after="0" w:line="183" w:lineRule="exact"/>
        <w:rPr>
          <w:sz w:val="20"/>
          <w:szCs w:val="20"/>
          <w:color w:val="auto"/>
        </w:rPr>
      </w:pPr>
    </w:p>
    <w:p>
      <w:pPr>
        <w:jc w:val="both"/>
        <w:ind w:left="980" w:right="140"/>
        <w:spacing w:after="0" w:line="266" w:lineRule="auto"/>
        <w:rPr>
          <w:sz w:val="20"/>
          <w:szCs w:val="20"/>
          <w:color w:val="auto"/>
        </w:rPr>
      </w:pPr>
      <w:r>
        <w:rPr>
          <w:rFonts w:ascii="Times New Roman" w:cs="Times New Roman" w:eastAsia="Times New Roman" w:hAnsi="Times New Roman"/>
          <w:sz w:val="18"/>
          <w:szCs w:val="18"/>
          <w:color w:val="auto"/>
        </w:rPr>
        <w:t>The below screenshot showcases our “one-app-for-all” approach that enables end users to manage various functions and different categories of devices using a single app, as well as our “Smart Scene” functions, which allow users to configure and manage present scenes and recommend smart scenes according to connected devices and user behaviors.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123190</wp:posOffset>
            </wp:positionV>
            <wp:extent cx="3240405" cy="22371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4040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right="20" w:hanging="317"/>
        <w:spacing w:after="0" w:line="259"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Capabilities: </w:t>
      </w:r>
      <w:r>
        <w:rPr>
          <w:rFonts w:ascii="Times New Roman" w:cs="Times New Roman" w:eastAsia="Times New Roman" w:hAnsi="Times New Roman"/>
          <w:sz w:val="18"/>
          <w:szCs w:val="18"/>
          <w:color w:val="auto"/>
        </w:rPr>
        <w:t>AI agents are at the core of AI device, as they define the AI capabilities such device can deliver—such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interacting with devices through natural conversation, performing multimodal data analysis and processing, and executing AI control strategies. We are integrating these AI capabilities into our platform and offering them to developers in the form of PaaS, in order to support their needs in developing AI device and promote penetration of smart devices and scenarios, enabling more intelligent and versatile application development.</w:t>
      </w:r>
    </w:p>
    <w:p>
      <w:pPr>
        <w:spacing w:after="0" w:line="179" w:lineRule="exact"/>
        <w:rPr>
          <w:rFonts w:ascii="Times New Roman" w:cs="Times New Roman" w:eastAsia="Times New Roman" w:hAnsi="Times New Roman"/>
          <w:sz w:val="18"/>
          <w:szCs w:val="18"/>
          <w:color w:val="auto"/>
        </w:rPr>
      </w:pPr>
    </w:p>
    <w:p>
      <w:pPr>
        <w:ind w:left="1000" w:hanging="317"/>
        <w:spacing w:after="0" w:line="259"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Device optimization solutions. </w:t>
      </w:r>
      <w:r>
        <w:rPr>
          <w:rFonts w:ascii="Times New Roman" w:cs="Times New Roman" w:eastAsia="Times New Roman" w:hAnsi="Times New Roman"/>
          <w:sz w:val="18"/>
          <w:szCs w:val="18"/>
          <w:color w:val="auto"/>
        </w:rPr>
        <w:t>Even equipped with the edge capabilities, sometimes a device may not function well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hardware is incompatible with the software. We bridge this gap for customers by helping them optimize the design, manufacturing and configuration of Tuya-powered devices to ensure that the hardware and software integrate to deliver the desired use cases and functionality. We also provide developers with a suite of analytics and debugging tools to help them independently identify root causes and troubleshoot problems.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IoT PaaS also includes the following ancillary business related or technical related value-added services:</w:t>
      </w:r>
    </w:p>
    <w:p>
      <w:pPr>
        <w:spacing w:after="0" w:line="221" w:lineRule="exact"/>
        <w:rPr>
          <w:sz w:val="20"/>
          <w:szCs w:val="20"/>
          <w:color w:val="auto"/>
        </w:rPr>
      </w:pPr>
    </w:p>
    <w:p>
      <w:pPr>
        <w:ind w:left="1000" w:right="140" w:hanging="317"/>
        <w:spacing w:after="0" w:line="28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Tuya Mall. </w:t>
      </w:r>
      <w:r>
        <w:rPr>
          <w:rFonts w:ascii="Times New Roman" w:cs="Times New Roman" w:eastAsia="Times New Roman" w:hAnsi="Times New Roman"/>
          <w:sz w:val="18"/>
          <w:szCs w:val="18"/>
          <w:color w:val="auto"/>
        </w:rPr>
        <w:t>It refers to the services that we offer to customers to help them build their own online marketplace to sell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 smart devices.</w:t>
      </w:r>
    </w:p>
    <w:p>
      <w:pPr>
        <w:spacing w:after="0" w:line="154" w:lineRule="exact"/>
        <w:rPr>
          <w:rFonts w:ascii="Times New Roman" w:cs="Times New Roman" w:eastAsia="Times New Roman" w:hAnsi="Times New Roman"/>
          <w:sz w:val="18"/>
          <w:szCs w:val="18"/>
          <w:color w:val="auto"/>
        </w:rPr>
      </w:pPr>
    </w:p>
    <w:p>
      <w:pPr>
        <w:ind w:left="1000" w:right="400" w:hanging="317"/>
        <w:spacing w:after="0" w:line="28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Ecosystem partnership with virtual assistant providers. </w:t>
      </w:r>
      <w:r>
        <w:rPr>
          <w:rFonts w:ascii="Times New Roman" w:cs="Times New Roman" w:eastAsia="Times New Roman" w:hAnsi="Times New Roman"/>
          <w:sz w:val="18"/>
          <w:szCs w:val="18"/>
          <w:color w:val="auto"/>
        </w:rPr>
        <w:t>We enable our customers to add voice control powered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Amazon’s Alexa, Google Assistant and Samsung SmartThings and other voice-based capabilities to their devices.</w:t>
      </w:r>
    </w:p>
    <w:p>
      <w:pPr>
        <w:spacing w:after="0" w:line="154" w:lineRule="exact"/>
        <w:rPr>
          <w:rFonts w:ascii="Times New Roman" w:cs="Times New Roman" w:eastAsia="Times New Roman" w:hAnsi="Times New Roman"/>
          <w:sz w:val="18"/>
          <w:szCs w:val="18"/>
          <w:color w:val="auto"/>
        </w:rPr>
      </w:pPr>
    </w:p>
    <w:p>
      <w:pPr>
        <w:ind w:left="1000" w:right="140" w:hanging="317"/>
        <w:spacing w:after="0" w:line="26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18"/>
          <w:szCs w:val="18"/>
          <w:color w:val="auto"/>
        </w:rPr>
        <w:t>In addition, we provide approximately dozens of ancillary value-added services, such as app function expansion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device testing, “Work with Alexa” certification, “ZigBee Alliance” certification, and joint research and development of innovative smart applications, among other things. We also enable our customers to process and leverage device-level and app-level information to generate business insights to help improve their businesses.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IoT PaaS offers an all-agnostic development environment across diverse cloud services, IaaS, device categories, edge capabilities and hardware architectures, allowing customers to simultaneously work with multiple public or private cloud infrastructure and with the flexibility to switch among them if needed, develop their product portfolios with different communication protocols and IoT chips, and leverage the differentiated capabilities and advantages of various LLMs to better suite their smart devices. This flexibility is valued by customers because it enables them to scale up their product portfolios as well as to cater to the broadest user bases across global markets, as different brands may have different preferences over cloud infrastructures, chips, and LLMs, etc., from commercial or compliance perspectives. In addition, according to CIC, we are the world’s first IoT cloud development platform at scale that is cloud-agnostic.</w:t>
      </w:r>
    </w:p>
    <w:p>
      <w:pPr>
        <w:spacing w:after="0" w:line="192"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following flow chart illustrates how we connect and empower key stakeholders surrounding our IoT PaaS, i.e., chip vendors, brands (including retailers offering private-label smart devices) and their contracted OEMs, distribution channels, as well as end users. For more information about the value-added services we provide directly to end users, see “—For Business Customers and End Users Using Smart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125730</wp:posOffset>
            </wp:positionV>
            <wp:extent cx="3874770" cy="1954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4770" cy="195453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Cube – The Smart Private Cloud Solution</w:t>
      </w:r>
    </w:p>
    <w:p>
      <w:pPr>
        <w:spacing w:after="0" w:line="229" w:lineRule="exact"/>
        <w:rPr>
          <w:sz w:val="20"/>
          <w:szCs w:val="20"/>
          <w:color w:val="auto"/>
        </w:rPr>
      </w:pPr>
    </w:p>
    <w:p>
      <w:pPr>
        <w:jc w:val="both"/>
        <w:ind w:right="320" w:firstLine="324"/>
        <w:spacing w:after="0" w:line="261" w:lineRule="auto"/>
        <w:rPr>
          <w:sz w:val="20"/>
          <w:szCs w:val="20"/>
          <w:color w:val="auto"/>
        </w:rPr>
      </w:pPr>
      <w:r>
        <w:rPr>
          <w:rFonts w:ascii="Times New Roman" w:cs="Times New Roman" w:eastAsia="Times New Roman" w:hAnsi="Times New Roman"/>
          <w:sz w:val="18"/>
          <w:szCs w:val="18"/>
          <w:color w:val="auto"/>
        </w:rPr>
        <w:t>We officially released Cube Smart Private Cloud (“Cube”) in early 2022, which complements our existing public platform and enables us to address the need for large-scale conglomerates, such as our Fortune 500 customers, for building their autonomous and controllable smart business platforms. Cube also allows customers to access the full range of capabilities of our platform to build out their own smart businesses faster with improved sustainability and value creation.</w:t>
      </w:r>
    </w:p>
    <w:p>
      <w:pPr>
        <w:spacing w:after="0" w:line="180"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As one of our core long-term strategies, we will continue our innovation of Cube. For example, in 2023, we expanded and refined our product matrix, improved delivery efficiency, reduced operational costs for our clients and expanded AI capabilities while fostering deeper collaborations with global conglomerates. The introduction of the Cube, Cube Lite and Cube Edge product matrices in 2023 further diversified the applicability of Cube across different scenarios. These launches provided our customers with a wider range of choices, tailored to the specific requirements of vertical industries and enterprises of different sizes. By optimizing the overall efficiency of product delivery and operational costs, we were able to reduce costs for our clients. In addition, by enhancing our AI capabilities, we provided our clients with more intelligent and efficient vertical solutions, enabling them to address increasingly complex business challenges. We will continue to use Cube to win long-term collaboration opportunities with large global key accounts.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Smart Solution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2023, we upgraded our product strategy to further enhance our software-and-hardware integrated business model by expanding beyond IoT PaaS into a more comprehensive hardware solution model. This strategic shift aims to provide developers and customers not only with advanced software capabilities, but also with competitive, ready-to-deploy smart hardware solutions. Under this strategy, we offer smart solutions for smart devices, which target selected sophisticated and high-value potential smart device categories, to our customers such as brands and telecom operators in the form of delivering finished smart devices that integrated AI and intelligent software capabilities beyond IoT. As this business has grown to represent a larger share of our overall smart device business, we officially renamed the business line from Smart Device Distribution to Smart Solution starting in 2024. Our Smart Solutions cover both our core smart home offerings and a broader range of commercial verticals—including hospitality, real estate, mobility, and renewable energy.</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smart solutions enable these customers to benefit from smart devices with more self-developed, integrated AI and smart software capabilities beyond IoT. These include advanced algorithms for mapping, streaming media, and software protocols for gateways, among others. Leveraging refined software and hardware, we empower our customers to expand their market share while amplifying our revenue streams with improved gross margins. As a result, the gross margin for Smart Solution revenue stream increased from 11.6% in 2022 to 25.5% in 2024.</w:t>
      </w:r>
    </w:p>
    <w:p>
      <w:pPr>
        <w:spacing w:after="0" w:line="183"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also believe that the efficient distribution of Tuya-powered smart devices to target audiences benefits our long-term competitive edge and sustainability. To this end, we strategically offer some of our customers, mainly brands and system integrators, who prefer not to deal with a multiple OEMs option to purchase directly from us finished smart devices deployed with IoT PaaS sourced from qualified OEMs. These customers typically place purchase orders directly with us by specifying the type of smart devices. We then source devices for these customers from qualified OEMs selected based on the type of products, hardware specifications and other metrics. We earn the difference between the prices at which the products are sourced and sold.</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provide customers with the access to Tuya Expo, a dedicated business-to-business (B2B) platform connecting brands globally with an extensive network of OEMs. Currently, only a de minimis portion of our revenue is derived from Tuya Expo.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Business Customers and End Users Using Smart Devices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SaaS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Industry SaaS</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offer industry SaaS, vertical-focused software solutions that enable businesses to deploy, connect, and manage large numbers and different types of smart devices for spatial intelligence in different industry verticals. Just like how billions of people use apps to enjoy mobile technology, we design industry SaaS as plug-and-play everyday tools for people to interact with and harness the power of IoT. Industry SaaS makes life easier, healthier and more enjoyable, and drives efficiency, cost saving and productivity for businesses of all sizes across industries.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industry SaaS is built to be brand-agnostic and is compatible with Tuya-powered devices across brands and categories. We believe this is the key reason our customers choose us over other industry SaaS providers, especially those that only support certain brands exclusively, because our brand-agnostic industry SaaS enables customers to manage their diverse business needs and smart device products across different brands and categories. Industry SaaS customers have the flexibility in sourcing smart devices by themselves, from OEMs recommended by us or via other channels based on their own preferences.</w:t>
      </w:r>
    </w:p>
    <w:p>
      <w:pPr>
        <w:spacing w:after="0" w:line="183"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We offer industry SaaS to select verticals with the potential of monetizing our IoT capabilities. We are also able to deliver the infrastructure and core capabilities of industry SaaS as a vertical-agnostic solution that they can use to create industry-specific applications and use cases.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out below are a few examples of our industry SaaS and the use cases they enable:</w:t>
      </w:r>
    </w:p>
    <w:p>
      <w:pPr>
        <w:spacing w:after="0" w:line="221" w:lineRule="exact"/>
        <w:rPr>
          <w:sz w:val="20"/>
          <w:szCs w:val="20"/>
          <w:color w:val="auto"/>
        </w:rPr>
      </w:pPr>
    </w:p>
    <w:p>
      <w:pPr>
        <w:ind w:left="1000" w:right="40" w:hanging="317"/>
        <w:spacing w:after="0" w:line="26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home energy management system (“HEMS”) SaaS solution </w:t>
      </w:r>
      <w:r>
        <w:rPr>
          <w:rFonts w:ascii="Times New Roman" w:cs="Times New Roman" w:eastAsia="Times New Roman" w:hAnsi="Times New Roman"/>
          <w:sz w:val="18"/>
          <w:szCs w:val="18"/>
          <w:color w:val="auto"/>
        </w:rPr>
        <w:t>is a software-based home energy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designed to help households and property managers gain deeper visibility and control over home electricity usage. It enables smarter energy decisions, reduces unnecessary consumption, and supports the transition toward low-carbon, intelligent living environments.</w:t>
      </w:r>
    </w:p>
    <w:p>
      <w:pPr>
        <w:spacing w:after="0" w:line="180" w:lineRule="exact"/>
        <w:rPr>
          <w:sz w:val="20"/>
          <w:szCs w:val="20"/>
          <w:color w:val="auto"/>
        </w:rPr>
      </w:pPr>
    </w:p>
    <w:p>
      <w:pPr>
        <w:ind w:left="1660" w:right="280" w:hanging="329"/>
        <w:spacing w:after="0" w:line="295" w:lineRule="auto"/>
        <w:tabs>
          <w:tab w:leader="none" w:pos="1660" w:val="left"/>
        </w:tabs>
        <w:numPr>
          <w:ilvl w:val="1"/>
          <w:numId w:val="34"/>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The platform collects and visualizes real-time energy data from connected smart meters, providing users with intuitive dashboards that show household electricity usage trends, peak periods, and consumption breakdowns.</w:t>
      </w:r>
    </w:p>
    <w:p>
      <w:pPr>
        <w:spacing w:after="0" w:line="149" w:lineRule="exact"/>
        <w:rPr>
          <w:rFonts w:ascii="Courier New" w:cs="Courier New" w:eastAsia="Courier New" w:hAnsi="Courier New"/>
          <w:sz w:val="17"/>
          <w:szCs w:val="17"/>
          <w:color w:val="auto"/>
        </w:rPr>
      </w:pPr>
    </w:p>
    <w:p>
      <w:pPr>
        <w:ind w:left="1660" w:right="80" w:hanging="329"/>
        <w:spacing w:after="0" w:line="256" w:lineRule="auto"/>
        <w:tabs>
          <w:tab w:leader="none" w:pos="1660" w:val="left"/>
        </w:tabs>
        <w:numPr>
          <w:ilvl w:val="1"/>
          <w:numId w:val="3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Powered by AI algorithms such as NILM (Non-Intrusive Load Monitoring), the system can identify energy usage by individual appliances without requiring additional sensors, helping users pinpoint high-consumption devices and optimize usage behavior.</w:t>
      </w:r>
    </w:p>
    <w:p>
      <w:pPr>
        <w:spacing w:after="0" w:line="185" w:lineRule="exact"/>
        <w:rPr>
          <w:rFonts w:ascii="Courier New" w:cs="Courier New" w:eastAsia="Courier New" w:hAnsi="Courier New"/>
          <w:sz w:val="18"/>
          <w:szCs w:val="18"/>
          <w:color w:val="auto"/>
        </w:rPr>
      </w:pPr>
    </w:p>
    <w:p>
      <w:pPr>
        <w:ind w:left="1660" w:right="860" w:hanging="329"/>
        <w:spacing w:after="0" w:line="295" w:lineRule="auto"/>
        <w:tabs>
          <w:tab w:leader="none" w:pos="1660" w:val="left"/>
        </w:tabs>
        <w:numPr>
          <w:ilvl w:val="1"/>
          <w:numId w:val="34"/>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Smart HEMS also supports alert-based energy monitoring, including abnormal usage detection, device malfunction warnings, and predictive recommendations for energy saving, safety, and efficiency.</w:t>
      </w:r>
    </w:p>
    <w:p>
      <w:pPr>
        <w:spacing w:after="0" w:line="149" w:lineRule="exact"/>
        <w:rPr>
          <w:rFonts w:ascii="Courier New" w:cs="Courier New" w:eastAsia="Courier New" w:hAnsi="Courier New"/>
          <w:sz w:val="17"/>
          <w:szCs w:val="17"/>
          <w:color w:val="auto"/>
        </w:rPr>
      </w:pPr>
    </w:p>
    <w:p>
      <w:pPr>
        <w:ind w:left="1660" w:right="300" w:hanging="329"/>
        <w:spacing w:after="0" w:line="256" w:lineRule="auto"/>
        <w:tabs>
          <w:tab w:leader="none" w:pos="1660" w:val="left"/>
        </w:tabs>
        <w:numPr>
          <w:ilvl w:val="1"/>
          <w:numId w:val="3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With optional integration into a broader smart home ecosystem, users can automate lighting, HVAC, and other appliances based on energy data, further enhancing comfort and sustainability through AI-driven control strategies.</w:t>
      </w:r>
    </w:p>
    <w:p>
      <w:pPr>
        <w:spacing w:after="0" w:line="181" w:lineRule="exact"/>
        <w:rPr>
          <w:rFonts w:ascii="Courier New" w:cs="Courier New" w:eastAsia="Courier New" w:hAnsi="Courier New"/>
          <w:sz w:val="18"/>
          <w:szCs w:val="18"/>
          <w:color w:val="auto"/>
        </w:rPr>
      </w:pPr>
    </w:p>
    <w:p>
      <w:pPr>
        <w:ind w:left="1000" w:right="120" w:hanging="317"/>
        <w:spacing w:after="0" w:line="25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hotel/apartment SaaS solution </w:t>
      </w:r>
      <w:r>
        <w:rPr>
          <w:rFonts w:ascii="Times New Roman" w:cs="Times New Roman" w:eastAsia="Times New Roman" w:hAnsi="Times New Roman"/>
          <w:sz w:val="18"/>
          <w:szCs w:val="18"/>
          <w:color w:val="auto"/>
        </w:rPr>
        <w:t>offers a management solution for hotels and resorts, designed to not only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for hotel guests, but also drive automation, efficiency and responsiveness for the hospitality industry. For apartments, we also offer a toolkit for landlords and rental apartment operators to connect smart door locks, sockets and other smart devices to increase the value of their properties and make them easier to manage. It is compatible with all mainstream property management systems (“PMS”), as well as customers’ own systems purpose-built for a wide range of use cases, including campuses, offices and other commercial facilities.</w:t>
      </w:r>
    </w:p>
    <w:p>
      <w:pPr>
        <w:spacing w:after="0" w:line="186" w:lineRule="exact"/>
        <w:rPr>
          <w:rFonts w:ascii="Times New Roman" w:cs="Times New Roman" w:eastAsia="Times New Roman" w:hAnsi="Times New Roman"/>
          <w:sz w:val="18"/>
          <w:szCs w:val="18"/>
          <w:color w:val="auto"/>
        </w:rPr>
      </w:pPr>
    </w:p>
    <w:p>
      <w:pPr>
        <w:ind w:left="1660" w:right="160" w:hanging="329"/>
        <w:spacing w:after="0" w:line="295" w:lineRule="auto"/>
        <w:tabs>
          <w:tab w:leader="none" w:pos="1660" w:val="left"/>
        </w:tabs>
        <w:numPr>
          <w:ilvl w:val="1"/>
          <w:numId w:val="34"/>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Our Smart Hotel/Apartment SaaS solution allows the management to monitor different aspects of hotel services, such as housekeeping, guest traffic control, property surveillance and maintenance, from a single control point.</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660" w:right="20" w:hanging="329"/>
        <w:spacing w:after="0" w:line="256" w:lineRule="auto"/>
        <w:tabs>
          <w:tab w:leader="none" w:pos="1660" w:val="left"/>
        </w:tabs>
        <w:numPr>
          <w:ilvl w:val="0"/>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hotel experience – guests staying at a hotel utilizing our smart hotel app can personalize their surroundings without having to adjust every individual device. Hotels are also able to save on utilities bills by taking advantage of human activity detection-based lighting and air conditioning in public areas and guest rooms.</w:t>
      </w:r>
    </w:p>
    <w:p>
      <w:pPr>
        <w:spacing w:after="0" w:line="185" w:lineRule="exact"/>
        <w:rPr>
          <w:rFonts w:ascii="Courier New" w:cs="Courier New" w:eastAsia="Courier New" w:hAnsi="Courier New"/>
          <w:sz w:val="18"/>
          <w:szCs w:val="18"/>
          <w:color w:val="auto"/>
        </w:rPr>
      </w:pPr>
    </w:p>
    <w:p>
      <w:pPr>
        <w:ind w:left="1660" w:right="380" w:hanging="329"/>
        <w:spacing w:after="0" w:line="256" w:lineRule="auto"/>
        <w:tabs>
          <w:tab w:leader="none" w:pos="1660" w:val="left"/>
        </w:tabs>
        <w:numPr>
          <w:ilvl w:val="0"/>
          <w:numId w:val="35"/>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resident experience – residents can monitor energy and utilities usage, create simple one-click actions to streamline routines or create access credentials for all guests. Apartment managers can monitor apartment maintenance more efficiently through our smart apartment software.</w:t>
      </w:r>
    </w:p>
    <w:p>
      <w:pPr>
        <w:spacing w:after="0" w:line="186"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We primarily market our industry SaaS to system integrators. We also sell directly to individual industry operators, such as hotel or property managers. We mainly target large, established organizations with leading positions in their respective verticals and geographies, so that we can leverage their industry expertise and existing customer bases to quickly gain market shares and build brand awareness.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Cloud-based software value-added services</w:t>
      </w:r>
    </w:p>
    <w:p>
      <w:pPr>
        <w:spacing w:after="0" w:line="227"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Since inception, we have allowed end users to connect to our platform to access a variety of basic cloud-based services, such as receiving app updates, for free. We also provide cloud-based value-added service technologies to our business customers, enabling them to serve end users while sharing revenue with us, or we offer end users the option to pay a fee to access a curated suite of cloud-based software value-added services with the resulting revenue shared with the business customers responsible for serving those end users:</w:t>
      </w:r>
    </w:p>
    <w:p>
      <w:pPr>
        <w:spacing w:after="0" w:line="160" w:lineRule="exact"/>
        <w:rPr>
          <w:sz w:val="20"/>
          <w:szCs w:val="20"/>
          <w:color w:val="auto"/>
        </w:rPr>
      </w:pPr>
    </w:p>
    <w:p>
      <w:pPr>
        <w:ind w:left="1000" w:right="20" w:hanging="317"/>
        <w:spacing w:after="0" w:line="28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Storage </w:t>
      </w:r>
      <w:r>
        <w:rPr>
          <w:rFonts w:ascii="Times New Roman" w:cs="Times New Roman" w:eastAsia="Times New Roman" w:hAnsi="Times New Roman"/>
          <w:sz w:val="18"/>
          <w:szCs w:val="18"/>
          <w:color w:val="auto"/>
        </w:rPr>
        <w:t>– A cloud-based service that allows end users to revisit and replay content captured by their smart devices,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pictures for memorable moments throughout the day or heartwarming interactions with pets.</w:t>
      </w:r>
    </w:p>
    <w:p>
      <w:pPr>
        <w:spacing w:after="0" w:line="154" w:lineRule="exact"/>
        <w:rPr>
          <w:rFonts w:ascii="Times New Roman" w:cs="Times New Roman" w:eastAsia="Times New Roman" w:hAnsi="Times New Roman"/>
          <w:sz w:val="18"/>
          <w:szCs w:val="18"/>
          <w:color w:val="auto"/>
        </w:rPr>
      </w:pPr>
    </w:p>
    <w:p>
      <w:pPr>
        <w:ind w:left="1000" w:hanging="317"/>
        <w:spacing w:after="0" w:line="26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audio and video – </w:t>
      </w:r>
      <w:r>
        <w:rPr>
          <w:rFonts w:ascii="Times New Roman" w:cs="Times New Roman" w:eastAsia="Times New Roman" w:hAnsi="Times New Roman"/>
          <w:sz w:val="18"/>
          <w:szCs w:val="18"/>
          <w:color w:val="auto"/>
        </w:rPr>
        <w:t>AI-powered interactive experiences that support customized natural and emotional engagement.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example, an AI voice assistant such as AI toy can dynamically adjust its personality traits, voice, or accent to deliver emotional value or meet specific user interaction needs in various scenarios.</w:t>
      </w:r>
    </w:p>
    <w:p>
      <w:pPr>
        <w:spacing w:after="0" w:line="17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Push messaging – </w:t>
      </w:r>
      <w:r>
        <w:rPr>
          <w:rFonts w:ascii="Times New Roman" w:cs="Times New Roman" w:eastAsia="Times New Roman" w:hAnsi="Times New Roman"/>
          <w:sz w:val="18"/>
          <w:szCs w:val="18"/>
          <w:color w:val="auto"/>
        </w:rPr>
        <w:t>sends users SMS text messages when a specific event (e.g., fire alarm going off) happens;</w:t>
      </w:r>
    </w:p>
    <w:p>
      <w:pPr>
        <w:spacing w:after="0" w:line="225" w:lineRule="exact"/>
        <w:rPr>
          <w:rFonts w:ascii="Times New Roman" w:cs="Times New Roman" w:eastAsia="Times New Roman" w:hAnsi="Times New Roman"/>
          <w:sz w:val="18"/>
          <w:szCs w:val="18"/>
          <w:color w:val="auto"/>
        </w:rPr>
      </w:pPr>
    </w:p>
    <w:p>
      <w:pPr>
        <w:ind w:left="1000" w:right="180" w:hanging="317"/>
        <w:spacing w:after="0" w:line="28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Content – </w:t>
      </w:r>
      <w:r>
        <w:rPr>
          <w:rFonts w:ascii="Times New Roman" w:cs="Times New Roman" w:eastAsia="Times New Roman" w:hAnsi="Times New Roman"/>
          <w:sz w:val="18"/>
          <w:szCs w:val="18"/>
          <w:color w:val="auto"/>
        </w:rPr>
        <w:t>a library of digital content that enhances users’ AIoT experience, such as music, podcasts and even a bedtime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story that users can ask their Tuya-powered virtual assistant to tell for their kids; and</w:t>
      </w:r>
    </w:p>
    <w:p>
      <w:pPr>
        <w:spacing w:after="0" w:line="15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Others </w:t>
      </w:r>
      <w:r>
        <w:rPr>
          <w:rFonts w:ascii="Times New Roman" w:cs="Times New Roman" w:eastAsia="Times New Roman" w:hAnsi="Times New Roman"/>
          <w:sz w:val="18"/>
          <w:szCs w:val="18"/>
          <w:color w:val="auto"/>
        </w:rPr>
        <w:t>– various other cloud-based value-added services, such as stream media, among others.</w:t>
      </w:r>
    </w:p>
    <w:p>
      <w:pPr>
        <w:spacing w:after="0" w:line="229"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As we gain more insights about customer demands through their feedback, we will continue to roll out additional value-added services for business customers ultimately serving end users, aiming to provide an engaging and continuously improved customer experience.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Tuya IoT cloud infrastructure</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Our AI cloud platform and product offerings are supported by Tuya IoT cloud infrastructure, our unified underlying infrastructure,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114300</wp:posOffset>
            </wp:positionV>
            <wp:extent cx="3840480" cy="21513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404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IoT technologies consist mainly of a Things Technology Platform (“TTP”) and an Application Enabling Platform (“AEP”). TTP and AEP together serve as the bedrock of our AI cloud platform and product offerings. We also have Business Technology Platform (“BTP”), which is the competency center that provides the technology foundation to the upper layer of our Tuya IoT cloud infrastructure. With these technologies, developers can develop, manage, and upgrade smart devices and customize IoT capabilities for their specific user cases. We believe that these technological features are the foundation to our mission of enabling everything to be smart and integration of AI capabilities and services, empowering us to build a growing and dynamic network of developers and partners, and driving our long-term revenue growth.</w:t>
      </w:r>
    </w:p>
    <w:p>
      <w:pPr>
        <w:spacing w:after="0" w:line="185" w:lineRule="exact"/>
        <w:rPr>
          <w:sz w:val="20"/>
          <w:szCs w:val="20"/>
          <w:color w:val="auto"/>
        </w:rPr>
      </w:pPr>
    </w:p>
    <w:p>
      <w:pPr>
        <w:ind w:left="1000" w:right="80" w:hanging="317"/>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Things Technology Platform (“TTP”) </w:t>
      </w:r>
      <w:r>
        <w:rPr>
          <w:rFonts w:ascii="Times New Roman" w:cs="Times New Roman" w:eastAsia="Times New Roman" w:hAnsi="Times New Roman"/>
          <w:sz w:val="18"/>
          <w:szCs w:val="18"/>
          <w:color w:val="auto"/>
        </w:rPr>
        <w:t>is the technology that enables real-time, closed-loop data exchanges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 and the physical smart devices throughout their life cycle, thus improving the efficiency of IoT deployment. By integrating all types of data points and functions from hundreds of thousands of consumer smart devices, TTP generates a consistent and standardized “Things Model,” which allows developers to further customize it based on specific use cases. Our platform provides customers with a suite of solutions so they can have all the necessary features in their product development without switching to a different platform. Furthermore, TTP connects, authorizes, authenticates and manages IoT devices, enabling stable and precise connections and interactions across various devices with different functions, attributes, models and manufacturers.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TTP consists of the following components:</w:t>
      </w:r>
    </w:p>
    <w:p>
      <w:pPr>
        <w:spacing w:after="0" w:line="225" w:lineRule="exact"/>
        <w:rPr>
          <w:sz w:val="20"/>
          <w:szCs w:val="20"/>
          <w:color w:val="auto"/>
        </w:rPr>
      </w:pPr>
    </w:p>
    <w:p>
      <w:pPr>
        <w:ind w:left="1660" w:hanging="329"/>
        <w:spacing w:after="0" w:line="264" w:lineRule="auto"/>
        <w:tabs>
          <w:tab w:leader="none" w:pos="1660" w:val="left"/>
        </w:tabs>
        <w:numPr>
          <w:ilvl w:val="0"/>
          <w:numId w:val="3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IoT Edge features edge computing capabilities that bring computation to the edge. IoT devices can spend less time communicating with the cloud, react more quickly to local changes and operate more securely and reliably;</w:t>
      </w:r>
    </w:p>
    <w:p>
      <w:pPr>
        <w:spacing w:after="0" w:line="176" w:lineRule="exact"/>
        <w:rPr>
          <w:rFonts w:ascii="Courier New" w:cs="Courier New" w:eastAsia="Courier New" w:hAnsi="Courier New"/>
          <w:sz w:val="18"/>
          <w:szCs w:val="18"/>
          <w:color w:val="auto"/>
        </w:rPr>
      </w:pPr>
    </w:p>
    <w:p>
      <w:pPr>
        <w:ind w:left="1660" w:hanging="329"/>
        <w:spacing w:after="0"/>
        <w:tabs>
          <w:tab w:leader="none" w:pos="1660" w:val="left"/>
        </w:tabs>
        <w:numPr>
          <w:ilvl w:val="0"/>
          <w:numId w:val="3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IoT Core is the core ability to connect, authorize, authenticate and manage digital twins devices;</w:t>
      </w:r>
    </w:p>
    <w:p>
      <w:pPr>
        <w:spacing w:after="0" w:line="209" w:lineRule="exact"/>
        <w:rPr>
          <w:rFonts w:ascii="Courier New" w:cs="Courier New" w:eastAsia="Courier New" w:hAnsi="Courier New"/>
          <w:sz w:val="18"/>
          <w:szCs w:val="18"/>
          <w:color w:val="auto"/>
        </w:rPr>
      </w:pPr>
    </w:p>
    <w:p>
      <w:pPr>
        <w:ind w:left="1660" w:right="20" w:hanging="329"/>
        <w:spacing w:after="0" w:line="256" w:lineRule="auto"/>
        <w:tabs>
          <w:tab w:leader="none" w:pos="1660" w:val="left"/>
        </w:tabs>
        <w:numPr>
          <w:ilvl w:val="0"/>
          <w:numId w:val="38"/>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Things Model creates virtual representations of physical smart devices that enable analysis of data and monitoring of systems to prevent downtime, test new devices by using simulations and troubleshoot problems even before they occur;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660" w:right="280" w:hanging="329"/>
        <w:spacing w:after="0" w:line="264" w:lineRule="auto"/>
        <w:tabs>
          <w:tab w:leader="none" w:pos="1660" w:val="left"/>
        </w:tabs>
        <w:numPr>
          <w:ilvl w:val="1"/>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Event Hubs provides a unified streaming platform with time retention buffer, decoupling event producers from event consumers;</w:t>
      </w:r>
    </w:p>
    <w:p>
      <w:pPr>
        <w:spacing w:after="0" w:line="176" w:lineRule="exact"/>
        <w:rPr>
          <w:rFonts w:ascii="Courier New" w:cs="Courier New" w:eastAsia="Courier New" w:hAnsi="Courier New"/>
          <w:sz w:val="18"/>
          <w:szCs w:val="18"/>
          <w:color w:val="auto"/>
        </w:rPr>
      </w:pPr>
    </w:p>
    <w:p>
      <w:pPr>
        <w:ind w:left="1660" w:hanging="329"/>
        <w:spacing w:after="0" w:line="264" w:lineRule="auto"/>
        <w:tabs>
          <w:tab w:leader="none" w:pos="1660" w:val="left"/>
        </w:tabs>
        <w:numPr>
          <w:ilvl w:val="1"/>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Over-the-air Engine, or OTA Engine, provides unified OTA strategy and data analysis, predicts when devices need upgrades, reduces device OTA risks, and optimizes device usage activities; and</w:t>
      </w:r>
    </w:p>
    <w:p>
      <w:pPr>
        <w:spacing w:after="0" w:line="176" w:lineRule="exact"/>
        <w:rPr>
          <w:rFonts w:ascii="Courier New" w:cs="Courier New" w:eastAsia="Courier New" w:hAnsi="Courier New"/>
          <w:sz w:val="18"/>
          <w:szCs w:val="18"/>
          <w:color w:val="auto"/>
        </w:rPr>
      </w:pPr>
    </w:p>
    <w:p>
      <w:pPr>
        <w:ind w:left="1660" w:right="560" w:hanging="329"/>
        <w:spacing w:after="0" w:line="264" w:lineRule="auto"/>
        <w:tabs>
          <w:tab w:leader="none" w:pos="1660" w:val="left"/>
        </w:tabs>
        <w:numPr>
          <w:ilvl w:val="1"/>
          <w:numId w:val="39"/>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Virtualized Device Computing enhances a smart device’s hardware capabilities from the cloud platform by managing device access and scenes control through the edge of the network.</w:t>
      </w:r>
    </w:p>
    <w:p>
      <w:pPr>
        <w:spacing w:after="0" w:line="172" w:lineRule="exact"/>
        <w:rPr>
          <w:rFonts w:ascii="Courier New" w:cs="Courier New" w:eastAsia="Courier New" w:hAnsi="Courier New"/>
          <w:sz w:val="18"/>
          <w:szCs w:val="18"/>
          <w:color w:val="auto"/>
        </w:rPr>
      </w:pPr>
    </w:p>
    <w:p>
      <w:pPr>
        <w:ind w:left="1000" w:right="20" w:hanging="317"/>
        <w:spacing w:after="0" w:line="254"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Application Enabling Platform (“AEP”) </w:t>
      </w:r>
      <w:r>
        <w:rPr>
          <w:rFonts w:ascii="Times New Roman" w:cs="Times New Roman" w:eastAsia="Times New Roman" w:hAnsi="Times New Roman"/>
          <w:sz w:val="18"/>
          <w:szCs w:val="18"/>
          <w:color w:val="auto"/>
        </w:rPr>
        <w:t>provides brands, OEMs and developers with a one-stop shop of AI and IoT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 capabilities that they can use to add, customize or integrate functionality in a development environment that is “low-code” or even “no-code,” meaning that those IoT cloud capabilities are ready-to-use by developers so that they do not have to write the codes from scratch. More specifically, AEP enables us to modularize the underlying functionalities and capabilities of its TTP, and visualize such functionalities and capabilities as icons and buttons on the development platform’s operating interface. This allows customers to easily understand, select, drag and drop the desired functionalities for their smart devices in the development process even with little or no programming expertise. Leveraging our AEP, customers may reduce the time for developing devices or functionalities from months to days. In addition, our AEP is also equipped with device testing tools for manufacturing purposes, allowing customers to shorten the production-to-delivery cycle and achieve mass production for the smart devices within weeks. Our AEP delivers significant development efficiency.</w:t>
      </w:r>
    </w:p>
    <w:p>
      <w:pPr>
        <w:spacing w:after="0" w:line="186" w:lineRule="exact"/>
        <w:rPr>
          <w:sz w:val="20"/>
          <w:szCs w:val="20"/>
          <w:color w:val="auto"/>
        </w:rPr>
      </w:pPr>
    </w:p>
    <w:p>
      <w:pPr>
        <w:ind w:left="980" w:right="380"/>
        <w:spacing w:after="0" w:line="282" w:lineRule="auto"/>
        <w:rPr>
          <w:sz w:val="20"/>
          <w:szCs w:val="20"/>
          <w:color w:val="auto"/>
        </w:rPr>
      </w:pPr>
      <w:r>
        <w:rPr>
          <w:rFonts w:ascii="Times New Roman" w:cs="Times New Roman" w:eastAsia="Times New Roman" w:hAnsi="Times New Roman"/>
          <w:sz w:val="18"/>
          <w:szCs w:val="18"/>
          <w:color w:val="auto"/>
        </w:rPr>
        <w:t>AEP includes Tuya Platform Applications and Developer Kits that allow us to deliver IoT PaaS, SaaS and other value-added services.</w:t>
      </w:r>
    </w:p>
    <w:p>
      <w:pPr>
        <w:spacing w:after="0" w:line="160" w:lineRule="exact"/>
        <w:rPr>
          <w:sz w:val="20"/>
          <w:szCs w:val="20"/>
          <w:color w:val="auto"/>
        </w:rPr>
      </w:pPr>
    </w:p>
    <w:p>
      <w:pPr>
        <w:ind w:left="1660" w:right="200" w:hanging="329"/>
        <w:spacing w:after="0" w:line="258" w:lineRule="auto"/>
        <w:tabs>
          <w:tab w:leader="none" w:pos="1660" w:val="left"/>
        </w:tabs>
        <w:numPr>
          <w:ilvl w:val="1"/>
          <w:numId w:val="40"/>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Developer Kits </w:t>
      </w:r>
      <w:r>
        <w:rPr>
          <w:rFonts w:ascii="Times New Roman" w:cs="Times New Roman" w:eastAsia="Times New Roman" w:hAnsi="Times New Roman"/>
          <w:sz w:val="18"/>
          <w:szCs w:val="18"/>
          <w:color w:val="auto"/>
        </w:rPr>
        <w:t>allow developers to integrate tailored-made AI and IoT capabilities through a variety of APIs,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SDKs and low-code development accelerators that allow developers to add, customize, or integrate systems and functionality based on specific requirements and needs.</w:t>
      </w:r>
    </w:p>
    <w:p>
      <w:pPr>
        <w:spacing w:after="0" w:line="180" w:lineRule="exact"/>
        <w:rPr>
          <w:rFonts w:ascii="Courier New" w:cs="Courier New" w:eastAsia="Courier New" w:hAnsi="Courier New"/>
          <w:sz w:val="18"/>
          <w:szCs w:val="18"/>
          <w:color w:val="auto"/>
        </w:rPr>
      </w:pPr>
    </w:p>
    <w:p>
      <w:pPr>
        <w:ind w:left="1660" w:right="180" w:hanging="329"/>
        <w:spacing w:after="0" w:line="266" w:lineRule="auto"/>
        <w:tabs>
          <w:tab w:leader="none" w:pos="1660" w:val="left"/>
        </w:tabs>
        <w:numPr>
          <w:ilvl w:val="1"/>
          <w:numId w:val="40"/>
        </w:numPr>
        <w:rPr>
          <w:rFonts w:ascii="Courier New" w:cs="Courier New" w:eastAsia="Courier New" w:hAnsi="Courier New"/>
          <w:sz w:val="18"/>
          <w:szCs w:val="18"/>
          <w:color w:val="auto"/>
        </w:rPr>
      </w:pPr>
      <w:r>
        <w:rPr>
          <w:rFonts w:ascii="Times New Roman" w:cs="Times New Roman" w:eastAsia="Times New Roman" w:hAnsi="Times New Roman"/>
          <w:sz w:val="18"/>
          <w:szCs w:val="18"/>
          <w:i w:val="1"/>
          <w:iCs w:val="1"/>
          <w:color w:val="auto"/>
        </w:rPr>
        <w:t xml:space="preserve">Tuya Platform Applications </w:t>
      </w:r>
      <w:r>
        <w:rPr>
          <w:rFonts w:ascii="Times New Roman" w:cs="Times New Roman" w:eastAsia="Times New Roman" w:hAnsi="Times New Roman"/>
          <w:sz w:val="18"/>
          <w:szCs w:val="18"/>
          <w:color w:val="auto"/>
        </w:rPr>
        <w:t>combine a no-code development platform, an IoT data analysis platform and an IoT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solution studio to provide full platform-based business service capabilities.</w:t>
      </w:r>
    </w:p>
    <w:p>
      <w:pPr>
        <w:spacing w:after="0" w:line="170" w:lineRule="exact"/>
        <w:rPr>
          <w:rFonts w:ascii="Courier New" w:cs="Courier New" w:eastAsia="Courier New" w:hAnsi="Courier New"/>
          <w:sz w:val="18"/>
          <w:szCs w:val="18"/>
          <w:color w:val="auto"/>
        </w:rPr>
      </w:pPr>
    </w:p>
    <w:p>
      <w:pPr>
        <w:ind w:left="1000" w:right="20" w:hanging="317"/>
        <w:spacing w:after="0" w:line="26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Technology Platform (BTP) </w:t>
      </w:r>
      <w:r>
        <w:rPr>
          <w:rFonts w:ascii="Times New Roman" w:cs="Times New Roman" w:eastAsia="Times New Roman" w:hAnsi="Times New Roman"/>
          <w:sz w:val="18"/>
          <w:szCs w:val="18"/>
          <w:color w:val="auto"/>
        </w:rPr>
        <w:t>is the competency center that provides the technology foundation to the upper layer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Tuya IoT cloud infrastructure in the form of modular micro-services. It brings together a suite of service modules, such as big data computing, AI algorithm service and IoT device management, that work together to optimize customer experience.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deployed six data centers hosted worldwide, including in China, the United States, Europe and India.</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Tuya AI Agent Development Platform</w:t>
      </w:r>
    </w:p>
    <w:p>
      <w:pPr>
        <w:spacing w:after="0" w:line="227"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Our AI Agent development platform is a key pillar of our AI technology stack. It provides the foundational architecture for developing, deploying, and managing AI agents on smart hardware, enabling real-time interaction, multimodal understanding, and continuous intelligence at the device level.</w:t>
      </w:r>
    </w:p>
    <w:p>
      <w:pPr>
        <w:spacing w:after="0" w:line="176" w:lineRule="exact"/>
        <w:rPr>
          <w:sz w:val="20"/>
          <w:szCs w:val="20"/>
          <w:color w:val="auto"/>
        </w:rPr>
      </w:pPr>
    </w:p>
    <w:p>
      <w:pPr>
        <w:ind w:left="1340" w:right="580" w:hanging="333"/>
        <w:spacing w:after="0" w:line="261"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is agnostic across cloud, LLMs, and edge environments, ensuring seamless compatibility with mainstream cloud infrastructures, a variety of large language models, and diverse connectivity and chip-level protocols. This flexibility enables AI capabilities to be deployed across a broad range of hardware and network configurations.</w:t>
      </w:r>
    </w:p>
    <w:p>
      <w:pPr>
        <w:spacing w:after="0" w:line="179" w:lineRule="exact"/>
        <w:rPr>
          <w:rFonts w:ascii="Times New Roman" w:cs="Times New Roman" w:eastAsia="Times New Roman" w:hAnsi="Times New Roman"/>
          <w:sz w:val="18"/>
          <w:szCs w:val="18"/>
          <w:color w:val="auto"/>
        </w:rPr>
      </w:pPr>
    </w:p>
    <w:p>
      <w:pPr>
        <w:ind w:left="1340" w:right="300" w:hanging="333"/>
        <w:spacing w:after="0" w:line="289" w:lineRule="auto"/>
        <w:tabs>
          <w:tab w:leader="none" w:pos="1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Built on the Adaptive Expert System (AES) architecture, the platform allows for modular construction and orchestration of AI agents. These agents possess abilities such as intent recognition, contextual reasoning, memory persistence, and scenario-specific response generation—driving intelligent decision-making within devices.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340" w:right="40" w:hanging="333"/>
        <w:spacing w:after="0" w:line="266"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also includes a Multi-Agent Runtime (MAR) that enables multiple agents to work concurrently on a single device, coordinating tasks such as perception, inference, and control. This distributed runtime framework supports complex, multi-layered task flows while maintaining low-latency responsiveness.</w:t>
      </w:r>
    </w:p>
    <w:p>
      <w:pPr>
        <w:spacing w:after="0" w:line="175" w:lineRule="exact"/>
        <w:rPr>
          <w:rFonts w:ascii="Times New Roman" w:cs="Times New Roman" w:eastAsia="Times New Roman" w:hAnsi="Times New Roman"/>
          <w:sz w:val="18"/>
          <w:szCs w:val="18"/>
          <w:color w:val="auto"/>
        </w:rPr>
      </w:pPr>
    </w:p>
    <w:p>
      <w:pPr>
        <w:ind w:left="1340" w:right="20" w:hanging="333"/>
        <w:spacing w:after="0" w:line="266"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interoperability and openness, we developed the MCP protocol, which acts as a standardized interface layer between AI agents and external services. MCP allows agents to securely call third-party tools, data sources, or services in a structured, modular fashion—similar to a universal adapter for AI services.</w:t>
      </w:r>
    </w:p>
    <w:p>
      <w:pPr>
        <w:spacing w:after="0" w:line="175" w:lineRule="exact"/>
        <w:rPr>
          <w:rFonts w:ascii="Times New Roman" w:cs="Times New Roman" w:eastAsia="Times New Roman" w:hAnsi="Times New Roman"/>
          <w:sz w:val="18"/>
          <w:szCs w:val="18"/>
          <w:color w:val="auto"/>
        </w:rPr>
      </w:pPr>
    </w:p>
    <w:p>
      <w:pPr>
        <w:ind w:left="1340" w:right="140" w:hanging="333"/>
        <w:spacing w:after="0" w:line="261"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 Agent Development Suite provides a complete set of tools to support agent design and deployment, including prompt engineering, knowledge base configuration, scene orchestration, memory and dialogue management, debugging, and simulation tools. Developers can choose from template-based creation or fully customized agent pipelines to suit their application needs.</w:t>
      </w:r>
    </w:p>
    <w:p>
      <w:pPr>
        <w:spacing w:after="0" w:line="179" w:lineRule="exact"/>
        <w:rPr>
          <w:rFonts w:ascii="Times New Roman" w:cs="Times New Roman" w:eastAsia="Times New Roman" w:hAnsi="Times New Roman"/>
          <w:sz w:val="18"/>
          <w:szCs w:val="18"/>
          <w:color w:val="auto"/>
        </w:rPr>
      </w:pPr>
    </w:p>
    <w:p>
      <w:pPr>
        <w:ind w:left="1340" w:right="40" w:hanging="333"/>
        <w:spacing w:after="0" w:line="312" w:lineRule="auto"/>
        <w:tabs>
          <w:tab w:leader="none" w:pos="13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platform also supports edge-cloud collaborative AI, optimizing model execution efficiency across a range of hardware capabilities, while enabling over-the-air (OTA) updates to continuously evolve device intelligence over time.</w:t>
      </w:r>
    </w:p>
    <w:p>
      <w:pPr>
        <w:spacing w:after="0" w:line="139" w:lineRule="exact"/>
        <w:rPr>
          <w:rFonts w:ascii="Times New Roman" w:cs="Times New Roman" w:eastAsia="Times New Roman" w:hAnsi="Times New Roman"/>
          <w:sz w:val="17"/>
          <w:szCs w:val="17"/>
          <w:color w:val="auto"/>
        </w:rPr>
      </w:pPr>
    </w:p>
    <w:p>
      <w:pPr>
        <w:ind w:left="1340" w:hanging="333"/>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Developers can choose from two modes of creation:</w:t>
      </w:r>
    </w:p>
    <w:p>
      <w:pPr>
        <w:spacing w:after="0" w:line="225" w:lineRule="exact"/>
        <w:rPr>
          <w:sz w:val="20"/>
          <w:szCs w:val="20"/>
          <w:color w:val="auto"/>
        </w:rPr>
      </w:pPr>
    </w:p>
    <w:p>
      <w:pPr>
        <w:ind w:left="1980" w:hanging="325"/>
        <w:spacing w:after="0"/>
        <w:tabs>
          <w:tab w:leader="none" w:pos="1980" w:val="left"/>
        </w:tabs>
        <w:numPr>
          <w:ilvl w:val="0"/>
          <w:numId w:val="4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Template-based development, offering quick-start agent structures that are configurable and easy to extend;</w:t>
      </w:r>
    </w:p>
    <w:p>
      <w:pPr>
        <w:spacing w:after="0" w:line="209" w:lineRule="exact"/>
        <w:rPr>
          <w:rFonts w:ascii="Courier New" w:cs="Courier New" w:eastAsia="Courier New" w:hAnsi="Courier New"/>
          <w:sz w:val="18"/>
          <w:szCs w:val="18"/>
          <w:color w:val="auto"/>
        </w:rPr>
      </w:pPr>
    </w:p>
    <w:p>
      <w:pPr>
        <w:ind w:left="1980" w:right="160" w:hanging="325"/>
        <w:spacing w:after="0" w:line="264" w:lineRule="auto"/>
        <w:tabs>
          <w:tab w:leader="none" w:pos="1980" w:val="left"/>
        </w:tabs>
        <w:numPr>
          <w:ilvl w:val="0"/>
          <w:numId w:val="43"/>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Fully customized development, allowing precise control over memory loops, model selection, and toolchain design for advanced use cases.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leadership is built by our teams who are passionate about IoT. As of December 31, 2024, we had 1,040 research and development employees, representing approximately 72.5% of total employees. Our research and development team primarily consists of technology and platform development engineers responsible for (i) developing and iterating proprietary IoT technologies (e.g., TTP and AEP) and implementing enhancements and upgrades to our AI cloud platform; (ii) building AI engineering capabilities by developing AI agents and integrating key AI functions into our platform; (iii) developing and upgrading our products, including IoT PaaS, Cube and SaaS; and (iv) optimizing our internal operational systems and technologies. Our research and development team members have on average 10.4 years of experience across a significant number of different subject areas such as IoT, industry design, cloud computing, AI and machine learning.</w:t>
      </w:r>
    </w:p>
    <w:p>
      <w:pPr>
        <w:spacing w:after="0" w:line="19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2024, our research and development initiatives on AI yielded advancements in following technological innovation and product development:</w:t>
      </w:r>
    </w:p>
    <w:p>
      <w:pPr>
        <w:spacing w:after="0" w:line="158" w:lineRule="exact"/>
        <w:rPr>
          <w:sz w:val="20"/>
          <w:szCs w:val="20"/>
          <w:color w:val="auto"/>
        </w:rPr>
      </w:pPr>
    </w:p>
    <w:p>
      <w:pPr>
        <w:ind w:left="1000" w:right="100" w:hanging="317"/>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 Agent Development Platform: </w:t>
      </w:r>
      <w:r>
        <w:rPr>
          <w:rFonts w:ascii="Times New Roman" w:cs="Times New Roman" w:eastAsia="Times New Roman" w:hAnsi="Times New Roman"/>
          <w:sz w:val="18"/>
          <w:szCs w:val="18"/>
          <w:color w:val="auto"/>
        </w:rPr>
        <w:t>we launched the Tuya AI Agent development platform, a significant enhancement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AI capabilities. This platform is designed to be LLM-agnostic and currently supports integration with a broad range of mainstream LLMs, including ChatGPT, Qwen, DeepSeek, Doubao, Le Chat by Mistral, Gemini, Amazon Nova, and Claude, among others. By abstracting the complexities involved in building AI devices and applications from scratch, the platform serves as a critical middleware layer that connects LLM capabilities with practical, real-world use cases. Developers are empowered to select the most appropriate LLMs for their specific business and market requirements, and can accelerate product development through Tuya’s pre-built templates and customizable solutions.</w:t>
      </w:r>
    </w:p>
    <w:p>
      <w:pPr>
        <w:spacing w:after="0" w:line="182" w:lineRule="exact"/>
        <w:rPr>
          <w:rFonts w:ascii="Times New Roman" w:cs="Times New Roman" w:eastAsia="Times New Roman" w:hAnsi="Times New Roman"/>
          <w:sz w:val="18"/>
          <w:szCs w:val="18"/>
          <w:color w:val="auto"/>
        </w:rPr>
      </w:pPr>
    </w:p>
    <w:p>
      <w:pPr>
        <w:ind w:left="1000" w:right="220" w:hanging="317"/>
        <w:spacing w:after="0" w:line="256"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Spatial LLM: </w:t>
      </w:r>
      <w:r>
        <w:rPr>
          <w:rFonts w:ascii="Times New Roman" w:cs="Times New Roman" w:eastAsia="Times New Roman" w:hAnsi="Times New Roman"/>
          <w:sz w:val="18"/>
          <w:szCs w:val="18"/>
          <w:color w:val="auto"/>
        </w:rPr>
        <w:t>we introduced Spatial LLM, a generative AI solution that integrates large language models with real-time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spatial data and smart device context within the Tuya ecosystem. Spatial LLM addresses the challenges of applying general-purpose LLMs to specific business scenarios by enabling intelligent scene analysis, adaptive automation, and optimized decision-making. In energy management scenarios, Spatial LLM analyzes real-time consumption data across devices and environments to generate tailored energy-saving and emission-reduction strategies. The solution has been deployed across industrial, commercial, and residential settings, improving operational efficiency, reducing energy costs, and enhancing user experience through AI-driven scenario understanding and control.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AI cloud platform and proprietary cutting-edge IoT technologies have been developed in-house. We have invested substantially in research and development and we expect to continue to devote significant resources to research and development activities and incur a substantial amount of research and development expenses to enhance our competitive edge. In 2022, 2023 and 2024, we incurred research and development expenses of US$144.9 million, US$102.3 million and US$95.0 million, representing 69.6%, 44.5% and 31.8% of our total revenue for the same years, respectively. These investments have continued to result in the launch of innovative products that have helped us attract new customers and increase sales to our existing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BRANDS WE SERVE</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growth strategies are tailored around the brands we serve and their contracted OEMs. For leading brands and their OEMs in target categories and those with large demands in our products, we are focused on providing bespoke support and services by, for example, offering free trials of product enhancements and new features and functionality. In 2024, our IoT PaaS empowered a total of over 3,700 brands to develop smart devices.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the brands we serve relate to our IoT PaaS business. We typically do not enter into agreements in relation to IoT PaaS business directly with the brands and instead enter into agreements with their contracted OEMs. In these circumstances, we consider such OEMs to be our customers. In limited circumstances, we also enter into agreements directly with brands in relation to certain value-added services, in which case we also consider such brands to be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define our customers as entities from whom we generate revenues for the products and services we provide. We had approximately 5,800 customers in 2024, primarily including brands, OEMs, industry operators and system integrators. Starting from the end of 2021, we have been strategically optimizing our customer base, to focus on key account enterprises. In 2024, our IoT PaaS empowered over 3,700 brands to develop their smart devices, including leading brands and enterprises such as Calex, Philips, Schneider Electric, Sharp, ABB, SCG, Panasonic, Changhong, TCL, Midea, etc. As we have cultivated a large and diversified customer base across different industry verticals, we believe that none of our customers is material to our total revenue. We provide online customer support services and tools for our customers to submit customer complaints and service requests anytime and anywhere.</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use the dollar-based net expansion rate for IoT PaaS as a useful indicator of our customers’ loyalty and tendency to expand their usage of our platform over time. The dollar-based expansion rate for IoT PaaS experienced a decline in 2022 and early 2023 due to significant events that had adversely affected the global economy, including (i) shipping disruptions in late 2021 that delayed product deliveries and affected holiday sales; (ii) persistent inflation that dampened consumer sentiment; and (iii) supply-demand mismatch that led to an excess of inventory for downstream enterprises. As a result, our revenue declined for the first time in 2022 despite our stable relationship with our core customers, and the dollar-based net expansion rate of IoT PaaS declined in 2022 and early 2023. In the second half of 2023, with the easing of the downstream inventory backlog and the gradual recovery of the global economy, coupled with the effective customer-focus and product enhancement strategies we adopted to navigate through the macroeconomic headwinds, the dollar-based net expansion rate for IoT PaaS rebounded and improved. Driven by increasing demand amid the global economic recovery and supply chain normalization in 2024, and our strategic focus on customer needs and product enhancements, the dollar-based net expansion rate for IoT PaaS improved to 116% as of March 31, 2024, 127% as of June 30, 2024, 124% as of September 30, 2024, and 122% as of December 31, 2024, compared to the same period in 2023.</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more information about the mismatch between supply and demand in the global consumer electronics sector and the risks that it poses to us and our customers, see “Item 3. Key Information—3.D.Risk Factors—Risks Related to Our Business and Industry—We operate in an emerging and evolving market, which may develop differently from or more slowly than we expect. If our market does not grow as we expect, or if we cannot expand our products and services to meet the demands of this market, our revenue may decline, or fail to grow, and we may continue to incur operating losses.” For a detailed discussion of the dollar-based net expansion rate for IoT PaaS and certain other key operating metrics, see “Item 5. Operating and Financial Review and Prospects—5.A. Operating Results—Key Operating Metrics.”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providing customers with our products and services of consistently high quality. We emphasize quality control in all aspects of our business, including, for example, design, research, production, sales and after-sales services. We strictly control the quality of our business and operations. In order to monitor the quality and ensure that our products and services meet all our internal benchmarks and specifications, we have implemented various quality-control checks into our business process. In addition, we provide after-sales services and support to our customers.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devoted significant resources to the quality control of our products and services. Our quality control is a cross-departmental responsibility shared by multiple teams across business functions, including supply chain management, quality assurance, safety and compliance, and after-sales and customer service. In particular, these teams are responsible for establishing quality control standards, procedures for inspection of our raw materials and products and review standards of our suppliers. They are also responsible for handling customer complaints and compliance with applicable laws and international and national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MARKETING AND BRANDING</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generate sales primarily through our direct marketing efforts targeting brands and OEMs, with a focus on attracting new customers as well as expanding usage within our existing customer base. We also generate customer leads indirectly through offline retail channels and e-commerce platforms. We currently operate dedicated regional sales forces covering a number of our key overseas markets, such as the United States, Europe, India, Latin America and Asia Pacific. We also market our products and services through media, word of mouth, advertising and promotion to further enhance awareness of our brand as well as to increase our brand exposure across various customer bases.</w:t>
      </w:r>
    </w:p>
    <w:p>
      <w:pPr>
        <w:spacing w:after="0" w:line="187"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As we expand our footprint globally, we have invested substantially in developing localized marketing strategies and employing sales and support staff. In particular, we focus on educating customers about the “Powered by Tuya” smart ecosystem.</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utilize a multitude of sales and marketing channels, including:</w:t>
      </w:r>
    </w:p>
    <w:p>
      <w:pPr>
        <w:spacing w:after="0" w:line="185" w:lineRule="exact"/>
        <w:rPr>
          <w:sz w:val="20"/>
          <w:szCs w:val="20"/>
          <w:color w:val="auto"/>
        </w:rPr>
      </w:pPr>
    </w:p>
    <w:p>
      <w:pPr>
        <w:ind w:left="680" w:right="10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channels such as search engine optimization, private domain operations and the online developer platform on our website;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offline channels such as word-of-mouth referrals from brands owners, OEMs, retailers and other industry participants;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66"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marketing through industry conferences and events, including Mobile World Congress, International Consumer Electronics Show and Hong Kong Electronics Fair, where we demonstrate how we empower developers to push the boundary of IoT;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developer outreach via code sharing platforms and Q&amp;A websites such as GitHub and Zhihu.</w:t>
      </w:r>
    </w:p>
    <w:p>
      <w:pPr>
        <w:spacing w:after="0" w:line="22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nurturing our developer community and have taken initiatives to boost developer engagement. By the fourth quarter of 2024, our registered developer base had grown to over 1,316,000. Our TuyaOS low-code development framework currently supports over 980 types, covering all protocols and categories within the Tuya platform. Additionally, we have created over 1,100 development documents, and our developer forum has amassed more than 10,300 technical support posts. Our development tools have also evolved to support more self-service operations, further solidifying the foundation for expanding the developer community.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 As of April 15, 2025, we had registered 716 patents, 1,472 trademarks, 143 copyrights and 127 domain names in China and overseas. We have registered “Tuya” and “Powered by Tuya” as trademarks.</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or otherwise obtain and use our technology. Monitoring unauthorized use of our technology is difficult and costly, and we cannot be certain that the steps we have taken will prevent misappropriation of our technology. From time to time, we may have to resort to litigation to enforce our intellectual property rights, which could result in substantial costs and diversion of our resources. In addition, third parties may initiate lawsuits against us alleging infringement of their proprietary rights or declaring their non-infringement of our intellectual property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substantial and may adversely affect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SECURITY AND PRIVACY</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When providing our products and services, we may have access to certain data of our customers and the end users, primarily certain machine-generated data produced by the smart devices powered by us. Such data consist primarily of the following types of device- and app-level information:</w:t>
      </w:r>
    </w:p>
    <w:p>
      <w:pPr>
        <w:spacing w:after="0" w:line="176" w:lineRule="exact"/>
        <w:rPr>
          <w:sz w:val="20"/>
          <w:szCs w:val="20"/>
          <w:color w:val="auto"/>
        </w:rPr>
      </w:pPr>
    </w:p>
    <w:p>
      <w:pPr>
        <w:ind w:left="680" w:right="24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when a user registers in the mobile app that connects and controls smart devices powered by Tuya, or the App, such as basic account information (e.g., email address used to create an account);</w:t>
      </w:r>
    </w:p>
    <w:p>
      <w:pPr>
        <w:spacing w:after="0" w:line="12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through the App, such as App usage data and log information, mobile phone information (i.e., types and models of the mobile phones on which the App is installed), and feedback that users submit via the App; and</w:t>
      </w:r>
    </w:p>
    <w:p>
      <w:pPr>
        <w:spacing w:after="0" w:line="134"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smart devices, such as basic device data (e.g., on or off status and color) and data reported by the devices (e.g., humidity).</w:t>
      </w:r>
    </w:p>
    <w:p>
      <w:pPr>
        <w:spacing w:after="0" w:line="12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Collection of such data is based on users’ proactive consent to the in-App privacy policy prior to their use of the App. Such data will be collected, based on the type of data, either by the user’s active submission or our automatic collection, both of which are accomplished through the execution of predefined program logics embedded in the code of the App or the device’s firmware. The data are then transmitted to our cloud platform from the App or the device for processing. The data collected will be stored on specific data services as part of our cloud platform. Based on the user’s request, our cloud platform, also through the execution of predefined codes, will process the data and send feedback back to the App or the device. The primary purpose of the processing of the data is to facilitate the provision of our products and services to the users so that the devices may function properly.</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described above, the collection, processing and storage of the data that we may have access to are predominantly accomplished through the execution of predefined codes at the App or device level or embedded in our cloud platform. While we have the right to access and process such data to the extent proactively consented to by our customers or users, we do not have control over such data, except in very limited circumstances where we are by contract explicitly authorized by the users to do so. In any event, it is the users who retain the ownership of the personal information contained in the data.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designed strict data protection policies to ensure that the collection, use, storage, transmission and dissemination of such data are in compliance with applicable laws and with prevalent industry practice. Specifically, our policies cover three main areas: data security, cloud service security and access control management.</w:t>
      </w:r>
    </w:p>
    <w:p>
      <w:pPr>
        <w:spacing w:after="0" w:line="176" w:lineRule="exact"/>
        <w:rPr>
          <w:sz w:val="20"/>
          <w:szCs w:val="20"/>
          <w:color w:val="auto"/>
        </w:rPr>
      </w:pPr>
    </w:p>
    <w:p>
      <w:pPr>
        <w:ind w:left="680" w:hanging="321"/>
        <w:spacing w:after="0" w:line="254"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Policies: we have published the Information Security Management Manual based on an industry-recognized information security management framework. Our Policy of Handling Individual Privacy Rights aims to address privacy-related requirements outlined by multiple data privacy laws and regulations about individual privacy requests, the internal process and responsible departments for responding to different types of data requests. Our Information Classification &amp; Handling Policy has been developed to classify all information created, collected, processed and/or disseminated within the organization into different levels of sensitivity and criticality. Our Data Backup Policy requires mandatory electronic backup, so that data and application programs can be restored when an incident impacting the integrity of such data occurs. In addition, we have adopted the Tuya Incident and Data Breach Response Plan, which provides a well-defined, organized approach for handling any potential threat to servers and data, as well as taking appropriate action when the data breach concerns personal information.</w:t>
      </w:r>
    </w:p>
    <w:p>
      <w:pPr>
        <w:spacing w:after="0" w:line="147" w:lineRule="exact"/>
        <w:rPr>
          <w:rFonts w:ascii="Times New Roman" w:cs="Times New Roman" w:eastAsia="Times New Roman" w:hAnsi="Times New Roman"/>
          <w:sz w:val="18"/>
          <w:szCs w:val="18"/>
          <w:color w:val="auto"/>
        </w:rPr>
      </w:pPr>
    </w:p>
    <w:p>
      <w:pPr>
        <w:ind w:left="680" w:right="140" w:hanging="321"/>
        <w:spacing w:after="0" w:line="25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Service Security Policies: we have published the Management Process of Access to Information Systems and Surveillance of Use with the goal of strengthening the surveillance and control of access to our cloud information systems and to manage the security monitoring and log reviews within the infrastructure. Our Change Management Security Policy sets forth necessary processes to internally review and approve of potential changes before execution. Our Data Retention Policy aims to provide clear understandings of our roles and responsibilities for data retention and processing, and to regulate such retention, use and deletion of data collected and processed by us.</w:t>
      </w:r>
    </w:p>
    <w:p>
      <w:pPr>
        <w:spacing w:after="0" w:line="160" w:lineRule="exact"/>
        <w:rPr>
          <w:rFonts w:ascii="Times New Roman" w:cs="Times New Roman" w:eastAsia="Times New Roman" w:hAnsi="Times New Roman"/>
          <w:sz w:val="18"/>
          <w:szCs w:val="18"/>
          <w:color w:val="auto"/>
        </w:rPr>
      </w:pPr>
    </w:p>
    <w:p>
      <w:pPr>
        <w:ind w:left="680" w:right="80" w:hanging="321"/>
        <w:spacing w:after="0" w:line="277" w:lineRule="auto"/>
        <w:tabs>
          <w:tab w:leader="none" w:pos="6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Control Management Policies: we have designed Access Control Policies, which outline the categories of access to system platforms, application, machines and the alignment of personnel functionality accordingly, in an effort to achieve effective access control and to ensure information security integrity and confidentiality. We have also developed Management Process of Secure Areas to help us maintain the security of physical access to our facilities and offices by establishing effective perimeters and safeguard measures, which is an integral part of ensuring the integrity, security and confidentiality of data.</w:t>
      </w:r>
    </w:p>
    <w:p>
      <w:pPr>
        <w:spacing w:after="0" w:line="1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established an all-round information system in reference to data security requirements and best practices and intend to continually invest heavily in data security and privacy protection. Our information system applies multiple layers of safeguards, including internal and external firewalls, enterprise-standard web application firewalls, risk management platform, and runtime application self-protection, or RASP, a security technology that detects and blocks computer attacks using information from inside the running software. We encrypt data throughout its life cycle to safeguard privacy and enhance data security. We implement a robust internal authentication and authorization system to ensure confidential and important data can only be accessed through computers for authorized use and only authorized staff can access those computers. We have clear and strict authorization and authentication procedures and policies in place. Our employees only have access to data which is directly relevant and necessary for their responsibilities and for limited purposes and are required to verify authorization upon every access attempt. We have also implemented robust internal rules and procedures, including security assessment in the design and implementation of R&amp;D projects and code auditing, to ensure that the designed security requirements are met in our R&amp;D activities and code quality and security. Furthermore, we have established an incident response team that consists of a Chief Information Security Officer (CISO), a Data Protection Officer (DPO) and a Chief Privacy Officer (CPO) to provide a quick, effective and orderly response to servers and personal information related to potential or actual incidents such as virus infections, hacker attempts and break-ins, improper disclosure of confidential information, system service interruptions, breach of personal information, and other events with serious information security implications.</w:t>
      </w:r>
    </w:p>
    <w:p>
      <w:pPr>
        <w:spacing w:after="0" w:line="196"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have completed information security, privacy and compliance certifications/validations with the consultation of various global agencies, and now serve as a reliable IoT platform with comprehensive certificates. We have obtained the ISO 27001 Information Security Management System Certificate, ISO 27017 Certificate for Information Security of Cloud Services and ISO 27701 Certificate for Protection of Personally Identifiable Information and are fully committed to complying with the GDPR and CCPA. We have also worked with top privacy compliance and cybersecurity firms, such as TrustArc, ioXt Alliance and Palo Alto Networks, for privacy management and penetration testing.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material claim from any third party against us on the ground of infringement of such party’s right to data protection as provided by the Civil Code of the PRC or any applicable laws and regulations in other jurisdictions, and we have not experienced any material data loss or breach incidents.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committed to promoting corporate social responsibility and sustainable development and integrating it into all major aspects of our business operations. Corporate social responsibility is viewed as part of our core growth philosophy that will be pivotal to our ability to create sustainable value for our shareholders, partners, customers and employees by embracing diversity and public interests. In 2024, we received an ESG rating of A from both MSCI and Wind, and were also included in the S&amp;P Global Sustainability Yearbook (China Edition) 2024, recognizing our ongoing efforts and achievements in the area of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128270</wp:posOffset>
            </wp:positionV>
            <wp:extent cx="4337685" cy="1499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3768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comprehensive policy on environmental, social and corporate governance responsibilities, or the ESG Policy, which sets forth our corporate social responsibility objectives and provides guidance on practicing corporate social responsibility in our daily operations. Under our ESG Policy, one of our main ESG objectives is to reduce any negative impacts on the environment through our commitment to energy savings and sustainable development. In addition, we endeavor to support and have a lasting positive impact on the local community through various initiatives, including corporate philanthropy, establishing community partnerships and mobilizing our employees to participate in volunteer work. Under our ESG Policy, we will also focus on embracing diversity within our organization and equal and respectful treatment of all of our employees in their hiring, training, wellness and professional and personal development.</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the collective and overall responsibility for establishing, adopting and reviewing the ESG vision, policy and target, and evaluating, determining and addressing our ESG-related risks. We have continued to improve the oversight by our board of directors of ESG matters through a series of measures, including taking into account ESG matters in board room discussions and strategic planning, conducting and regularly refreshing a materiality assessment to identify and assess all material ESG issues, developing and regularly reviewing ESG policies, and regularly monitoring ESG performance against our goals.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Sustainable Development through Products and Services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a global company deeply committed to environment and social responsibility, we always strive to make society a better place with our IoT technologies and products. We target to achieve sustainability which constitutes a fundamental strategy for us as we expand and diversify our offerings. In particular, we endeavor to incorporate environmental and ESG-related considerations into our product development process and have been actively exploring ways to achieve environmental protection and realize carbon neutrality. Many of our offerings of key products and services, such as our energy-efficient algorithms that aim to decrease energy usage of smart devices as much as possible, help customers optimize their business processes, reduce costs and improve operational efficiency.</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the mid-term, we will continue to monitor our carbon emissions, which we expect to mainly come from office premises, and continue to implement sustainable and environmentally friendly practices to reduce our carbon emissions. We also intend to leverage our IoT technologies and products to help customers further achieve energy savings while optimizing device functionalities, and explore new, innovative designs for smart device energy storage and usage. In the long term, we intend to use our technological capabilities to enable greater sustainability across different industry verticals, enhance energy usage efficiency and optimize environmental and waste management through the implementation of various carbon neutral practices.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Embracing Diversity and Building a Healthy Workplace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will continue to prioritize achieving diversity within our organization and equal and respectful treatment of all of our employees in their hiring, training, wellness and professional and personal development. In particular, we recognize and embrace the benefits of having a gender-diverse board as an essential element in maintaining our company’s competitive advantage and enhancing our ability to attract, retain and motivate employees from the widest possible pool of available talent. We are committed to taking a proactive approach in recruiting female directors and aligning directors’ diverse competencies and perspectives with the company’s strategy. While maximizing equal career opportunity for everyone, we will also continue to promote work-life balance and create a happy culture in our workplace for all of our employees.</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As we do not operate any production facilities, we are not subject to material health, work safety, social or environmental risks. To ensure compliance with applicable laws and regulations, our human resources department will, if necessary and after consultation with our legal advisors, adjust our human resources policies to accommodate material changes to relevant labor and safety laws and regulations. In 2024 and up to the date of this annual report, we have not been subject to any fines or other penalties due to non-compliance in relation to health, workplace safety or environmental regulations, and have not had any accident or claim for personal or property damage made by our employees which had materially and adversely affected our financial condition or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Supporting the Community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 company with a strong sense of and commitment to social responsibility, we have in recent years launched a series of non-profit events and campaigns as part of our corporate social responsibility efforts.</w:t>
      </w:r>
    </w:p>
    <w:p>
      <w:pPr>
        <w:spacing w:after="0" w:line="162" w:lineRule="exact"/>
        <w:rPr>
          <w:sz w:val="20"/>
          <w:szCs w:val="20"/>
          <w:color w:val="auto"/>
        </w:rPr>
      </w:pPr>
    </w:p>
    <w:p>
      <w:pPr>
        <w:ind w:left="680" w:right="20" w:hanging="321"/>
        <w:spacing w:after="0" w:line="26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we continued to work with Qiaozhuang Town in Sichuan, China to promote rural revitalization and poverty alleviation. With an emphasis on “pairing assistance,” we assigned dedicated personnel and proactively funded local industrial development.</w:t>
      </w:r>
    </w:p>
    <w:p>
      <w:pPr>
        <w:spacing w:after="0" w:line="135"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we donated smart devices with a total value of RMB0.4 million to Dashu Town, Chun’an District, Hangzhou, to promote rural revitalization and poverty alleviation.</w:t>
      </w:r>
    </w:p>
    <w:p>
      <w:pPr>
        <w:spacing w:after="0" w:line="134"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we donated smart devices with a total value of RMB0.5 million to Seda County in Sichuan, aiming to drive the infrastructure development in disadvantaged regions.</w:t>
      </w:r>
    </w:p>
    <w:p>
      <w:pPr>
        <w:spacing w:after="0" w:line="12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donated supplies with a total value of around RMB0.4 million to Derong County in Ganzi, Sichuan, to support underprivileged areas and contribute to regional development.</w:t>
      </w:r>
    </w:p>
    <w:p>
      <w:pPr>
        <w:spacing w:after="0" w:line="12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donated supplies with a total value of around RMB35.2 thousand to Luniu Town in Hangzhou, through the Zhejiang Association for Science Popularization to support rural revitalization.</w:t>
      </w:r>
    </w:p>
    <w:p>
      <w:pPr>
        <w:spacing w:after="0" w:line="134" w:lineRule="exact"/>
        <w:rPr>
          <w:rFonts w:ascii="Times New Roman" w:cs="Times New Roman" w:eastAsia="Times New Roman" w:hAnsi="Times New Roman"/>
          <w:sz w:val="18"/>
          <w:szCs w:val="18"/>
          <w:color w:val="auto"/>
        </w:rPr>
      </w:pPr>
    </w:p>
    <w:p>
      <w:pPr>
        <w:ind w:left="680" w:right="64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donated products with a total value of around RMB0.1 million to Zhejiang International Studies University to support the enhancement of its smart infrastructure.</w:t>
      </w:r>
    </w:p>
    <w:p>
      <w:pPr>
        <w:spacing w:after="0" w:line="12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we donated smart devices with a total value of around RMB25.9 thousand to the migrant workers’ school in Hongtang Street, Ningbo, to help create a better learning environment for the children.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Sustainable and Environmentally Friendly Practices into Our Business Operations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Although our business operations do not directly produce pollutants that directly affect the environment, we endeavor to implement sustainable and economically friendly practices in our own operations to reduce our carbon footprint such as reducing the energy consumption through, for example:</w:t>
      </w:r>
    </w:p>
    <w:p>
      <w:pPr>
        <w:spacing w:after="0" w:line="176" w:lineRule="exact"/>
        <w:rPr>
          <w:sz w:val="20"/>
          <w:szCs w:val="20"/>
          <w:color w:val="auto"/>
        </w:rPr>
      </w:pPr>
    </w:p>
    <w:p>
      <w:pPr>
        <w:ind w:left="680" w:right="20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Installing energy-efficient lighting and ensuring lights are switched off when out of use either manually or through automatic sensors;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double-sided printing of documents throughout our offices;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driving reductions in the use of paper, water and electricity throughout our offices;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Switching off certain IT equipment or automatic power shutdown for certain systems and devices; and</w:t>
      </w:r>
    </w:p>
    <w:p>
      <w:pPr>
        <w:spacing w:after="0" w:line="184"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conditioning controls, with measures including requirements on lowest temperature, regular maintenance of air cooling technologies and optimal timing controls.</w:t>
      </w:r>
    </w:p>
    <w:p>
      <w:pPr>
        <w:spacing w:after="0" w:line="135"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policies can help us meet our environmental sustainability goals by reducing energy consumption in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ESG Risks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committed to a thorough analysis and assessment process that will enable us to identify any material ESG risks and take actions to address these risks timely and effectively. We identify, assess, manage and mitigate environmental, social and climate-related risks by having dedicated teams to take care of the life-cycle management of the corresponding project. For example, personnel from our human resources and government-related affairs departments are responsible for overseeing the management and monitoring of our waste management system and our energy savings and consumption control program to ensure that we achieve the goals of energy savings and consumption reduction. Our management also actively oversees the identification and monitoring of the actual and potential environmental, social and climate-related risks on our business, strategy and financial performance, and take these issues into account during the course of our business, strategic and financial planning. Our management will assess the likelihood of such risks occurring and the estimated magnitude of any potential impact. We may also engage independent third parties to evaluate the ESG risks and review our existing strategy, target and internal controls. Necessary improvement will then be implemented to mitigate any major ESG risks identified.</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a technology company, we do not currently have any material liabilities relating to health, work safety and environment, and do not expect that we will incur any material liabilities in this regard which could have any material adverse impact on our business and operating results. However, potential risks associated with climate change or other climate-related issues may have financial implications for us. For instance, extreme weather conditions may cause suspension or disruption to our business operations and have an impact on our financial condition. Extreme weather may also cause disruptions for our suppliers, which may in turn adversely impact our ability to serve our customers and end users. In 2024 and up to the date of this annual report, our business, results of operations and financial condition have not been materially and adversely impacted by any climate-related incidents.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experienced, and expect in the future to continue to experience, seasonal fluctuations in our revenue and sales from time to time, as a result of the holiday season, customers’ buying patterns, and changes in the business and economic environment that are outside our and our customers’ control. We typically experience lower growth in revenues in the first quarter as a result the reduced production capacities of OEMs located in China due to the annual Lunar New Year holidays. We expect the historical seasonality trends to continue to have a material impact on our results of operations and financial condition. However, certain unique events may cause the historical seasonal trends and patterns to temporarily no longer apply, such as high global inflation weakening consumption sentiment and dampening enterprises’ confidence in doing business, downstream inventory backlog disrupting enterprises’ business and operating plans, supply chain disruption interfering with delivery of goods, and the imposition of new tariffs or adjustments in existing tariffs or trade barriers. See “Item 3. Key Information—3.D.Risk Factors—Risks Related to Our Business and Industry— Seasonality may cause fluctuations in our sales and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global IoT platform market is rapidly evolving. We compete in the ordinary course of business with technology companies providing IoT services and solutions, internet-related services and products for IoT, and IoT-enabling platforms, and e-commerce companies offering IoT-related cloud products and services.</w:t>
      </w:r>
    </w:p>
    <w:p>
      <w:pPr>
        <w:spacing w:after="0" w:line="17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We may, from time to time, face competition from both large, well-established IoT service providers, and less-established IoT companies or companies that offer capabilities that compete with some of our offerings. However, the global IoT platform market has also been facing headwind during 2022 and 2023, with certain players in the IoT field who are engaged in business similar to our IoT PaaS business announcing the termination of their IoT platform services in 2023.</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none of our competitors currently competes directly with us across all of our offerings, and we compete favorably on the basis of the factors below:</w:t>
      </w:r>
    </w:p>
    <w:p>
      <w:pPr>
        <w:spacing w:after="0" w:line="162"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support multiple use cases on a single platform;</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performance, interoperability, scalability and reliability;</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help customers achieve global IoT deployment;</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build a supply chain ecosystem;</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 platform maintenance;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efforts;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ensure data security and privacy.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maintain the statutory social insurance as required by the relevant local laws and regulations. In addition, we maintain a supplemental employee commercial healthcare insurance program aiming to promote the work safety, health and well-being of our employees. We maintain liability insurance policies to cover potential product liability claims, cybersecurity insurance policies to cover the costs associated with a breach of third-party data in the event that the data is lost or stolen, and technical errors and omissions policies for liabilities in connection with failures of a service or software. Consistent with customary industry practice in the PRC and the other markets in which we operate, we do not maintain key-man life insurance.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PERMISSIONS AND APPROVALS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all requisite licenses, permissions and approvals have been obtained from relevant regulatory authorities that are material to our operations. None of such licenses, permissions or approvals have been denied or rescinded.</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details of licenses, permissions and approvals held by our PRC subsidiaries that are material to current business operations in China, and the VIE currently does not hold any such material licenses, permissions or approvals.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00" w:type="dxa"/>
            <w:vAlign w:val="bottom"/>
          </w:tcPr>
          <w:p>
            <w:pPr>
              <w:spacing w:after="0"/>
              <w:rPr>
                <w:sz w:val="21"/>
                <w:szCs w:val="21"/>
                <w:color w:val="auto"/>
              </w:rPr>
            </w:pPr>
          </w:p>
        </w:tc>
        <w:tc>
          <w:tcPr>
            <w:tcW w:w="19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Holder</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Issuing Authority</w:t>
            </w:r>
          </w:p>
        </w:tc>
        <w:tc>
          <w:tcPr>
            <w:tcW w:w="1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Grant Dates</w:t>
            </w:r>
          </w:p>
        </w:tc>
        <w:tc>
          <w:tcPr>
            <w:tcW w:w="180" w:type="dxa"/>
            <w:vAlign w:val="bottom"/>
          </w:tcPr>
          <w:p>
            <w:pPr>
              <w:spacing w:after="0"/>
              <w:rPr>
                <w:sz w:val="21"/>
                <w:szCs w:val="21"/>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and Filing of Foreign Trade</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Tuya Information</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City Xihu</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2022</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Operator</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District Commission of</w:t>
            </w: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w:t>
            </w: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of Consignee or Consignor of</w:t>
            </w:r>
          </w:p>
        </w:tc>
        <w:tc>
          <w:tcPr>
            <w:tcW w:w="2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Tuya Information</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Hangzhou Customs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May 11, 2018</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Imported or Exported Goods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and Filing of Foreign Trade</w:t>
            </w:r>
          </w:p>
        </w:tc>
        <w:tc>
          <w:tcPr>
            <w:tcW w:w="2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Zhejiang Tuya</w:t>
            </w: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Hangzhou City Xihu</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w:t>
            </w:r>
          </w:p>
        </w:tc>
        <w:tc>
          <w:tcPr>
            <w:tcW w:w="1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Operator</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District Commission of</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w:t>
            </w: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of Consignee or Consignor of</w:t>
            </w:r>
          </w:p>
        </w:tc>
        <w:tc>
          <w:tcPr>
            <w:tcW w:w="2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Zhejiang Tuya</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Qianjiang Customs</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May 27, 2020</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Imported or Exported Goods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the view of Jia Yuan Law Offices, our PRC legal counsel, we had complied with the relevant applicable PRC laws relating to the required licenses, permissions and approvals to business operations in China in all material respects in 2024 and up to the date of this annual report. Based on the understanding of the relevant PRC laws and regulations, our PRC legal counsel has also advised us that, to the best of their knowledge, there should be no material legal impediment for us to renew these licenses, permissions and approvals as long as we comply with the relevant legal requirements and we take all necessary steps and submit the relevant applications in accordance with the requirements and schedules prescribed by the applicable PRC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the consequences to us and investors if we do not receive or maintain requisite licenses, permissions and approvals necessary to conduct operations in China, or if applicable laws, regulations or interpretations change and we are required to obtain additional permissions or approvals in the future, see Item 3. Key Information—3.D. Risk Factors—Risk Related to Our Business and Industry— Any failure to maintain necessary permits and licenses to operate our business operations under applicable laws and regulations could materially and adversely affect our business and results of operations.”</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recent years, the PRC government has increasingly tightened the regulation of cybersecurity, and indicated an intent to exert more oversight and control over securities offerings and other capital markets activities that are conducted overseas and foreign investment in China-based companies like us. See “Item 3. Key Information—Recent PRC Regulatory Developments.” As of the date of this annual report, we have not been required to go through a cybersecurity review by the CAC, or required to obtain any permission from, or complete any filing with, the CSRC in connection with our prior public offerings or maintaining the listing status on applicable stock exchanges. Nor have we received any formal inquiry, notice, warning, sanction, or any regulatory objection in relation to cybersecurity review from the CSRC, the CAC or any other PRC regulatory agencies that have jurisdiction over our operations. Since the legislative and regulatory actions in this regard are relatively new, it is highly uncertain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our business operations, our ability to accept foreign investments and conduct follow-on offerings, and listing or continuing listing on applicable stock exchanges. For details of related risks, see “Item 3. Key Information—3.D. Risk Factors—Risks Related to Doing Business in China—The filing, approval or other administration requirements of the CSRC, the CAC or other PRC government authorities may be required to maintain our listing status or conduct future offshore securities offerings.”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Foreign Investment</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Investments activities in China by foreign investors are principally governed by the Encouraged Industries Catalog for Foreign Investment (2022 version) (the “Catalog”), which was promulgated by the Ministry of Commerce (“MOFCOM”) and the National Development and Reform Commission (the “NDRC”) on October 26, 2022 and became effective on January 1, 2023 and the Special Administrative Measures for Foreign Investment Access (Negative List 2024) (the “Negative List (2024)”), which was promulgated by the MOFCOM and the NDRC on September 6, 2024 and became effective on November 1, 2024. The Catalog and the Negative List (2024) set forth the industries in which foreign investments are encouraged, restricted and prohibited. Industries that are not listed in any of these three categories are generally open to foreign investment unless otherwise specifically restricted by other PRC rules and regulations. Article 6 of the Interpretation Note of the Negative List (2024), which is consistent with Article 6 of the Interpretation Note of the Negative List 2021, provides that, where a domestic enterprise engaged in the business in the prohibited areas of the Negative List (2024) seeks to issue and list its shares overseas, it shall complete the examination process and obtain approval of the relevant competent authorities of the State, the foreign investor shall not participate in the operation and management of the enterprise, and its shareholding percentage shall be subject to the relevant provisions on the administration of domestic securities investment by foreign investors. On January 18, 2022, the NDRC held a press conference to further clarify the position of Article 6 above, during which the spokesman made it clear that Article 6 shall only be applicable to the situations where domestic enterprises were seeking a direct overseas issuance and listing (i.e., H-shares listing).</w:t>
      </w:r>
    </w:p>
    <w:p>
      <w:pPr>
        <w:spacing w:after="0" w:line="19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According to the Negative List (2024), the foreign equity interest ownership of entities that engage in value-added telecommunications business (except for e-commerce, domestic multiparty communication, storage and forwarding and call center) must not exceed 50%.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Foreign Investment Law of the PRC (the “Foreign Investment Law”), which took effect on January 1, 2020 and replaced the Sino-Foreign Equity Joint Venture Enterprise Law of the PRC, the Sino-Foreign Cooperative Joint Venture Enterprise Law of the PRC and the Wholly Foreign-Invested Enterprise Law of the PRC and became the legal foundation for foreign investment in the PRC. On December 26, 2019, the State Council issued the Regulations on Implementing the Foreign Investment Law of the PRC, or the Implementation Rules, which took effect on January 1, 2020 and replaced the Regulations on Implementing the Sino-Foreign Equity Joint Venture Enterprise Law of the PRC, Provisional Regulations on the Duration of Sino-Foreign Equity Joint Venture Enterprise Law, the Regulations on Implementing the Wholly Foreign-Invested Enterprise Law of the PRC and the Regulations on Implementing the Sino-Foreign Cooperative Joint Venture Enterprise Law of the PRC. Pursuant to the Foreign Investment Law and the Implementation Rules, the existing foreign-invested enterprises established prior to the effective date of the Foreign Investment Law are allowed to keep their corporate organization forms for five years from the effectiveness of the Foreign Investment Law before such existing foreign-invested enterprises change their organization forms and organization structures in accordance with the Company Law of the PRC, which was last amended in December 2023 and came into effect on July 1, 2024, the Partnership Enterprise Law of the PRC and other applicable laws. Pursuant to the Company Law, shareholders of a limited liability company must pay in their subscribed registered capital in full within five years from the date of establishment of the company or the date of its capital increase, and companies established before July 1, 2024 should gradually adjust their capital contributions to meet this new requirement. The Company Law also involve aspects of the company’s organizational structure, corporate governance, and the rights and obligations of shareholders, which also apply to foreign investment enterprises in the PRC.</w:t>
      </w:r>
    </w:p>
    <w:p>
      <w:pPr>
        <w:spacing w:after="0" w:line="193" w:lineRule="exact"/>
        <w:rPr>
          <w:sz w:val="20"/>
          <w:szCs w:val="20"/>
          <w:color w:val="auto"/>
        </w:rPr>
      </w:pPr>
    </w:p>
    <w:p>
      <w:pPr>
        <w:ind w:firstLine="324"/>
        <w:spacing w:after="0" w:line="276" w:lineRule="auto"/>
        <w:rPr>
          <w:sz w:val="20"/>
          <w:szCs w:val="20"/>
          <w:color w:val="auto"/>
        </w:rPr>
      </w:pPr>
      <w:r>
        <w:rPr>
          <w:rFonts w:ascii="Times New Roman" w:cs="Times New Roman" w:eastAsia="Times New Roman" w:hAnsi="Times New Roman"/>
          <w:sz w:val="17"/>
          <w:szCs w:val="17"/>
          <w:color w:val="auto"/>
        </w:rPr>
        <w:t>Pursuant to the Foreign Investment Law, foreign investment means the investment activities within the PRC directly or indirectly conducted by foreign natural persons, enterprises and other organizations (the “foreign investor”), including the following circumstances:</w:t>
      </w:r>
    </w:p>
    <w:p>
      <w:pPr>
        <w:spacing w:after="0" w:line="1" w:lineRule="exact"/>
        <w:rPr>
          <w:sz w:val="20"/>
          <w:szCs w:val="20"/>
          <w:color w:val="auto"/>
        </w:rPr>
      </w:pPr>
    </w:p>
    <w:p>
      <w:pPr>
        <w:ind w:right="20" w:firstLine="8"/>
        <w:spacing w:after="0" w:line="253" w:lineRule="auto"/>
        <w:tabs>
          <w:tab w:leader="none" w:pos="2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investor, individually or collectively with other investors, establishes a foreign-invested enterprise within the PRC; (ii) a foreign investor acquires any shares, equities, portion of property or other similar interest in an enterprise within the PRC; (iii) a foreign investor, individually or collectively with other investors, invests in a new project within the PRC; and (iv) foreign investors invest in the PRC through any other methods under laws, administrative regulations or provisions prescribed by the State Council of the PRC. The PRC applies the administrative system of pre-establishment national treatment plus negative list to foreign investment.</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December 30, 2019, MOFCOM and the State Administration for Market Regulation (the “SAMR”) issued the Measures for the Reporting of Foreign Investment Information, which took effect on January 1, 2020 and replaced the Interim Measures for the Recordation Administration of the Formation and Modification of Foreign-Funded Enterprises, and thus foreign investors carrying out investment activities directly or indirectly in China, instead of filing formalities, must report their foreign investment information to the commerce authorities.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Value-Added Telecommunication Services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Telecommunications Regulations of the People’s Republic of China (the “Telecommunications Regulations”) promulgated by the State Council on September 25, 2000 and last amended on February 6, 2016, provide a regulatory framework for telecommunication services providers in mainland China. The Telecommunications Regulations require telecommunication services providers to obtain an operating license prior to the commencement of their operations. The Telecommunications Regulations categorize telecommunications businesses into basic telecommunications businesses and value-added telecommunications businesses, according to the Catalog of Telecommunications Business, attached to the Telecommunications Regulations and last amended by the Ministry of Industry and Information Technology (the “MIIT”) on June 6, 2019.</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Cybersecurity, Data Security and Privacy Protection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Cybersecurity</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On December 28, 2000, the SCNPC enacted the Decision on the Protection of Internet Security, as amended on August 27, 2009, which provides that the following activities conducted through the internet are subject to criminal liabilities: (i) gaining improper entry into any of the computer information networks relating to state affairs, national defensive affairs, or cutting-edge science and technology;</w:t>
      </w:r>
    </w:p>
    <w:p>
      <w:pPr>
        <w:spacing w:after="0" w:line="1" w:lineRule="exact"/>
        <w:rPr>
          <w:sz w:val="20"/>
          <w:szCs w:val="20"/>
          <w:color w:val="auto"/>
        </w:rPr>
      </w:pPr>
    </w:p>
    <w:p>
      <w:pPr>
        <w:ind w:right="120" w:firstLine="8"/>
        <w:spacing w:after="0" w:line="253"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relevant provisions of the state in the form of unauthorized interruption of any computer network or communication service, as a result of which the computer network or communication system cannot function normally; (iii) spreading rumor, slander or other harmful information via the internet for the purpose of inciting subversion of the state political power; (iv) stealing or divulging state secrets, intelligence or military secrets via internet; (v) spreading false or inappropriate commercial information; or (vi) infringing on the intellectual property.</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December 13, 2005, the Ministry of Public Security issued the Provisions on the Technical Measures for Internet Security Protection, which took effect on March 1, 2006. These regulations require internet service providers to take proper measures including anti-virus, data backup, keeping records of certain information such as the log-in and exit time of users, and other related measures, and to keep records of certain information about their users for at least 60 days. On June 22, 2007, the Ministry of Public Security, the State Secrecy Bureau, the State Cryptography Administration and the Information Office of the State Council jointly promulgated the Administrative Measures for the Multi-level Protection of Information Security, under which the security protection grade of an information system may be classified into five grades. Companies operating and using information systems shall protect the information systems and any system equal to or above Level II as determined in accordance with these measures, a record-filing with the competent authority is required.</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Cybersecurity Law of the PRC, or the Cybersecurity Law, was adopted by the SCNPC on November 7, 2016, and came into effect on June 1, 2017. Regarded as the fundamental law in the area of cybersecurity in China, the Cybersecurity Law regulates network operators and others from the following perspectives: the principle of cyberspace sovereignty, security obligations of network operators and providers of network products and services, protection of personal information, protection of critical information infrastructure, data use and cross-border transfer, network interoperability and standardization. Network operators shall, according to the requirements of the rules for graded protection of cybersecurity, fulfill security protection obligations, so as to ensure that the network is free from interference, damage or unauthorized access, and prevent network data from being divulged, stolen or falsified. In addition, network operators that collect personal information shall follow the principles of legitimacy, rationality and necessity and shall not collect or use any personal information without due authorization of the person whose personal information is collected. Each individual is entitled to require a network operator to delete his or her personal information if he or she finds that collection and use of such information by such operator violate the laws, administrative regulations or the agreement by and between such network operator and such individual, and is entitled to require any network operator to make corrections if he or she finds errors in such information collected and stored by such network operator. Such network operator shall take measures to delete the information or correct the error.</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December 28, 2021, the CAC and certain other PRC regulatory authorities promulgated the Measures for Cybersecurity Review (the “Cybersecurity Review Measures”), which provide that (i) network platform operators holding over one million users’ personal information shall apply with the Cybersecurity Review Office for a cybersecurity review when listing in a foreign country, and (ii) operators of “critical information infrastructure” that intend to purchase network products and services that will or may affect national security shall apply for a cybersecurity review and (iii) network platform operators carrying out data processing that will affect or may affect national security shall apply for a cybersecurity review. The Cybersecurity Review Measures took effect on February 15, 2022 and replaced the Measures for Cybersecurity Review promulgated in April 2020. For a detailed discussion of the risks and uncertainties related to our compliance with regulations on cyber security, please see “Item 3. Key Information—3.D.Risk Factors—Risks Related to our Business and Industry—Compliance with the rapidly evolving landscape of global data privacy and data security laws may be challenging, and any failure or perceived failure to comply with such laws, or other concerns about our practices or policies with respect to the processing of personal information,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Data Security</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10, 2021, the SCNPC promulgated the Data Security Law of the PRC, or the Data Security Law, which took effect on September 1, 2021. According to the Data Security Law, the enterprises conducting data processing activities shall establish and improve their data security management systems, organize data security trainings and adopt corresponding technical measures and other necessary measures, with a view to guaranteeing the data security. Chapter 4 of the Data Security Law provides for the obligations of general data processing and data security protection, including (i) establishing and improving the whole-process data security management system;</w:t>
      </w:r>
    </w:p>
    <w:p>
      <w:pPr>
        <w:spacing w:after="0" w:line="3" w:lineRule="exact"/>
        <w:rPr>
          <w:sz w:val="20"/>
          <w:szCs w:val="20"/>
          <w:color w:val="auto"/>
        </w:rPr>
      </w:pPr>
    </w:p>
    <w:p>
      <w:pPr>
        <w:ind w:right="80" w:firstLine="8"/>
        <w:spacing w:after="0" w:line="251" w:lineRule="auto"/>
        <w:tabs>
          <w:tab w:leader="none" w:pos="2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risk monitoring and properly handling data security incidents; and (iii) legally and properly collecting and using data. Our company has established a relatively complete data security management system, organized and carried out data security education and training, adopted corresponding technical measures and organizations to protect data security, formulated a data security incident management system, carried out risk monitoring and assessment, handled information security level protection filing and assessment for call center service platforms, and performed corresponding network security level protection obligations. In addition, pursuant to the Data Security Law, a data security system should be established to administer data at different levels and by different categories, and impose specific compliance obligations on processors of important data, including (i) specifying the person and institution responsible for data security and implementing data security protection responsibilities; (ii) conducting regular risk assessment of its data processing activities; and (iii) fulfilling the regulatory requirements for transmitting important data overseas. Further, remedial measures shall be taken immediately upon discovery of any data security defects or bugs, and users shall be timely notified and competent authorities shall be informed in accordance with relevant provisions if any data security incident occurs. If an enterprise conducting data processing activities fails to meet such requirements, it would be subject to regulatory penalties, including fine, suspension of the relevant business, close of business for rectification and revocation of the relevant business permit or business license.</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July 7, 2022, the CAC published Measures on Security Assessments for the Cross-border Transfer of Data which took effect on September 1, 2022. It is applicable to cross-border transfers of personal information and important data collected and generated in China under certain circumstances. Apart from that, the measures provides detailed requirements for contracts concluded between data processors and overseas recipients, including but not limited to the purpose of cross-border data transfer, the overseas storage site, the restrictions concerning the transfer of cross-border data from overseas recipients to other organizations and individuals, the security measures to be taken by the overseas recipients when there is a material change in the actual control or scope of business, liability for breach of data security obligations and binding and enforceable dispute resolution provisions and the proper emergency disposal to be taken in the event of risks such as data breaches.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the CAC promulgated the Provisions on Promoting and Regulating Cross-Border Data Flows, effective on the date of promulgation. The provisions provide several exemptions to processors of data which exempt them from undergoing data security assessment, obtaining personal information protection certification, or entering into standard contracts for outbound transfer of personal information for businesses. These exemptions include, among others, scenarios where a data processor, other than a CIIO, has cumulatively transferred personal information (excluding sensitive personal information) of fewer than 100,000 individuals to overseas recipients since January 1 of the current year. In addition, a data processor, other than a CIIO, shall enter into a standard contract with overseas recipients for the cross-border transfer of personal information, or obtain certification for personal information protection if, since January 1 of the current year, the data processor has cumulatively transferred to overseas recipients personal information (excluding sensitive personal information) of more than 100,000 but fewer than 1,000,000 individuals, or sensitive personal information of fewer than 10,000 individuals. The provisions also explicitly state that data processors are not required to apply for security assessment on cross-border transfer of important data, provided that the relevant data has not been notified or published as important data by relevant departments or regions.</w:t>
      </w:r>
    </w:p>
    <w:p>
      <w:pPr>
        <w:spacing w:after="0" w:line="19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order to guide and assist data processors in submitting data export security assessments in a standardized and orderly manner, the CAC prepared the Guidelines for Data Export Security Assessment Application (Version 2.0) in March 2024, which provide specific requirements for the method, process, and materials required for submitting a data export security assessment application and simplify the materials required to be submitted by the data processors.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November 14, 2021, the CAC released the Regulations on the Administration of Cyber Data Security (Draft for Comments) (the “Draft Cyber Data Security Regulation”). On September 24, 2024, the CAC promulgated the Regulations on the Administration of Cyber Data Security (the “Regulation on Cyber Data Security”), which became effective on January 1, 2025. The Regulation on Cyber Data Security reiterate the general regulations for cyber data processing activities, rules of personal information protection, important data security protection, network data cross-border transfer management, and the responsibilities of internet platform service providers. In addition, unlike the Draft Cyber Data Security Regulation, the officially promulgated Regulation on Cyber Data Security does not specifically include the requirement that cyber data processing entities seeking a Hong Kong listing that affects or may affect national security, or data processors that handle personal information of more than one million people contemplating to list its securities on a “foreign” stock exchange, or the merger, reorganization or division of internet platform operators that have acquired a large number of data resources related to national security, economic development or public interests, which affect or may affect national security should apply for a cybersecurity review. Instead, the Regulation on Cyber Data Security generally provides that cyber data processors whose cyber data processing activities affect or may affect national security shall be subject to national security review in accordance with the relevant regulations. According to the PRC National Security Law, “national security” refers to a status in which the regime, sovereignty, unity, territorial integrity, welfare of the people, sustainable economic and social development, and other vital interests of the state are relatively not in danger and not threatened internally or externally and the ability to maintain a sustained security status. However, the criteria for determining the circumstances that “affect or may affect national security” for the purpose of the Regulation on Cyber Data Security remain unclear and are subject to further clarification by the CAC.</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Privacy Protection</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PRC Constitution states that PRC law protects the freedom and privacy of communications of citizens and prohibits infringement of such rights. In recent years, PRC government authorities have enacted legislation on internet use to protect personal information from any unauthorized disclosure. On May 28, 2020, the National People’s Congress of the PRC approved the Civil Code of the PRC, which took effect on January 1, 2021. Pursuant to the Civil Code of the PRC, the personal information of a natural person shall be protected by the laws. Any organization or individual shall legally obtain such personal information of others when necessary and ensure the safety of such information, and shall not illegally collect, use, process or transmit personal information of others, or illegally purchase or sell, provide or make public personal information of others. The Administrative Measures on Internet Information Services, issued by the State Council on September 25, 2000 and last amended on December 6, 2024, prohibit ICP service operators from insulting or slandering a third party or infringing the lawful rights and interests of a third-party.</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December 29, 2011, the MIIT promulgated the Several Provisions on Regulating the Market Order of Internet Information Services, which became effective on March 15, 2012. On December 28, 2012, the SCNPC promulgated the Decision on Strengthening Network Information Protection to enhance the legal protection of information security and privacy on the internet. The Provisions on Protection of Personal Information of Telecommunications and Internet Users promulgated by the MIIT on July 16, 2013 contains detailed requirements on the use and collection of personal information as well as the security measures to be taken by internet service providers. Specifically, (i) the users’ personal information shall not be collected without prior consent; (ii) the personal information shall not be collected other than those necessary for internet service providers to provide services; (iii) the personal information shall be kept strictly confidential; and (iv) a series of detailed measures shall be taken to prevent any divulgence, damage, tampering or loss of personal information of users.</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Administrative Provisions on Security Vulnerability of Network Products, or Provisions, were jointly promulgated by the MIIT, the CAC and the MPS on July 12, 2021 and took effect on September 1, 2021. Network product providers, network operators as well as organizations or individuals engaging in the discovery, collection, release and other activities of network product security vulnerability are subject to the Provisions and shall establish channels to receive information of security vulnerability of their respective network products and shall examine and fix such security vulnerability in a timely manner. Network product providers are required to report relevant information of security vulnerability of network products with the MIIT within two days and to provide technical support for network product users. Network operators shall take measures to examine and fix security vulnerability after discovering or acknowledging that their networks, information systems or equipment have security loopholes. According to the Provisions, the breaching parties may be subject to administrative penalty as regulated in accordance with the Cybersecurity Law. Since the Provisions are relatively new, uncertainties still exist in relation to its interpretation and implementation.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Pursuant to the Notice of the Supreme People’s Court, the Supreme People’s Procuratorate and the Ministry of Public Security on Legally Punishing Criminal Activities Infringing upon the Personal Information of Citizens, issued in April 23,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 Pursuant to the Civil Code of the PRC, the collection, storage, use, process, transmission, provision and disclosure of personal information shall follow the principles of legitimacy, properness and necessity.</w:t>
      </w:r>
    </w:p>
    <w:p>
      <w:pPr>
        <w:spacing w:after="0" w:line="19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Cybersecurity Law provides that network operators shall obtain the individual’s prior consent before collecting the personal information of such individual and take necessary technical measures or other appropriate measures to protect the personal information, and shall not provide the personal information to any third party without the individual’s prior consent unless such personal information has been processed in a proper way that a specific person will not be identified. For the operators of crucial information infrastructure, the personal information and crucial data must be stored within the territory of the People’s Republic of China. Where such data need to be provided to overseas parties due to business requirements, a security assessment shall be conducted before the transmission of the data.</w:t>
      </w:r>
    </w:p>
    <w:p>
      <w:pPr>
        <w:spacing w:after="0" w:line="18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of the PRC (the “Personal Information Protection Law”), which took effect on November 1, 2021. The law aims to protect the rights and interests of personal information and regulate the processing of personal information. The Personal Information Protection Law stipulates certain important concepts with respect to personal information processing: (i) “personal information” refers to all kinds of information related to identified or identifiable natural persons recorded by electronic or other means, excluding the information processed anonymously; (ii) “processing of personal information” includes the collection, storage, use, processing, transmission, provision, disclosure and deletion of personal information, among others; and (iii) “personal information processor” refers to an organization or individual that independently determines the purpose and method of the processing in the processing of personal information.</w:t>
      </w:r>
    </w:p>
    <w:p>
      <w:pPr>
        <w:spacing w:after="0" w:line="19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Personal Information Protection Law also stipulates the obligations in the circumstance of entrusted processing. Where a personal information processor entrusts others with the processing of personal information, (i) the personal information processor shall agree with the agent on substantial matters like purpose, term, method of entrusted processing, type of information and protection measures, as well as supervise the processing activities of the agent; and (ii) the agent shall process personal information strictly within the scope as agreed, and ensure the security of the personal information processed and assist the personal information processor to perform his legal obligations.</w:t>
      </w:r>
    </w:p>
    <w:p>
      <w:pPr>
        <w:spacing w:after="0" w:line="18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On August 22, 2019, the CAC issued the Regulation on Cyber Protection of Children’s Personal Information, effective on October 1, 2019. Network operators are required to establish special policies and user agreements to protect children’s personal information, and to appoint special personnel in charge of protecting children’s personal information. Network operators who collect, use, transfer or disclose personal information of children are required to, in a prominent and clear way, notify and obtain consent from children’s guardians.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On November 28, 2019, the Secretary Bureau of the CAC, the General Office of the MIIT, the General Office of the Ministry of Public Security and the General Office of the SAMR promulgated the Method for Identifying the Illegal Collection and Use of Personal Information by Apps, which took effect on November 28, 2019 (the “Method”). The Method provides guidance for the regulatory authorities to identify the illegal collection and use of personal information through mobile apps, and for the app operators to conduct self-examination and self-correction and for other participants to voluntarily monitor compliance. The Method lists six types of illegal collection and usage of personal information, including “failure to publish rules on the collection and usage of personal information,” “failure to expressly state the purpose, manner and scope of the collection and usage of personal information,” “collecting and using personal information without obtaining consents from users,” “collecting personal information irrelevant to the services provided,” “providing personal information to other parties without obtaining consent” and “failure to provide the function of deleting or correcting personal information as required by law or failure to publish the methods for complaints and reports or other information”. For a detailed discussion of the risks and uncertainties related to our compliance with regulations on privacy protection, please see “Item 3. Key Information—3.D.Risk Factors—Risks Related to our Business and Industry—Compliance with the rapidly evolving landscape of global data privacy and data security laws may be challenging, and any failure or perceived failure to comply with such laws, or other concerns about our practices or policies with respect to the processing of personal information, could damage our reputation and deter current and potential customers and end users from using our platform and products and services or subject us to significant compliance costs or penalties, which could materially and adversely affect our business, financial condition and results of operations.”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 U.K.</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summary of selected data security and privacy laws of the EU and the U.S. We believe that these laws and regulations are relevant to our business operations because certain of our data centers, as well as many of the brands we serve, are located in the EU or the U.S. We believe many of these laws and regulations, such as the General Data Protection Regulation (EU) 2016/679 (the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represent leading standards of data security and privacy in the world, and we have adopted internal controls, policies and procedures that we believe are consistent with the applicable standards under such laws and regulations. We have also completed information security, privacy and compliance certifications and validations from top privacy compliance and cybersecurity firms, such as TrustArc. For more information, see “Item 4. Information on the Company—4.B. Business Overview—Data Security and Privacy.”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GDPR, which applies to the collection, use, storage, retention, transfer, disclosure and other processing of personal data obtained from individuals located in the EU or by businesses operating within the EU, became effective on May 25, 2018 and has resulted, and will continue to result, in significantly greater compliance burdens and costs for companies with customers, end users, or operations in the EU. The GDPR places stringent obligations and operational requirements on us as both a processor and controller of personal data and could make it more difficult or more costly for us to use and share personal data. For example, requirements placed on data controllers include, among other things, transparent and expanded disclosure to data subjects about how their personal data is to be used, limitations on retention of information, mandatory data breach notification requirements, record keeping and documentation requirements, and higher standards for data controllers to demonstrate that they have obtained valid consent for certain data processing activities. Under the GDPR, data protection supervisory authorities are given various enforcement powers, including levying fines of up to 20 million Euros or up to 4% of an organization’s annual worldwide turnover, whichever is greater, for the preceding financial year, for non-compliance. Data subjects also have the right to be compensated for damages suffered as a result of a controller or processor’s non-compliance with the GDPR. While the GDPR provides a more harmonized approach to data protection regulation across the EU member states, it also gives EU member states certain areas of discretion; and therefore, laws and regulations in relation to certain data processing activities may differ on a member state by member state basis, which could further limit our ability to use and share personal data and could require localized changes to our operating model. In addition to the GDPR, the EU also has released a proposed Regulation on Privacy and Electronic Communications, or the ePrivacy Regulation, to replace the EU’s current Privacy and Electronic Communications Directive, or the ePrivacy Directive, to, among other things, better align EU member states and the rules governing online tracking technologies and electronic communications, such as unsolicited marketing and cookies, with the requirements of the GDPR. While the ePrivacy Regulation was originally intended to be adopted on May 25, 2018 (alongside the GDPR), on February 11, 2025, the European Commission announced the end of the legislative procedure for the ePrivacy Regulation. Whether it will be reintroduced or adopted remains unclear, and the details of this regulation remain in flux. Additional time and effort may need to be spent addressing the new requirements in the potential ePrivacy Regulation as compared to the GDPR, as the ePrivacy Regulation, if reintroduced or adopted in its prior form or any similar, would significantly increase fining powers to the same levels as the GDPR and may require us to change our operational model and incur additional compliance expenses.</w:t>
      </w:r>
    </w:p>
    <w:p>
      <w:pPr>
        <w:spacing w:after="0" w:line="20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Under the GDPR, restrictions are placed on transfers of personal data outside of the European Economic Area to countries which have not been deemed “adequate” by the European Commission (including the PRC). The Court of Justice of the European Union (the “CJEU”) issued a decision on July 16, 2020, invaliding the EU-US Privacy Shield Framework, which provided one mechanism for lawful cross-border transfers of personal data between the EU and the United States. While the decision did not invalidate the use of the European Commission’s approved standard contractual clauses, another mechanism for making lawful cross-border transfers, the decision has called the validity of standard contractual clauses into question under certain circumstances, and has made the legality of transferring personal data from the EU to the U.S. or various other jurisdictions outside of the EU more uncertain. Specifically, the CJEU stated that companies must now assess the validity of standard contractual clauses on a case-by-case basis, taking into consideration whether the standard contractual clauses provide sufficient protection in light of any access by the public authorities of the third country to where the personal data is transferred, and the relevant aspects of the legal system of such third country. Additionally, in October 2022, President Biden signed an executive order to implement the EU-U.S. Data privacy Framework, which serves as a replacement to the EU-US Privacy Shield. Moreover, on July 10, 2023 the European Commission adopted an adequacy decision concluding that the United States ensures an adequate level of protection for personal data transferred from the EEA to the United States under the EU-U.S. Data Privacy Framework (followed on October 12, 2023 with the adoption of an adequacy decision in the U.K. for the U.K.-US Data Bridge). However, the adequacy decision does not foreclose, and is likely to face, future legal challenges and the ongoing legal uncertainty may increase our costs and our ability to efficiently process personal data from the EEA. While the European Commission published revised standard contractual clauses for transferring personal data from the EU to third countries, and the European Data Protection Board issued certain recommendations relating to measures that supplement transfer tools to ensure compliance with the EU level of protection of personal data, the CJEU’s decision has increased uncertainty surrounding data transfers from the EU to third countries that may not offer the same level of protection for data subjects’ rights as the EU. Due to these recent regulatory changes and guidance, we may need to invest in additional technical, legal and organization safeguards in the future to avoid disruptions to data flows within our business and to and from our customers and service providers. Furthermore, this uncertainty, and its eventual resolution, may increase our costs of compliance, impede our ability to transfer data and conduct our business, and harm our business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Additionally, the withdrawal of the United Kingdom (“U.K.”) from the EU (commonly known as “Brexit”) has created uncertainty with regard to the regulation of privacy and data protection in the U.K. Since January 1, 2021, when the transitional period following Brexit expired, the so-called U.K. GDPR (combining the GDPR and the U.K.’s Data Protection Act of 2018) has been in effect in the U.K. Although the U.K. GDPR currently imposes substantially the same obligations as the GDPR, and currently authorizes similar fines,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While the European Commission has issued an “adequacy” decision to the U.K., which facilitates the sharing of personal data between the EU and the U.K. for the time being, such adequacy decision will sunset in June 2025 unless extended and it may be revoked in the future by the European Commission if the U.K. data protection regime is reformed in ways that deviate substantially from the level of protection currently in place. Adding further complexity for international data flows, in March 2022, the U.K. adopted its own International Data Transfer Agreement for transfers of personal data out of the U.K. to so-called third countries, as well as an international data transfer addendum that can be used with GDPR’s standard contractual clauses for the same purpose. All of this creates a risk of divergent parallel regimes and related uncertainty, along with the potential for increased compliance costs and risks for affected businesses based on differing interpretation and enforcement by regulators and authorities.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7"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the United States, various federal regulators, including governmental agencies like the Federal Trade Commission, and states and state regulators have adopted, or are considering adopting, laws and regulations concerning personal data and data security, such as the California Consumer Privacy Act, of 2018 (as modified by the California Privacy Rights Act, collectively “CCPA”). This patchwork of legislation and regulation may give rise to conflicts or differing views of personal privacy rights. For example, certain state laws may be more stringent or broader in scope, or offer greater individual rights, with respect to personal data than federal, international or other state laws, and such laws may differ from each other, all of which may complicate compliance efforts. One such comprehensive privacy law in the United States is the CCPA, which came into effect on January 1, 2020 and was significantly amended as of January 1, 2023. Among other things, the CCPA requires companies that process personal information of California residents to make detailed disclosures to consumers about such companies’ data collection, use and sharing practices, gives California residents expanded rights to access and delete their personal information and to opt out of certain personal information sharing with (and sales of personal information to) third parties. The CCPA provides for civil penalties for violations, as well as a private right of action for certain data breaches that result in the loss of personal data that may increase the likelihood of, and risks associated with, data breach litigation. Additionally, the CCPA expands consumers’ rights with respect to certain sensitive personal information, further restricts the use of cross-context behavioral advertising and creates a state agency, the California Privacy Protection Agency, to oversee implementation and enforcement efforts. Amendments have been made to the CCPA, and it is possible that further amendments will be enacted, but even in its current form it remains unclear how various provisions of the CCPA will be interpreted and enforced, potentially resulting in further uncertainty and requiring us to incur additional costs and expenses in an effort to comply. In addition, all 50 states have laws that require the provision of notification for security breaches of personal information to affected individuals, state officers or others. Possible consequences for non-compliance with these various state laws include enforcement actions in response to rules and regulations promulgated under the authority of federal agencies and state attorneys general and legislatures and consumer protection agencies. State laws are changing rapidly and there have been ongoing discussions and proposals in the U.S. Congress with respect to new federal data privacy and security laws to which we would become subject if enacted. All of these evolving compliance and operational requirements impose significant costs that are likely to increase over time, may require us to modify our data processing practices and policies, divert resources from other initiatives and projects, and could restrict the way products and services involving data are offered, all of which may have a material and adverse impact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for Import and Export Goods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Pursuant to the Customs Law of the People’s Republic of China promulgated by the SCNPC on January 22, 1987 and last amended on April 29, 2021, unless otherwise stipulated, the declaration of import and export goods may be made by consignees and consignors themselves, and such formalities may also be completed by their entrusted customs brokers that have filed with the Customs. The consignees and consignors for import or export of goods and the customs brokers engaged in customs declaration shall file with the Customs in accordance with the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Administrative Provisions of the Customs of the People’s Republic of China on the Record Filings of Customs Declaration Entities promulgated by the General Administration of Customs on November 19, 2021, where the consignee or consignor of imported or exported goods or a customs declaration enterprise applies for recordation, it shall obtain the qualification of market entities; particularly where the consignee or consignor of imported or exported goods applies for recordation, it shall be filed as a foreign trade business. Where the consignee or consignor of imported or exported goods or a customs declaration enterprise has undergone the formalities of recordation for customs declaration entities, branches that meet the requirements of the preceding paragraph may also apply for recordation for customs declaration entities.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addition, the Measures for the Record Filing and Registration of Foreign Trade Business Operators, which was promulgated by MOFCOM on June 25, 2004 and last amended on May 10, 2021, require any foreign trade business operator that is engaged in the import and export of goods or technology shall be registered for archival purposes with the administrative department of foreign trade of the State Council or the institution entrusted thereby, unless it is otherwise provided for by any law, administrative regulation or the foreign trade department of the State Council. The specific measures for archival registration shall be formulated by the foreign trade department of the State Council. Where any foreign trade business operator that fails to file for record and registration according to relevant provisions, the customs may not handle the procedures of customs declarations and release of the import or export goods. On December 30, 2022, the SCNPC promulgated the Decision on Amending the Foreign Trade Law of the PRC, and accordingly foreign trade operators engaged in the import and export of goods or technologies are not required to go through the filing and registration procedures from December 30,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Product Quality</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Products made in mainland China are subject to the Product Quality Law of the People’s Republic of China, which was promulgated on February 22, 1993, last amended on December 29, 2018. According to the Product Quality Law, a manufacturer of a product is responsible to compensate for the damages to any person or property caused by the defect of such a product, unless the manufacturer is able to prove that (i) it has not circulated the product; (ii) the defect did not exist at the time when the product was circulated; or (iii) scientific or technological knowledge at the time when the product was circulated was not such that it allowed the defect to be discovered.</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Consumer Rights and Interests Protection Law of the People’s Republic of China (the “Consumers Protection Law”) was promulgated on October 31, 1993 and became effective on January 1, 1994. The Consumers Protection Law has been further revised on August 27, 2009 and October 25, 2013. According to the Consumers Protection Law, unless otherwise provided by this law, an operator that provides products or services may bear civil liability in accordance with the Product Quality Law and other relevant laws and regulations.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According to the Administrative Regulations for Compulsory Product Certification, which was promulgated by the General Administration of Quality Supervision, Inspection and Quarantine P.R.C. (the “AQSIQ”) (which has merged into the State Administration for Market Regulation) on July 3, 2009 and last amended on September 29, 2022, products specified by the state shall not be delivered, sold, imported or used in other business activities until they are certified, or the Compulsory Product Certification, and labeled with China Compulsory Certification mark. For products that are subject to Compulsory Product Certification, the state implements unified product catalogs, or the 3C Catalog, unified compulsory requirements, standards and compliance assessment procedures in technical specification, unified certification marks and unified charging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Intellectual Property Rights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on Patents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SCNPC adopted the Patent Law of the PRC in 1984 and amended it in 1992, 2000, 2008 and 2020, respectively. A patentable invention or utility model must meet three conditions: novelty, inventiveness and practical applicability. Patents cannot be granted for scientific discoveries, rules and methods for intellectual activities, methods used to diagnose or treat diseases, animal and plant breeding methods of nuclear transformation or substances obtained by means of nuclear transformation. The Patent Office under the State Intellectual Property Office is responsible for receiving, examining and approving patent applications. A patent is valid for a 20-year term for an invention and a 10-year term for a utility model and a 15-year term for a design, starting from the application date. Except under certain specific circumstances provided by law, any third-party user must obtain consent or a proper license from the patent owner to use the patent, or else the use will constitute an infringement of the rights of the patent holder.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on Copyright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Copyright Law of the PRC which was promulgated by the SCNPC on September 7, 1990 and last amended on November 11, 2020, and took effect on June 1, 2021. Chinese citizens, legal persons or other entities own the copyright in their works whether published or not, including written works; oral works; music, comedy arts of talking and singing, dance and acrobatics; work of art and architecture work; photographic works; cinematographic work and work created by the method similar to the film production method; engineering design drawing, product design drawing, map, sketch and other graphic works and model works; computer software and other works specified by laws and administrative regulations. The rights a copyright owner has include but are not limited to the following rights of the person and property rights: the right of publication, right of authorship, right of modification, right of integrity, right of reproduction, distribution right, rental right, right of network communication, translation right and right of compilation.</w:t>
      </w:r>
    </w:p>
    <w:p>
      <w:pPr>
        <w:spacing w:after="0" w:line="19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Regulations on the Protection of Computer Software promulgated by the State Council on June 4, 1991 and last amended on January 30, 2013, Chinese citizens, legal persons or other entities own the copyright, including the right of publication, right of authorship, right of modification, right of reproduction, distribution right, rental right, right of network communication, translation right and other right software copyright owners shall have in software developed by them, regard less of whether it has been published. In accordance with the Measures for the Registration of Computer Software Copyright promulgated by the National Copyright Administration on February 20, 2002, software copyrights, exclusive licensing contracts for software copyrights and software copyright transfer contracts shall be registered, and the National Copyright Administration shall be the competent authority for the administration of software copyright registration and designates the Copyright Protection Center of China as a software registration authority. The Copyright Protection Center of China shall grant a registration certificate to a computer software copyright applicant who complies with regulations.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on Trademark</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Trademarks are protected by the Trademark Law of the PRC (Revised in 2019), or the Trademark Law, which was promulgated on August 23, 1982 and last amended on April 23, 2019 and come into effect on November 1, 2019, respectively, as well as the Implementation Regulation of Trademark Law of the PRC adopted by the State Council on August 3, 2002 (Revised in 2014). In China, registered trademarks include commodity trademarks, service trademarks, collective marks and certification marks.</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Trademark Office of China National Intellectual Property Administration handles trademark registrations and grants a term of 10 years to registered trademarks. Trademarks are renewable every ten years where a registered trademark needs to be used after the expiration of its validity term. A registration renewal application shall be filed within six months prior to the expiration of the term. A trademark registrant may license its registered trademark to another party by entering into a trademark license contract. Trademark license agreements must be filed with the Trademark Office to be recorded. The licensor shall supervise the quality of the commodities on which the trademark is used, and the licensee shall guarantee the quality of such commodities. The Trademark Law has adopted a “first come, first file” principle with respect to trademark registration. Where a trademark for which a registration application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Trademarks are granted for a term of 10 years. Twelve months prior to the expiration of the ten-year term, the trademark registrant shall apply for the renewal of registration; if the trademark registrant does not make the renewal during the foregoing period, another six-month extension can be granted.</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on Domain Name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Measures for the Administration of Internet Domain Names, which was promulgated by the MIIT on August 24, 2017 and took effect on November 1, 2017, whoever engages in internet domain name services and its operation and maintenance, supervision and administration and other related activities within the territory of the People’s Republic of China shall abide by these Measures.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Notice of the MIIT on Regulating the Use of Domain Names in Internet Information Services, which was promulgated by the MIIT of the PRC on November 27, 2017 and took effect on January 1, 2018, internet access service providers shall verify the identity of each internet information service provider, and shall not provide services to any internet information service provider who fails to provide real identity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Employment and Social Welfare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on Labor</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Pursuant to the Labor Contract Law of the PRC, which was issued on June 29, 2007, amended on December 28, 2012 and became effective on July 1, 2013, labor contracts shall be concluded in writing if labor relationships are to be or have been established between enterprises or institutions and the laborers. Enterprises and institutions are forbidden to force laborers to work beyond the time limit and employers shall pay laborers for overtime work in accordance with national regulations. In addition, labor wages shall not be lower than local standards on minimum wages and shall be paid to laborers in a timely manner.</w:t>
      </w:r>
    </w:p>
    <w:p>
      <w:pPr>
        <w:spacing w:after="0" w:line="183"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According to the Labor Law of the PRC, which was promulgated on July 5, 1994, last amended and became effective on December 29, 2018, enterprises and institutions shall establish and improve their system of work place safety and sanitation, strictly abide by state rules and standards on workplace safety, educate laborers in labor safety and sanitation in the PRC. Labor safety and sanitation facilities shall comply with state-fixed standards.</w:t>
      </w:r>
    </w:p>
    <w:p>
      <w:pPr>
        <w:spacing w:after="0" w:line="18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Enterprises and institutions shall provide laborers with a safe workplace and sanitary conditions that comply with state stipulations and the relevant articles of labor protection.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 on Social Insurance and Housing Fund</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the Regulation of Insurance for Labor Injury, implemented on January 1, 2004, amended on December 20, 2010 and effective on January 1, 2011, the Provisional Measures for Maternity Insurance of Employees of Corporation, implemented on January 1, 1995, the Decisions on the Establishment of a Unified Program for Basic Old-Aged Pension Insurance of the State Council, issued on July 16, 1997, the Decisions on the Establishment of the Medical Insurance Program for Urban Workers of the State Council promulgated on December 14, 1998, the Unemployment Insurance Measures, promulgated on January 22, 1999, the Social Insurance Law of the PRC, implemented on July 1, 2011 and amended on December 29, 2018, and the Interim Regulations on the Collection and Payment of Social Insurance Premiums, promulgated on January 22, 1999 and amended on March 24, 2019, enterprises are obliged to provide their employees in the PRC with welfare schemes covering pension insurance, unemployment insurance, maternity insurance, labor injury insurance and medical insurance. These payments are made to local administrative authorities and any employer that fails to contribute may be fined and ordered to make up within a prescribed time limit.</w:t>
      </w:r>
    </w:p>
    <w:p>
      <w:pPr>
        <w:spacing w:after="0" w:line="16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Regulations on the Management of Housing Funds, which was promulgated by the State Council on April 3, 1999 and last amended on March 24, 2019, enterprises must register at the competent managing center for housing funds and upon the examination by such managing center of housing funds, these enterprises shall complete procedures for opening an account at the relevant bank for the deposit of employees’ housing funds. Enterprises are also required to pay and deposit housing funds on behalf of their employees in full and in a timely manner.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right"/>
        <w:ind w:right="7860"/>
        <w:spacing w:after="0"/>
        <w:rPr>
          <w:sz w:val="20"/>
          <w:szCs w:val="20"/>
          <w:color w:val="auto"/>
        </w:rPr>
      </w:pPr>
      <w:r>
        <w:rPr>
          <w:rFonts w:ascii="Times New Roman" w:cs="Times New Roman" w:eastAsia="Times New Roman" w:hAnsi="Times New Roman"/>
          <w:sz w:val="17"/>
          <w:szCs w:val="17"/>
          <w:b w:val="1"/>
          <w:bCs w:val="1"/>
          <w:color w:val="auto"/>
        </w:rPr>
        <w:t>Regulation Relating to Tax</w:t>
      </w:r>
    </w:p>
    <w:p>
      <w:pPr>
        <w:spacing w:after="0" w:line="196" w:lineRule="exact"/>
        <w:rPr>
          <w:sz w:val="20"/>
          <w:szCs w:val="20"/>
          <w:color w:val="auto"/>
        </w:rPr>
      </w:pPr>
    </w:p>
    <w:p>
      <w:pPr>
        <w:jc w:val="right"/>
        <w:ind w:right="7880"/>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0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According to the Enterprise Income Tax Law of the PRC, or the EIT Law, and its relevant implementation regulations, taxpayers consist of resident enterprises and non-resident enterprises.</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Resident enterprises are defined as enterprises that are established in China in accordance with PRC laws, or that are established in accordance with the laws of foreign countries but whose actual or de facto control is administered from within the PRC. Non-resident enterprises are defined as enterprises that are set up in accordance with the laws of foreign countries and whose actual administration is conducted outside the PRC, but have established institutions or premises in the PRC, or have no such established institutions or premises but have income generated from inside the PRC. Under the EIT Law and relevant implementing regulations, a uniform enterprise income tax rate of 25% is applicable. However, if non-resident enterprises have not formed permanent establishments or premises in the PRC, or if they have formed permanent establishment institutions or premises in the PRC but there is no actual relationship between the relevant income derived in the PRC and the established institutions or premises set up by them, the enterprise income tax is, in that case, set at a rate of 10% for their income sourced from inside the PRC.</w:t>
      </w:r>
    </w:p>
    <w:p>
      <w:pPr>
        <w:spacing w:after="0" w:line="18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EIT Law and relevant implementation regulations, the EIT tax rate of a high and new technology enterprise is 15%. Pursuant to the Administrative Measures for the Recognition of High and New Technology Enterprises, which became effective on January 1, 2008 and amended on January 29, 2016, the certificate of a high and new technology enterprise is valid for three years. An enterprise shall, after being accredited as a high-tech enterprise, fill out and submit the statements on annual conditions concerning the intellectual property rights, scientific and technical personnel, expenses on research and development and operating income for the previous year on the “website for the administration of accreditation of high-tech enterprises.”</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Notice on Taxation Policies for Further Encouraging the Development of the Software and Integrated Circuit Industries, which was promulgated by the Ministry of Finance (the “MOF”) and the State Administration of Taxation (the “SAT”) on April 20, 2012 and became effective on January 1, 2011, and the Notice on Issues Relating to the Preferential Policies for Enterprise Income Tax in Software and Integrated Circuits Industry promulgated by MOF, the SAT, the NDRC and the MIIT on May 4, 2016, provide that, upon certification, newly established integrated circuit design enterprises and eligible software enterprises shall be exempt from the enterprise income tax for the first two years of the preferential period, and shall be levied thereon at half of the statutory rate of 25% for the next three years until the expiration of the preferential period.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22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The Provisional Regulations of the PRC on Value-added Tax were promulgated by the State Council on December 13, 1993 and came into effect on January 1, 1994, which were subsequently amended on November 10, 2008, February 6, 2016 and November 19, 2017. The Detailed Rules for the Implementation of the Provisional Regulations of the PRC on Value-added Tax (Revised in 2011) was promulgated by the MOF on December 25, 1993 and subsequently amended on December 15, 2008 and October 28, 2011. These rules and regulations are collectively referred to as the VAT Law. On November 19, 2017, the State Council promulgated the Decisions on Abolishing the Provisional Regulations of the PRC on Business Tax and Amending the Provisional Regulations of the PRC on Value-added Tax, or the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Notice of the MOF and the SAT on the Adjustment to VAT Rates, or the Notice, was promulgated on April 4, 2018 and became effective as of May 1, 2018. The Notice adjusted the VAT tax rates of 17% and 11% to 16% and 10%, respectively. According to the Announcement on Relevant Policies for Deepening Value-Added Tax Reform, which came into effect from April 1, 2019, the VAT tax rates of 16% and 10% were further changed into 13% and 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Furthermore, pursuant to the Notice of the SAT on the Issues Concerning the Application of the Dividend Clauses of Tax Agreements, which was promulgated and effective on February 20, 2009, all of the following requirements should be satisfied where a fiscal resident of the other party to the tax agreement needs to be entitled to such tax agreement treatment as being taxed at a tax rate specified in the tax agreement for the dividends paid to it by a PRC resident company: (i) such a fiscal resident who obtains dividends should be a company as provided in the tax agreement; (ii) owner’s equity interests and voting shares of the PRC resident company directly owned by such a fiscal resident reaches a specified percentage; and (iii) the equity interests of the PRC resident company directly owned by such a fiscal resident, at any time during the 12 months prior to the acquisition of the dividends, reaches a percentage specified in the tax agreement.</w:t>
      </w:r>
    </w:p>
    <w:p>
      <w:pPr>
        <w:spacing w:after="0" w:line="1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addition, according to the Announcement of the State Taxation Administration on Issuing the Measures for Non-resident Taxpayers’ Enjoyment of Treaty Benefits, promulgated by the SAT on October 14, 2019 and became effective on January 1, 2020, where a non-resident enterprise that receives dividends from a PRC resident enterprise wishes to enjoy the favorable tax benefits under the convention treatment, it may be entitled to the convention treatment itself when filing a tax return or making a withholding declaration through a withholding agent, subject to the subsequent administration by the tax authorities.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Foreign Exchange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Foreign Exchange Administration Regulations of the PRC, as amended in August 5, 2008,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China, unless the prior approval of SAFE is obtained and prior registration with SAFE is made. On May 10, 2013, SAFE promulgated the Notice of the SAFE on Issuing the Provisions on the Foreign Exchange Administration of Domestic Direct Investment of Foreign Investors and the Supporting Documents, or the SAFE Circular No. 21, which was amended on October 10, 2018 and December 30, 2019. SAFE Circular No. 21 provided and simplified the operational steps and regulations on foreign exchange matters related to direct investment by foreign investors, including foreign exchange registration, account opening and use, receipt and payment of funds, and settlement and sales of foreign exchange.</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Notice of the SAFE on Further Improving and Adjusting Foreign Exchange Administration Policies for Direct Investment, or the SAFE Circular No. 59, which was promulgated by SAFE on November 19, 2012, became effective on December 17, 2012 and was further amended on May 4, 2015, October 10, 2018, December 30, 2019, and December 4, 2023, approval is not required for the opening of an account entry in foreign exchange accounts under direct investment. SAFE Notice No. 59 also simplified the capital verification and confirmation formalities for foreign invested entities, the foreign capital and foreign exchange registration formalities required for the foreign investors to acquire equities from a Chinese party, and further improved the administration on exchange settlement of foreign exchange capital of foreign invested entities.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Notice of the SAFE on Issues concerning Foreign Exchange Administration of the Overseas Investment and Financing and the Round-tripping Investment Made by Domestic Residents through Special-Purpose Companies, or the SAFE Circular No. 37, which was promulgated by SAFE and became effective on July 4, 2014, (i) a PRC resident shall register with the local SAFE branch before he or she contributes assets or equity interests in an overseas SPV that is directly established or controlled by such PRC resident for the purpose of conducting investment or financing; and (ii) following the initial registration, such PRC resident is also required to register with the local SAFE branch for any major change, in respect of the overseas SPV, including, among other things, a change of the overseas SPV’s PRC resident shareholder(s), name of the overseas SPV, term of operation, or any increase or reduction of the overseas SPV’s registered capital, share transfer or swap, and merger or division. Pursuant to SAFE Circular No.37, failure to comply with these registration procedures may result in penalties.</w:t>
      </w:r>
    </w:p>
    <w:p>
      <w:pPr>
        <w:spacing w:after="0" w:line="18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Notice of the SAFE on Further Simplifying and Improving Policies for the Foreign Exchange Administration of Direct Investment, or the SAFE Circular 13, which was promulgated on February 13, 2015, became effective on June 1, 2015 and was further amended on December 30, 2019, the foreign exchange registration under domestic direct investment and the foreign exchange registration under overseas direct investment is directly reviewed and handled by banks in accordance with the SAFE Circular 13, and the SAFE and its branches shall perform indirect regulation over the foreign exchange registration via banks.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Dividend Distribution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Law is the principal law that governs the dividends distribution by companies in the PRC and it applies to both PRC domestic companies and foreign-invested companies. Foreign-invested companies are also subject to the relevant requirements under the Foreign Investment Law and its implementing rules. Under these laws, regulations and rules, both domestic companies and foreign-invested companies in the PRC are required to set aside as general reserves at least 10% of their after-tax profit, until the cumulative amount of their reserves reaches 50% of their registered capital. PRC companies are not permitted to distribute any profits until any losses from prior fiscal years have been offset. Profits retained from prior fiscal years may be distributed together with distributable profits from the current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Employee Equity Incentive Plan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SAFE Circular 37, PRC residents who participate in equity incentive plan in overseas non-publicly listed companies may submit applications to SAFE or its local branches for the foreign exchange registration with respect to offshore special purpose companies. In addition, pursuant to the Notice of Issues Related to the Foreign Exchange Administration for Domestic Individuals Participating in Stock Incentive Plan of Overseas Listed Company, or the SAFE Circular 7, which was issued by the SAFE on February 15, 2012, employees, directors, supervisors, and other senior management participating in any equity incentive plan of an overseas publicly listed company who are PRC citizens or who are non-PRC citizens residing in China for a continuous period of not less than one year, subject to a few exceptions, are required to register with SAFE through a domestic agency as regulated in SAFE Circular 7.</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the SAT has issued certain circulars concerning employee stock options and restricted shares, including the Circular on Issues Concerning the Individual Income Tax on Share-option Incentives, or the SAT Circular 461, which was promulgated and took effect on August 24, 2009, and the Notice on Measures Enhancing the Reform in Taxation and Stimulating the Vitality of Market Players which was promulgated and took effect on October 12, 2021. Under the SAT Circular 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 authorities.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Relating to M&amp;A and Overseas Listing</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(the “M&amp;A Rules”) was promulgated by six PRC ministries, including MOFCOM, the State-owned Assets Supervision and Administration Commission of the State Council, the SAT, the SAMR, the CSRC, and the SAFE, on August 8, 2006, and was amended and became effective on June 22, 2009. The M&amp;A Rules stipulate that a foreign investor is required to obtain necessary approvals when it (i) acquires the equity of a domestic enterprise so as to convert the domestic enterprise into a foreign-invested enterprise; (ii) subscribes for the increased capital of a domestic enterprise so as to convert the domestic enterprise into a foreign-invested enterprise; (iii) establishes a foreign-invested enterprise through which it purchases the assets of any domestic enterprise and operates these assets; or (iv) purchases the assets of a domestic enterprise, and then invests such assets to establish a foreign-invested enterprise. The M&amp;A Rules, among other things, further prescribed that a special purpose vehicle, formed for overseas listing purposes and controlled directly or indirectly by PRC companies or individuals, shall be approved by MOFCOM prior to its establishment and obtain the approval of the CSRC prior to the listing and trading of such special purpose vehicle’s securities on an overseas stock exchange.</w:t>
      </w:r>
    </w:p>
    <w:p>
      <w:pPr>
        <w:spacing w:after="0" w:line="19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Pursuant to the Notice of the Foreign Investment Administration of the MOFCOM on Distributing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Administrative Measures of Overseas Securities Offering and Listing by Domestic Companies, or the Trial Measures, and relevant supporting guidelines, collectively, the New Overseas Listing Rules, setting out new filing procedures for China-based companies seeking direct or indirect listings and offerings in overseas markets, which came into force since March 31, 2023. The New Overseas Listing Rules are applicable to PRC domestic companies that seek to offer and list securities in overseas markets, either through direct or indirect means. If an issuer meets both of the following criteria, the overseas securities offering and listing conducted by such issuer shall be deemed to be an indirect overseas offering subject to the filing procedures set forth under the New Overseas Listing Rules: (i) 50% or more of the issuer’s operating revenue, total profit, total assets or net assets as documented in its audited consolidated financial statements for the most recent fiscal year are derived from PRC domestic companies; and (ii) the issuer’s business activities are substantially conducted in mainland China, or its principal place(s) of business are located in mainland China, or the senior managers in charge of its business operations and management are mostly Chinese citizens or domiciled in mainland China. Pursuant to the New Overseas Listing Rules, an issuer listed in an overseas market that intends to effect any follow-on offering in the same overseas market where it has previously offered and listed securities should, through its major operating entity incorporated in the PRC, file relevant materials with the CSRC within three business days after the completion of any such follow-on offering.</w:t>
      </w:r>
    </w:p>
    <w:p>
      <w:pPr>
        <w:spacing w:after="0" w:line="19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Furthermore, according to New Overseas Listing Rules, after an issuer has completed its offering and listed its securities on an overseas stock exchange, the issuer shall submit a report to the CSRC within three business days after the occurrence and public disclosure of any material events, including: (i) a change of control; (ii) investigations of or sanctions imposed on the issuer by overseas securities regulatory agencies or other relevant competent authorities; (iii) changes of listing status or transfers of the listing segment; and (iv) a voluntary or mandatory delisting.</w:t>
      </w:r>
    </w:p>
    <w:p>
      <w:pPr>
        <w:spacing w:after="0" w:line="183" w:lineRule="exact"/>
        <w:rPr>
          <w:sz w:val="20"/>
          <w:szCs w:val="20"/>
          <w:color w:val="auto"/>
        </w:rPr>
      </w:pPr>
    </w:p>
    <w:p>
      <w:pPr>
        <w:ind w:right="160" w:firstLine="324"/>
        <w:spacing w:after="0" w:line="277" w:lineRule="auto"/>
        <w:rPr>
          <w:sz w:val="20"/>
          <w:szCs w:val="20"/>
          <w:color w:val="auto"/>
        </w:rPr>
      </w:pPr>
      <w:r>
        <w:rPr>
          <w:rFonts w:ascii="Times New Roman" w:cs="Times New Roman" w:eastAsia="Times New Roman" w:hAnsi="Times New Roman"/>
          <w:sz w:val="17"/>
          <w:szCs w:val="17"/>
          <w:color w:val="auto"/>
        </w:rPr>
        <w:t>The New Overseas Listing Rules provide that in the event of any breach, including any failure to fulfill the filing procedure, or any offering and listing of securities in an overseas market in violation of the measures, the CSRC will order such domestic company to rectify, issue warnings to such domestic company, and impose a fine between RMB1 million and RMB10 million. Fines and warnings will be imposed on persons-in-charge and other persons who are directly liable. In addition, fines will also be imposed on controlling shareholders and actual controllers of the domestic company who initiate or cause the noncompliance activities described above.</w:t>
      </w:r>
    </w:p>
    <w:p>
      <w:pPr>
        <w:spacing w:after="0" w:line="16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addition, the CSRC and other three relevant government authorities jointly promulgated the Provisions on Strengthening the Confidentiality and Archives Administration of Overseas Securities Offering and Listing by Domestic Companies (the “Provision on Confidentiality”) on February 24, 2023, which implemented on March 31, 2023. Pursuant to the Provision on Confidentiality, when a domestic company provides or publicly discloses the documents and materials involving state secrets and working secrets of state organs to the relevant securities companies, securities service institutions, overseas regulatory authorities and other entities and individuals, or provides or publicly discloses such the documents and materials through its overseas listing subjects, it shall report to the competent authority with the examination and approval authority for approval, and file with the same level secrecy administration department in accordance with the law. Domestic companies providing accounting archives or copies thereof to entities and individuals such as securities companies, securities service institutions and overseas regulatory authorities shall perform the corresponding procedures according to relevant national regulations. The working papers formed within the territory of the PRC by the securities companies and securities service institutions that provide related securities services for the overseas offering and listing of domestic enterprises shall be kept within the territory of the PRC. Cross-border transferring of such working papers shall go through the examination and approval formalities in accordance with the relevant national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4.C.</w:t>
      </w:r>
      <w:r>
        <w:rPr>
          <w:sz w:val="20"/>
          <w:szCs w:val="20"/>
          <w:color w:val="auto"/>
        </w:rPr>
        <w:tab/>
      </w:r>
      <w:r>
        <w:rPr>
          <w:rFonts w:ascii="Times New Roman" w:cs="Times New Roman" w:eastAsia="Times New Roman" w:hAnsi="Times New Roman"/>
          <w:sz w:val="17"/>
          <w:szCs w:val="17"/>
          <w:b w:val="1"/>
          <w:bCs w:val="1"/>
          <w:color w:val="auto"/>
        </w:rPr>
        <w:t>Organizational Structure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illustrates our corporate structure, including our significant subsidiaries as that term is defined under Section 1-02 of Regulation S-X under the Securities Act, the VIE and certain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812155" cy="30264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12155" cy="302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right="460" w:firstLine="8"/>
        <w:spacing w:after="0" w:line="261"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is owned by certain nominee shareholders, not us. All of these nominee shareholders are also beneficial owners of our company. Shareholders of Hangzhou Tuya Technology are Xueji (Jerry) Wang (our director and CEO), Liaohan (Leo) Chen (our director), Yaona Lin (our employee), Ruixin Zhou (our employee) and Peihong Chen (our employee), each holding approximately 60.7%, 13.1%, 11.5%, 9.8% and 4.9%, respectively, of Hangzhou Tuya Technology’s equity interests.</w:t>
      </w:r>
    </w:p>
    <w:p>
      <w:pPr>
        <w:spacing w:after="0" w:line="139" w:lineRule="exact"/>
        <w:rPr>
          <w:rFonts w:ascii="Times New Roman" w:cs="Times New Roman" w:eastAsia="Times New Roman" w:hAnsi="Times New Roman"/>
          <w:sz w:val="18"/>
          <w:szCs w:val="18"/>
          <w:color w:val="auto"/>
        </w:rPr>
      </w:pPr>
    </w:p>
    <w:p>
      <w:pPr>
        <w:ind w:right="420" w:firstLine="8"/>
        <w:spacing w:after="0" w:line="266"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arrangements include exclusive business cooperation agreement, equity interest pledge agreement, exclusive option agreement, power of attorney and spousal consent. See “—Contractual Arrangements with the VIE and the VIE’s Registered Shareholders” below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VIE and the VIE’s Registered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Tuya Inc. is a Cayman Islands holding company and conducts its operations in China mainly through its PRC subsidiaries.</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Investment in certain areas of the industries in which we currently operate and may operate are subject to restrictions under current PRC laws and regulations. After consultation with Jia Yuan Law Offices, our PRC legal counsel, we determined that it was not viable for us to hold Hangzhou Tuya Technology, the VIE, directly through equity ownership. Instead, we decided that, in line with common practice in the PRC for industries subject to foreign investment restrictions, we would gain effective control over, and receive all the economic benefits generated by the businesses currently operated by the VIE through the contractual arrangements between Tuya Information, on the one hand, and the VIE and the registered shareholders, on the other hand. As a result of these contractual arrangements, we exert effective control over the VIE, and are considered the primary beneficiary of the VIE for accounting purposes and consolidate its operating results in our financial statements under the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VIE did not contribute any revenue in 2022, 2023 or 2024. As of December 31, 2023 and 2024 the assets of the VIE, excluding amounts due from other companies in our group, represented less than 0.01% of our consolidated total assets on both dates. We expect the contribution of revenue and assets to our group from the VIE to remain immaterial in the foreseeable future. Additionally, the VIE does not hold any licenses or permits that are material to our current business operations.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contractual arrangements between Tuya Information, on the one hand, and the VIE and its registered shareholders, on the other hand, were initially entered into in December 2014 and were amended and restated in January 2022. The following is a summary of these contractual arrangements. For the complete text of these contractual arrangements, please see the copies filed as exhibits to this annual report.</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the opinion of Jia Yuan Law Offices, our PRC legal counsel, the execution and performance of the contractual arrangements do not violate the provisions of the Civil Code of the PRC which may lead to their invalidity, and are binding on the parties thereto. The contractual arrangements can be enforced in accordance with PRC laws, except that the following arrangement may not be enforceable under PRC laws: (i) the contractual arrangements provide that the arbitrator may impose restrictions on and/or dispose of the VIE’s equity interests or land and other assets (such as for award of remedies), grant injunction (such as for the conduct of business or compelling the transfer of assets), or grant other interim relief, or order winding up of our consolidated affiliated entity through arbitration, and that the courts with jurisdiction (including the courts in Hong Kong, the place of incorporation of the Company, the place of incorporation of the VIE, and the place where the principal assets of our company or the VIE is located) shall have the right to grant interim relief in support of the arbitration, while under PRC laws, an arbitral body has no power to grant injunctive relief and may not directly issue a provisional or final liquidation order for the purpose of protecting assets of or equity interests in the VIE in case of disputes. In addition, interim remedies or enforcement orders granted by overseas courts such as Hong Kong and the Cayman Islands may not be recognizable or enforceable in China, and (ii) the contractual arrangements provide that when the VIE is liquidated or dissolved, persons recommended by Tuya Information shall be appointed as permitted by the PRC laws to establish a liquidation team to manage the assets of the VIE.</w:t>
      </w:r>
    </w:p>
    <w:p>
      <w:pPr>
        <w:spacing w:after="0" w:line="19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However, these contractual arrangements may not be as effective in providing control as direct equity ownership. There are substantial uncertainties regarding the interpretation and application of current or future PRC laws and regulations. We have been further advised by our PRC legal counsel that if the PRC government finds that the agreements that establish the VIE structure do not comply with applicable PRC laws and regulations, we could be subject to penalties, including being required to cease the operations carried out through the VIE. For a detailed discussion of the risks and uncertainties related to these contractual arrangements and our corporate structure, please see “Item 3. Key Information – 3.D. Risk Factors—Risks Related to Our Corporate Structure.”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Business Cooperation Agreement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Under this exclusive business cooperation agreement, Tuya Information has agreed to provide the following services to Hangzhou Tuya Technology:</w:t>
      </w:r>
    </w:p>
    <w:p>
      <w:pPr>
        <w:spacing w:after="0" w:line="162"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software legally owned by Tuya Information;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maintenance and update of software involved in Hangzhou Tuya Technology’s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installation, daily management, maintenance and updating of network system, hardware and databased design;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support and training for employees of Hangzhou Tuya Technology;</w:t>
      </w:r>
    </w:p>
    <w:p>
      <w:pPr>
        <w:spacing w:after="0" w:line="225"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assistance in consultancy, collection and research of technology and market information (excluding market research business that wholly foreign-owned enterprises are prohibited from conducting under PRC law);</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business management consultation;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marketing and promotion services;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leasing of equipment or properties; and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 requested by Hangzhou Tuya Technology from time to time to the extent permitted under PRC law.</w:t>
      </w:r>
    </w:p>
    <w:p>
      <w:pPr>
        <w:spacing w:after="0" w:line="225"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Hangzhou Tuya Technology has agreed to pay services fees to Tuya Information on a regular basis in discretion of Hangzhou Tuya Technology after considering certain factors as specified in the exclusive business cooperation agreement. The service fee shall be equivalent to the total income of Hangzhou Tuya Technology of each financial year, deducting the costs, expenses, taxes (excluding corporate income tax) and other statutory fees reserved or withdrawn. Hangzhou Tuya Technology shall pay the service fee to the bank account designated by Tuya Information within 10 days after receiving notice and bill from Tuya Information. This agreement was effective from December 23, 2014 and will continue to be effective unless it is terminated by written notice of Tuya Information or according to the provisions in the agreement. Unless otherwise required by applicable laws, Hangzhou Tuya Technology shall not have any right to terminate this exclusive business cooperation agreement in any event.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Interest Pledge Agreement</w:t>
      </w:r>
    </w:p>
    <w:p>
      <w:pPr>
        <w:spacing w:after="0" w:line="175" w:lineRule="exact"/>
        <w:rPr>
          <w:sz w:val="20"/>
          <w:szCs w:val="20"/>
          <w:color w:val="auto"/>
        </w:rPr>
      </w:pPr>
    </w:p>
    <w:p>
      <w:pPr>
        <w:ind w:firstLine="324"/>
        <w:spacing w:after="0" w:line="231" w:lineRule="auto"/>
        <w:rPr>
          <w:sz w:val="20"/>
          <w:szCs w:val="20"/>
          <w:color w:val="auto"/>
        </w:rPr>
      </w:pPr>
      <w:r>
        <w:rPr>
          <w:rFonts w:ascii="Times New Roman" w:cs="Times New Roman" w:eastAsia="Times New Roman" w:hAnsi="Times New Roman"/>
          <w:sz w:val="18"/>
          <w:szCs w:val="18"/>
          <w:color w:val="auto"/>
        </w:rPr>
        <w:t>Xueji (Jerry) Wang, one of the shareholders of Hangzhou Tuya Technology, entered into an equity pledge agreement with Tuya Information and Hangzhou Tuya Technology, originally dated December 23, 2014 and amended and restated on August 23, 2019 and January 19, 2022, respectively. Each of Liaohan (Leo) Chen, Yaona Lin, Ruixin Zhou and Peihong Chen, the shareholders of Hangzhou Tuya Technology, entered into an equity pledge agreement with Tuya Information and Hangzhou Tuya Technology, each originally dated December 23, 2014, amended on August 23, 2019 and amended and restated on January 19, 2022. Under such equity interest pledge agreements, each of Xueji (Jerry) Wang, Liaohan (Leo) Chen, Yaona Lin, Ruixin Zhou and Peihong Chen pledged his or her respective equity interest in Hangzhou Tuya Technology to Tuya Information to secure his or her obligations under the applicable exclusive business cooperation agreement, exclusive option agreement, and powers of attorney. Each of Xueji (Jerry) Wang, Liaohan (Leo) Chen, Yaona Lin, Ruixin Zhou and Peihong Chen further agreed to not transfer or pledge his or her respective equity interest in Hangzhou Tuya Technology without the prior written consent of Tuya Information. Each of the equity pledge agreement will remain binding until the respective pledger, Xueji (Jerry) Wang, Liaohan (Leo) Chen, Yaona Lin, Ruixin Zhou and Peihong Chen, as the case may be, discharges all his or her obligations and pays all his or her indebtedness under the above-mentioned agreements. Once Tuya Information is permitted to directly hold the equity interest of Hangzhou Tuya Technology, and Hangzhou Tuya Technology is able to operate its business legally pursuant to the PRC laws and regulations, Tuya Information will exercise the equity purchase option under the Exclusive Option Agreement as soon as possible, so that it will directly operate the business of Hangzhou Tuya Technology or directly hold its equity interest. As the date of this annual report, the equity pledges under the equity interest pledge agreement have been registered with competent PRC regulatory authority.</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Exclusive Option Agreement</w:t>
      </w:r>
    </w:p>
    <w:p>
      <w:pPr>
        <w:spacing w:after="0" w:line="175" w:lineRule="exact"/>
        <w:rPr>
          <w:sz w:val="20"/>
          <w:szCs w:val="20"/>
          <w:color w:val="auto"/>
        </w:rPr>
      </w:pPr>
    </w:p>
    <w:p>
      <w:pPr>
        <w:ind w:right="40" w:firstLine="324"/>
        <w:spacing w:after="0" w:line="232" w:lineRule="auto"/>
        <w:rPr>
          <w:sz w:val="20"/>
          <w:szCs w:val="20"/>
          <w:color w:val="auto"/>
        </w:rPr>
      </w:pPr>
      <w:r>
        <w:rPr>
          <w:rFonts w:ascii="Times New Roman" w:cs="Times New Roman" w:eastAsia="Times New Roman" w:hAnsi="Times New Roman"/>
          <w:sz w:val="18"/>
          <w:szCs w:val="18"/>
          <w:color w:val="auto"/>
        </w:rPr>
        <w:t>Under the exclusive option agreement entered into by Tuya Information, Hangzhou Tuya Technology and Xueji (Jerry) Wang, originally dated December 23, 2014 and amended and restated on August 23, 2019 and January 19, 2022, respectively, and the exclusive option agreements entered into by Tuya Information, Hangzhou Tuya Technology and each of Liaohan (Leo) Chen, Yaona Lin, Ruixin Zhou and Peihong Chen, each originally dated December 23, 2014 and amended and restated on January 19, 2022, each of Xueji (Jerry) Wang, Liaohan (Leo) Chen, Yaona Lin, Ruixin Zhou and Peihong Chen granted Tuya Information an option to purchase all or a portion of his or her respective equity interest in Hangzhou Tuya Technology at a price equal to the higher of RMB1.0 and the minimum amount of consideration permitted by PRC law. In addition, under each exclusive purchase option agreement, Hangzhou Tuya Technology has granted Tuya Information an option to purchase all or a portion of the assets held by Hangzhou Tuya Technology or its subsidiaries for the minimum amount of consideration permitted by PRC law. Each of Hangzhou Tuya Technology, Xueji (Jerry) Wang, Liaohan (Leo) Chen, Yaona Lin, Ruixin Zhou and Peihong Chen agrees that, in the event that Tuya Information exercises the equity interest purchase option or the asset purchase option, all the consideration received by them for this purpose will be fully returned to Tuya Information upon the request of Tuya Information, as long as in compliance with the PRC laws and regulations. Each of Hangzhou Tuya Technology, Xueji (Jerry) Wang, Liaohan (Leo) Chen, Yaona Lin, Ruixin Zhou and Peihong Chen agreed not to transfer, mortgage or permit any security interest to be created on any equity interest in or material assets of Hangzhou Tuya Technology without the prior written consent of Tuya Information. Each exclusive purchase option agreement shall remain in effect until all of the equity interests in Hangzhou Tuya Technology have been acquired by Tuya Information.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Power of Attorney</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a series of powers of attorney issued by each of Xueji (Jerry) Wang, Liaohan (Leo) Chen, Yaona Lin, Ruixin Zhou and Peihong Chen and accepted by Tuya Information on January 19, 2022, each of Xueji (Jerry) Wang, Liaohan (Leo) Chen, Yaona Lin, Ruixin Zhou and Peihong Chen irrevocably appointed Tuya Information or any designated person as their exclusive agent and attorney to act on their behalf on all shareholder matters of Hangzhou Tuya Technology and exercise all rights as shareholders of Hangzhou Tuya Technology. Each of Xueji (Jerry) Wang, Liaohan (Leo) Chen, Yaona Lin, Ruixin Zhou and Peihong Chen will provide full assistance to Tuya Information with respect to the exercise of such rights. Each of Xueji (Jerry) Wang, Liaohan (Leo) Chen, Yaona Lin, Ruixin Zhou and Peihong Chen has undertaken that he or she will refrain from any action or omission that may cause any conflict of interest between himself and Tuya Information. These powers of attorney shall remain valid during the period that each of them is a shareholder of Hangzhou Tuya Technology.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Spousal Consent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Each spouse of Xueji (Jerry) Wang, Liaohan (Leo) Chen, Yaona Lin, Ruixin Zhou and Peihong Chen has signed a spousal consent. Under each spousal consent, the signing spouse agreed that the equity interests of Hangzhou Tuya Technology held and to be held by his/her spouse are his/her spouse’s personal property and do not constitute the communal estate marital assets of the signing spouse. The signing spouse unconditionally and irrevocably undertook to waive any rights or interests in such assets and not to make any assertions in connection with the equity interests in Hangzhou Tuya Technology held by his/her spouse. Moreover, each spouse agreed that the disposition of the equity interest in Hangzhou Tuya Technology which is held by and registered under the name of his/her spouse shall be made pursuant to the above-mentioned exclusive business cooperation agreement, exclusive option agreement and powers of attorney, as amended from time to time. In addition, in the event that any of them obtains any equity interest in Hangzhou Tuya Technology held by their respective spouses for any reason, such spouse agreed to be bound by similar obligations and agreed to enter into similar contractual arrangements. Each signing spouse undertook that in the event of death, bankruptcy, incapacity, divorce of his/her spouse, or any circumstance that may affect the exercise of his shareholder rights in Hangzhou Tuya Technology, the signing spouse will not, under any circumstances and in any way, take any action that may affect or hinder the obligations of her spouse under the above contractual arrangements.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4.D.</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in Hangzhou, China under a lease that will expire in 2026. In addition, we operate internationally with local headquarters in Europe, Singapore, India, Japan and Colombia, among other locations. As of December 31, 2024, we leased 16 properties with a gross floor area of approximately 25,255.5 square meters in China. These offices are leased, and we do not own any real property. We believe that our current facilities are adequate to meet our current needs.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 Key Information—3.D. Risk Factors” and elsewhere in this annual report.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the general factors driving the global IoT industry, including, among others, economic growth of major economies, the increase in per capita disposable income, consumer demand for smart devices, stability of the global supply chain, any global epidemics, new and innovative technologies, competition, and government regulations.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Unfavorable changes in any of these general industry conditions could negatively affect demand for our products and services and materially and adversely affect our results of operations. In addition, we believe our results of operations are primarily and more directly affected by the following specific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Adoption of AI Cloud Platform</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future success depends in large part on the market adoption of AI cloud platforms which, in turn, is driven by the proliferation of smart devices. As technologies advance, businesses and end users increasingly demand superior AI and software experience, driving AIoT adoption to an inflection point. However, brands and developers still face certain challenges, such as cost and complexity associated with developing an integrated AI cloud platform. We see growing demand for our platform because we are in a unique position to deliver a one-stop, developer-first, all-agnostic AI cloud platform with broad use cases that allows our customers to digitalize their businesses and transform the experience of their end users. We believe that the benefits offered by our platform put us in a strong position to capture significant market opportunities ahead.</w:t>
      </w:r>
    </w:p>
    <w:p>
      <w:pPr>
        <w:spacing w:after="0" w:line="18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Since 2022, the global IoT platform market has also been facing a headwind. Certain players in the IoT field who are engaged in business similar to our IoT PaaS business announced the termination of their IoT platform services, creating additional business opportunities for us. In 2023, we further enhance our impact on B2B customers and end users around the world, solidifying our market share. In 2024, with a more stable macroeconomic environment and normalized downstream inventory levels, and rising demand for consumer electronics, the industry is experiencing a positive growth trajectory. Throughout the year, we observed sustained growth in end-market demand, stable customer relationships and their increased investment in smart product lines. Meanwhile, the rapid iteration and adoption of AI and LLMs further drove the consumer electronics industry’s transition toward intelligence-driven solutions. We believe this momentum has continued to drive greater engagement, reinforcing its value proposition across global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Expanding Usage by Existing Customers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amassed a large and diversified customer base covering a wide spectrum of verticals. We believe that there are significant growth opportunities within our existing customers. As our platform is built to be product- and brand-agnostic, many customers using our AI cloud platform for one product category expand to more brands, categories and use cases in order to maximize the benefits of our platform and ensure consistent, high quality AIoT experience for their end users. Through the increase in usage, we grow more brands and OEMs on our platform into larger customers, such as premium customers who contribute more than US$100,000 of revenue during the immediately preceding 12-month period. As this trend continues, our brand awareness also increases, generating word-of-mouth referrals that not only attract more brands, developers and partners, but also lead to growing end user demand, better user insights and a more vibrant IoT ecosystem. We expect to expand into additional product categories and use cases to expand cross- and up-selling opportunities and continue to invest in sales and marketing and customer success activities to achieve additional revenue growth from existing customers. We believe that these efforts will have a long-term, positive impact on our business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Customer Acquisition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operating results and growth prospects will also depend on our ability to attract new customers. We are intensely focused on growing our customer base. We continue to invest in our sales and marketing efforts and developer community outreach, which are critical to driving customer acquisition. We have built a developer and partner network through effective marketing efforts which continuously raise awareness of our AI cloud platform. For example, through our self-service developer portal, a developer can use our platform to develop a smart device within minutes. This has allowed us to acquire customers rapidly and cost-effectively. Furthermore, we seek to improve the breadth and quality of our platform and products, and to enhance our brand recognition, which will allow us to capture additional market share, better optimize the pricing of our products and services, and reach customers in a broader range of verticals and use cases. Additionally, a cornerstone of our approach is the key customer focus strategy, which has increased our personnel efficiency and enabled us to dedicate sufficient resources to securing and better serving large and strategically important customers with significant long - term potential.</w:t>
      </w:r>
    </w:p>
    <w:p>
      <w:pPr>
        <w:spacing w:after="0" w:line="194"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delivering industry-leading products to continue building and maintaining credibility with the global IoT community. We believe that the comprehensive product offerings and our continued efforts to introduce new features and capabilities, particularly AI capabilities, on our platform provide us with a significant competitive advantage.</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consistently focus on software and hardware product enhancement and offer the dual option of IoT PaaS model or the Smart Solutions model, giving our customers a broad spectrum of choices. For example, key account customers can leverage the IoT PaaS model, which incorporates the operating system, cloud, and app SDK, in accordance with their business needs, facilitating a more autonomous business development environment. Cross-sector multinational corporations, SaaS service providers, and integrators may choose the smart solutions model to achieve a streamlined and expedited market entry. Through our integrated hardware-software Smart Solutions, we are committed to helping customers expedite product launches and establish differentiated competitive advantages, directly increasing end-market penetration and delivering greater and more substantial value.</w:t>
      </w:r>
    </w:p>
    <w:p>
      <w:pPr>
        <w:spacing w:after="0" w:line="189" w:lineRule="exact"/>
        <w:rPr>
          <w:sz w:val="20"/>
          <w:szCs w:val="20"/>
          <w:color w:val="auto"/>
        </w:rPr>
      </w:pPr>
    </w:p>
    <w:p>
      <w:pPr>
        <w:ind w:right="700" w:firstLine="324"/>
        <w:spacing w:after="0" w:line="261" w:lineRule="auto"/>
        <w:rPr>
          <w:sz w:val="20"/>
          <w:szCs w:val="20"/>
          <w:color w:val="auto"/>
        </w:rPr>
      </w:pPr>
      <w:r>
        <w:rPr>
          <w:rFonts w:ascii="Times New Roman" w:cs="Times New Roman" w:eastAsia="Times New Roman" w:hAnsi="Times New Roman"/>
          <w:sz w:val="18"/>
          <w:szCs w:val="18"/>
          <w:color w:val="auto"/>
        </w:rPr>
        <w:t>We are committed to leveraging AI to significantly enhance smart product experience, driving product competitiveness and delivering greater value to end users. We will continue innovating across high-potential markets such as smart lighting, smart companionship, smart outdoor, smart energy, and smart spaces, complementing and accelerating smart device penetration by AI applications.</w:t>
      </w:r>
    </w:p>
    <w:p>
      <w:pPr>
        <w:spacing w:after="0" w:line="180"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We also steadfastly adhere to the developer model to address the challenges of fragmentation within the IoT industry, aiming to establish a robust foundation for the broad adoption of smart devices and the growth of the IoT ecosystem. As market penetration deepens, we expect that the developer community will become the backbone of the future IoT ecosystem. We will continuously iterate and refine Tuya’s AI Agent development platform, empowering developers worldwide to create customized AI devices and scenario-based applications. Additionally, we will leverage AI tools to improve development efficiency.</w:t>
      </w:r>
    </w:p>
    <w:p>
      <w:pPr>
        <w:spacing w:after="0" w:line="18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will continue to enhance our platform by expanding functions of existing products, developing new products, and delving into more verticals and use cases to support the growth of our business, and to invest heavily in our technological capabilities and marketing activities to maintain our strong position in the developer community.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macroeconomic environment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experienced, and expect in the future to continue to experience, seasonal fluctuations in our revenue from time to time, with the fourth quarter historically being our strongest quarter for sales to new and existing customers, as a result of the holiday season, customers’ buying patterns, and changes in the business and economic environment that are outside our and our customers’ control. For example, we have experienced lower growth in revenue in the first quarter as a result the reduced output of OEM customers located in China due to the Lunar New Year holidays. We expect the historical seasonality trends to continue to impact our results of operations and financial condition. However, certain unique events may cause the historical seasonal trends and patterns to temporarily no longer apply, such as high global inflation weakening consumption sentiment and dampening enterprises’ confidence in doing business, downstream inventory backlog disrupting enterprises’ business and operating plans, supply chain disruption interfering with the delivery of goods, and the imposition of new tariffs or adjustments in existing tariffs or trade barriers.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Mix</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products and services primarily consist of IoT PaaS, Smart Solution for smart devices, and SaaS including industry SaaS and cloud-based software value-added services, etc. Our results of operations are affected by our product mix, as different products have a range of different margins and profitability profiles. For example, an increase in the revenue contribution from SaaS, which typically has a higher margin than IoT PaaS or Smart Solution, generally leads to an increase in our overall profit margin. Our product mix may shift over time due to a variety of factors, including customer demands and preferences, competition, our ability to maintain and expand customer relationships, our ability to forecast market and technology trends, and our sales and marketing efforts. We continuously monitor our revenue mix and seek to increase revenue contribution from products and use cases with attractive margin profiles.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Cost and Expense Control</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are affected by our ability to control our costs and operating expenses. Since a significant portion of our costs relates to the modules and cloud infrastructure services from third parties, our cost control depends significantly on our ability to estimate customer demand properly in order to inform our procurement decisions. With respect of product development, we have strategically streamlined our research and development team and operations. We intend to optimize our costs and operating expenses by achieving increasing economies of scale and improved cost-efficiency as we continue to invest in R&amp;D. With respect to sales and marketing expenses, we have proactively adjusted our market spending and undergone strategic refinement of the sales and marketing team. We expect to continue to improve our sales and marketing efficiency and benefit increasingly from the network effect of our enhanced brand awareness. We also intend to optimize our administrative expenses by enhancing our level of management, strengthening efforts in controlling professional expenditure, streamlining our internal workflows, and leveraging technology to drive convenience, cost-efficiency and productivity. Through the successful implementation of efficiency improvement initiatives, we reduced our non-GAAP operating expenses by 9.9% to US$118.7 million in 2024 from US$131.7 million in 2023. As a result, our operating loss narrowed significantly from US$105.8 million in 2023 to US$47.6 million in 2024 and we achieved non-GAAP operating profit of US$22.7 million for the first time compared to a non-GAAP operating loss of US$25.1 million in 2023. Additionally, we achieved our first-ever net profit of US$5.0 million on GAAP basis, marking a historic milestone in the Company’s financial performance.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Currency Translation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currently derive the majority of our revenue from IoT PaaS generated primarily through our contracts with OEMs located in the PRC. Such revenue is predominantly denominated in RMB. We operate internationally with local offices in Europe, Singapore, India, Japan and Colombia, among other locations, and expect that our international activities will continue to grow over the foreseeable future as we pursue opportunities in existing and new markets. Our reporting and functional currency is the U.S. dollar. The financial statements of our subsidiaries and the VIE using functional currencies other than the U.S. dollar, such as RMB, are translated to the U.S. dollar. As a result, as RMB or other currencies in which we generate revenue depreciate or appreciate against the U.S. dollar, our revenue presented in U.S. dollars will be negatively or positively affected. See “Item 11. Quantitative and Qualitative Disclosure about Market Risk—Foreign exchange risk.”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manage our business using the following key operating metrics. We use these metrics to assess the progress of our business, make decisions on how to allocate capital, time and technology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IoT PaaS Customers</w:t>
      </w:r>
    </w:p>
    <w:p>
      <w:pPr>
        <w:spacing w:after="0" w:line="229" w:lineRule="exact"/>
        <w:rPr>
          <w:sz w:val="20"/>
          <w:szCs w:val="20"/>
          <w:color w:val="auto"/>
        </w:rPr>
      </w:pPr>
    </w:p>
    <w:p>
      <w:pPr>
        <w:jc w:val="both"/>
        <w:ind w:right="40" w:firstLine="324"/>
        <w:spacing w:after="0" w:line="289" w:lineRule="auto"/>
        <w:rPr>
          <w:sz w:val="20"/>
          <w:szCs w:val="20"/>
          <w:color w:val="auto"/>
        </w:rPr>
      </w:pPr>
      <w:r>
        <w:rPr>
          <w:rFonts w:ascii="Times New Roman" w:cs="Times New Roman" w:eastAsia="Times New Roman" w:hAnsi="Times New Roman"/>
          <w:sz w:val="17"/>
          <w:szCs w:val="17"/>
          <w:color w:val="auto"/>
        </w:rPr>
        <w:t>Our ability to grow the number of IoT PaaS customers is a key indicator of our business and future growth opportunities. We define an IoT PaaS customer for a given period as a customer who has directly placed at least one order for IoT PaaS with us during that period. While we serve both brands and OEMs, it is typically the OEMs, instead of brands, who directly place orders with us for IoT PaaS.</w:t>
      </w:r>
    </w:p>
    <w:p>
      <w:pPr>
        <w:spacing w:after="0" w:line="165"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7620</wp:posOffset>
            </wp:positionV>
            <wp:extent cx="16973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ind w:left="7480"/>
        <w:spacing w:after="0"/>
        <w:tabs>
          <w:tab w:leader="none" w:pos="8420" w:val="left"/>
          <w:tab w:leader="none" w:pos="93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tbl>
      <w:tblPr>
        <w:tblLayout w:type="fixed"/>
        <w:tblInd w:w="0" w:type="dxa"/>
        <w:tblCellMar>
          <w:top w:w="0" w:type="dxa"/>
          <w:left w:w="0" w:type="dxa"/>
          <w:bottom w:w="0" w:type="dxa"/>
          <w:right w:w="0" w:type="dxa"/>
        </w:tblCellMar>
      </w:tblPr>
      <w:tr>
        <w:trPr>
          <w:trHeight w:val="209"/>
        </w:trPr>
        <w:tc>
          <w:tcPr>
            <w:tcW w:w="72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Number of IoT PaaS customers</w:t>
            </w:r>
            <w:r>
              <w:rPr>
                <w:rFonts w:ascii="Times New Roman" w:cs="Times New Roman" w:eastAsia="Times New Roman" w:hAnsi="Times New Roman"/>
                <w:sz w:val="24"/>
                <w:szCs w:val="24"/>
                <w:color w:val="auto"/>
                <w:vertAlign w:val="superscript"/>
              </w:rPr>
              <w:t>(1)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102"/>
        </w:trPr>
        <w:tc>
          <w:tcPr>
            <w:tcW w:w="248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340" w:right="20" w:hanging="332"/>
        <w:spacing w:after="0" w:line="261"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number of IoT PaaS customers from 2022 to 2023 was primarily due to macroeconomic headwinds, which led to a reduction in order volumes, as well as our enhanced focus on high-quality customers. The slight decline in IoT PaaS customer in 2024 was mainly due to the continued and effective execution of our key-account strategy that prioritizes long-term partnerships with high-value customers. See “Item 4.B. Business Overview—Overview” and “Item 4.B. Business Overview—Our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Premium IoT PaaS Customers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While we continue to improve our IoT PaaS customer base over time, we focus on growing the number of our premium customers to scale our business. We define a premium IoT PaaS customer as a customer as of a given date that contributed more than US$100,000 of revenues during the immediately preceding 12-month period.</w:t>
      </w:r>
    </w:p>
    <w:p>
      <w:pPr>
        <w:spacing w:after="0" w:line="19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For the trailing 12-month period ended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3"/>
                <w:szCs w:val="13"/>
                <w:color w:val="auto"/>
              </w:rPr>
            </w:pPr>
          </w:p>
        </w:tc>
      </w:tr>
      <w:tr>
        <w:trPr>
          <w:trHeight w:val="142"/>
        </w:trPr>
        <w:tc>
          <w:tcPr>
            <w:tcW w:w="24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6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2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Number of premium IoT PaaS customers</w:t>
            </w:r>
            <w:r>
              <w:rPr>
                <w:rFonts w:ascii="Times New Roman" w:cs="Times New Roman" w:eastAsia="Times New Roman" w:hAnsi="Times New Roman"/>
                <w:sz w:val="24"/>
                <w:szCs w:val="24"/>
                <w:color w:val="auto"/>
                <w:vertAlign w:val="superscript"/>
              </w:rPr>
              <w:t>(1)</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94"/>
        </w:trPr>
        <w:tc>
          <w:tcPr>
            <w:tcW w:w="248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340" w:right="120" w:hanging="332"/>
        <w:spacing w:after="0" w:line="289" w:lineRule="auto"/>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2024, as the economic environment stabilized and downstream consumer electronics demand increased, we continued to execute our key-account and product enhancement strategies effectively. As a result, the number of premium IoT PaaS customers increased notably in 2024, reflecting the success of our product enhancement efforts and our focus on high-value, long-term partnerships.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Dollar-based Net Expansion Rate for IoT PaaS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ability to maintain long-term revenue growth depends on our ability to increase customers’ usage of our platform over time and grow revenues generated from existing customers. An important way for us to track our performance in this area is by measuring dollar-based net expansion rate for our IoT PaaS.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To calculate the dollar-based net expansion rate for IoT PaaS for the current period, we first specify a measurement period consisting of the trailing two years from the current period end. Next, we define as our “cohort” the population of IoT PaaS customers for the first year of the measurement period (i.e., those who have placed at least one order for IoT PaaS during that year). We then calculate the dollar-based net expansion rate as the quotient obtained by dividing the IoT PaaS revenues from this cohort in the second year of the measurement period by the IoT PaaS revenues from the same cohort in the first year of such measurement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trailing 12-month period ended</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80" w:type="dxa"/>
            <w:vAlign w:val="bottom"/>
          </w:tcPr>
          <w:p>
            <w:pPr>
              <w:spacing w:after="0"/>
              <w:rPr>
                <w:sz w:val="10"/>
                <w:szCs w:val="10"/>
                <w:color w:val="auto"/>
              </w:rPr>
            </w:pPr>
          </w:p>
        </w:tc>
        <w:tc>
          <w:tcPr>
            <w:tcW w:w="10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5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Dollar-based net</w:t>
            </w: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expansion rate for IoT</w:t>
            </w: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51 %</w:t>
            </w: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49 %</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58 %</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78 %</w:t>
            </w: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103 %</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116 %</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127 %</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124 %</w:t>
            </w:r>
          </w:p>
        </w:tc>
        <w:tc>
          <w:tcPr>
            <w:tcW w:w="10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122 %</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PaaS</w:t>
            </w:r>
          </w:p>
        </w:tc>
        <w:tc>
          <w:tcPr>
            <w:tcW w:w="10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dollar-based net expansion rate for our IoT PaaS is affected by customers’ purchase cycles, which could fluctuate from time to time within a year, as well as a number of other factors, including new product introductions, customer mix, promotional activities, and the variable timing and amount of customer purchases. As a result, the dollar-based net expansion rate for our IoT PaaS for the trailing 12-month period ended the last day of each quarter is an inherently volatile metric.</w:t>
      </w:r>
    </w:p>
    <w:p>
      <w:pPr>
        <w:spacing w:after="0" w:line="180"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Maintaining a high dollar-based net expansion rate demonstrates our strong ability to continue to expand customer usage of our platform over time and grow revenue from existing customers. For the trailing 12-month period ended December 31, 2022, the dollar-based net expansion rate for IoT PaaS was 51% due to significant events that had adversely affected the global economy, including shipping disruptions, persistent inflation and supply-demand mismatch.</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dollar-based expansion rate for IoT PaaS experienced a decline in 2022 and early 2023 due to significant events that had adversely affected the global economy, including (i) shipping disruptions in late 2021 that delayed product deliveries and affected holiday sales; (ii) persistent inflation that dampened consumer sentiment; and (iii) supply-demand mismatch that led to an excess of inventory for downstream enterprises. As a result, our revenue declined for the first time in 2022 despite our stable relationship with our core customers, and the dollar-based net expansion rate of IoT PaaS declined in 2022 and early 2023. In the second half of 2023, with the easing of the downstream inventory backlog and the gradual recovery of the global economy, coupled with the effective customer-focus and product enhancement strategies we adopted to navigate through the macroeconomic headwinds, the dollar-based net expansion rate for IoT PaaS rebounded and improved. Driven by increasing demand amid the global economic recovery and supply chain normalization in 2024, and our strategic focus on customer needs and product enhancements, the dollar-based net expansion rate for IoT PaaS improved to 116% as of March 31, 2024, 127% as of June 30, 2024, 124% as of September 30, 2024, and 122% as of December 31, 2024, compared to the same period in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generate revenue from three sources, namely (i) IoT PaaS; (ii) Smart Solution; and (iii) SaaS and others. The following table sets forth a breakdown of our revenue, in absolute amounts and as percentages of total revenue,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20" w:type="dxa"/>
            <w:vAlign w:val="bottom"/>
            <w:tcBorders>
              <w:bottom w:val="single" w:sz="8" w:color="auto"/>
            </w:tcBorders>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gridSpan w:val="2"/>
          </w:tcPr>
          <w:p>
            <w:pPr>
              <w:jc w:val="center"/>
              <w:ind w:left="4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r>
      <w:tr>
        <w:trPr>
          <w:trHeight w:val="117"/>
        </w:trPr>
        <w:tc>
          <w:tcPr>
            <w:tcW w:w="5320" w:type="dxa"/>
            <w:vAlign w:val="bottom"/>
          </w:tcPr>
          <w:p>
            <w:pPr>
              <w:spacing w:after="0"/>
              <w:rPr>
                <w:sz w:val="10"/>
                <w:szCs w:val="10"/>
                <w:color w:val="auto"/>
              </w:rPr>
            </w:pPr>
          </w:p>
        </w:tc>
        <w:tc>
          <w:tcPr>
            <w:tcW w:w="84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52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4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50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86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520" w:type="dxa"/>
            <w:vAlign w:val="bottom"/>
          </w:tcPr>
          <w:p>
            <w:pPr>
              <w:jc w:val="right"/>
              <w:ind w:right="11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73"/>
        </w:trPr>
        <w:tc>
          <w:tcPr>
            <w:tcW w:w="5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520" w:type="dxa"/>
            <w:vAlign w:val="bottom"/>
          </w:tcPr>
          <w:p>
            <w:pPr>
              <w:spacing w:after="0"/>
              <w:rPr>
                <w:sz w:val="15"/>
                <w:szCs w:val="15"/>
                <w:color w:val="auto"/>
              </w:rPr>
            </w:pPr>
          </w:p>
        </w:tc>
      </w:tr>
      <w:tr>
        <w:trPr>
          <w:trHeight w:val="149"/>
        </w:trPr>
        <w:tc>
          <w:tcPr>
            <w:tcW w:w="5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IoT PaaS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167,694</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Solution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SaaS and others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16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9"/>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208,172</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229,990</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298,617</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IoT PaaS</w:t>
      </w:r>
      <w:r>
        <w:rPr>
          <w:rFonts w:ascii="Times New Roman" w:cs="Times New Roman" w:eastAsia="Times New Roman" w:hAnsi="Times New Roman"/>
          <w:sz w:val="18"/>
          <w:szCs w:val="18"/>
          <w:color w:val="auto"/>
        </w:rPr>
        <w:t>. We generate IoT PaaS revenue mainly from the fees charged to customers based on the number of IoT PaaS products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deploy.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Smart Solution. </w:t>
      </w:r>
      <w:r>
        <w:rPr>
          <w:rFonts w:ascii="Times New Roman" w:cs="Times New Roman" w:eastAsia="Times New Roman" w:hAnsi="Times New Roman"/>
          <w:sz w:val="18"/>
          <w:szCs w:val="18"/>
          <w:color w:val="auto"/>
        </w:rPr>
        <w:t>Since the first quarter of 2024, we officially rebranded our smart device distribution segment as Smart 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more than a year of business transformation. We generate Smart Solution revenue mainly from providing finished devices that integrate more extensive and comprehensive software capabilities, such as AI, embedded operating systems and cloud software capabilities, enabling these customers to efficiently build their smart business product portfolios.</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SaaS and others</w:t>
      </w:r>
      <w:r>
        <w:rPr>
          <w:rFonts w:ascii="Times New Roman" w:cs="Times New Roman" w:eastAsia="Times New Roman" w:hAnsi="Times New Roman"/>
          <w:sz w:val="18"/>
          <w:szCs w:val="18"/>
          <w:color w:val="auto"/>
        </w:rPr>
        <w:t>. We generate our SaaS and others revenue mainly from (i) the subscription fees charged to customers of SaaS,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industry SaaS we offer to enterprises and cloud-based software value-added services we offer enterprises or end users of Tuya-powered smart devices, and (ii) the fees that we receive for other value-added services we offer to brands and OEMs, such as APP customization, and for projects such as the deployment of the Cube and other technical developments.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cost of revenue consists of the costs directly related to providing our products to our customers. These costs and expenses primarily include (i) material costs, primarily including the costs relating to the modules where the edge capabilities of IoT PaaS are embedded; (ii) third-party cloud infrastructure expenses; (iii) employee-related costs, including payroll of production support personnel; and (iv) others, including estimated warranty costs and inventory write-downs, among other things.</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costs of revenue, in absolute amounts and as percentages of revenue,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Borders>
              <w:bottom w:val="single" w:sz="8" w:color="auto"/>
            </w:tcBorders>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gridSpan w:val="2"/>
          </w:tcPr>
          <w:p>
            <w:pPr>
              <w:jc w:val="center"/>
              <w:ind w:left="4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r>
      <w:tr>
        <w:trPr>
          <w:trHeight w:val="184"/>
        </w:trPr>
        <w:tc>
          <w:tcPr>
            <w:tcW w:w="5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50"/>
        </w:trPr>
        <w:tc>
          <w:tcPr>
            <w:tcW w:w="5200" w:type="dxa"/>
            <w:vAlign w:val="bottom"/>
          </w:tcPr>
          <w:p>
            <w:pPr>
              <w:spacing w:after="0"/>
              <w:rPr>
                <w:sz w:val="13"/>
                <w:szCs w:val="13"/>
                <w:color w:val="auto"/>
              </w:rPr>
            </w:pPr>
          </w:p>
        </w:tc>
        <w:tc>
          <w:tcPr>
            <w:tcW w:w="8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r>
      <w:tr>
        <w:trPr>
          <w:trHeight w:val="173"/>
        </w:trPr>
        <w:tc>
          <w:tcPr>
            <w:tcW w:w="5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580" w:type="dxa"/>
            <w:vAlign w:val="bottom"/>
          </w:tcPr>
          <w:p>
            <w:pPr>
              <w:spacing w:after="0"/>
              <w:rPr>
                <w:sz w:val="15"/>
                <w:szCs w:val="15"/>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IoT PaaS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89,998</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94,349</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114,812</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Solution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SaaS and others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118,749</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123,335</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157,187</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r>
      <w:tr>
        <w:trPr>
          <w:trHeight w:val="20"/>
        </w:trPr>
        <w:tc>
          <w:tcPr>
            <w:tcW w:w="5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Our cost of revenue has been and will continue to be affected by a number of factors, including economies of scale, improved efficiency achieved through effective R&amp;D, and product mix, among other things.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breakdown of our gross profit and gross margin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8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r>
      <w:tr>
        <w:trPr>
          <w:trHeight w:val="117"/>
        </w:trPr>
        <w:tc>
          <w:tcPr>
            <w:tcW w:w="5260" w:type="dxa"/>
            <w:vAlign w:val="bottom"/>
          </w:tcPr>
          <w:p>
            <w:pPr>
              <w:spacing w:after="0"/>
              <w:rPr>
                <w:sz w:val="10"/>
                <w:szCs w:val="10"/>
                <w:color w:val="auto"/>
              </w:rPr>
            </w:pPr>
          </w:p>
        </w:tc>
        <w:tc>
          <w:tcPr>
            <w:tcW w:w="84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9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00" w:type="dxa"/>
            <w:vAlign w:val="bottom"/>
          </w:tcPr>
          <w:p>
            <w:pPr>
              <w:jc w:val="right"/>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r>
      <w:tr>
        <w:trPr>
          <w:trHeight w:val="173"/>
        </w:trPr>
        <w:tc>
          <w:tcPr>
            <w:tcW w:w="526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profit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margin</w:t>
            </w:r>
          </w:p>
        </w:tc>
      </w:tr>
      <w:tr>
        <w:trPr>
          <w:trHeight w:val="117"/>
        </w:trPr>
        <w:tc>
          <w:tcPr>
            <w:tcW w:w="5260" w:type="dxa"/>
            <w:vAlign w:val="bottom"/>
          </w:tcPr>
          <w:p>
            <w:pPr>
              <w:spacing w:after="0"/>
              <w:rPr>
                <w:sz w:val="10"/>
                <w:szCs w:val="10"/>
                <w:color w:val="auto"/>
              </w:rPr>
            </w:pPr>
          </w:p>
        </w:tc>
        <w:tc>
          <w:tcPr>
            <w:tcW w:w="6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0"/>
                <w:szCs w:val="10"/>
                <w:color w:val="auto"/>
              </w:rPr>
            </w:pPr>
          </w:p>
        </w:tc>
        <w:tc>
          <w:tcPr>
            <w:tcW w:w="600" w:type="dxa"/>
            <w:vAlign w:val="bottom"/>
            <w:tcBorders>
              <w:top w:val="single" w:sz="8" w:color="auto"/>
            </w:tcBorders>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0"/>
                <w:szCs w:val="10"/>
                <w:color w:val="auto"/>
              </w:rPr>
            </w:pPr>
          </w:p>
        </w:tc>
        <w:tc>
          <w:tcPr>
            <w:tcW w:w="600" w:type="dxa"/>
            <w:vAlign w:val="bottom"/>
            <w:tcBorders>
              <w:top w:val="single" w:sz="8" w:color="auto"/>
            </w:tcBorders>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r>
      <w:tr>
        <w:trPr>
          <w:trHeight w:val="173"/>
        </w:trPr>
        <w:tc>
          <w:tcPr>
            <w:tcW w:w="5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00" w:type="dxa"/>
            <w:vAlign w:val="bottom"/>
          </w:tcPr>
          <w:p>
            <w:pPr>
              <w:spacing w:after="0"/>
              <w:rPr>
                <w:sz w:val="15"/>
                <w:szCs w:val="15"/>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IoT PaaS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102,257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Solution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SaaS and others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23,552</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9"/>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89,423</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106,655</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141,430</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r>
      <w:tr>
        <w:trPr>
          <w:trHeight w:val="20"/>
        </w:trPr>
        <w:tc>
          <w:tcPr>
            <w:tcW w:w="5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gross margin has been and will continue to be affected by a number of factors, including economies of scale, improved efficiency achieved through effective R&amp;D, product mix, and the success of higher-value products and services that we provide to our customer, among others.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employee-related costs, including salaries, benefits and bonuses, for our research and development personnel; (ii) share-based compensation; (iii) cloud infrastructure cost; (iv) rental and utilities; and (v) other expenses associated with our research and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(i) employee-related costs, including salaries, bonuses and benefits, for our employees responsible for business development, branding and marketing; (ii) share-based compensation; (iii) marketing costs related to our developer conferences and events; and (iv) other sales and marketing expenses, including those spent on content and social media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(i) employee-related costs, including salaries, bonuses, and benefits paid to general and administrative personnel, (ii) share-based compensation, and (iii) other expenses associated with our general and administrative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(Expenses)/Incomes,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operating (expenses)/incomes, net primarily consist of software VAT tax refund and various general subsidies for enterprises.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income/(loss) primarily consists of other non-operating incomes, net, financial income, net and foreign exchange loss,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In addition, the Cayman Islands does not impose withholding tax on dividend payments.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subsidiaries in Hong Kong, including Tuya (HK) Limited, our wholly owned subsidiary, are subject to Hong Kong profits tax on their activities conducted in Hong Kong at a uniform tax rate of 16.5%. Under Hong Kong tax law, our subsidiaries in Hong Kong are exempted from income tax on their qualified foreign-derived income and there is no withholding tax in Hong Kong on remittance of dividends. During 2022, 2023 and 2024, no provision for Hong Kong profits tax was made as we had no estimated taxable income that was subject to the Hong Kong profits tax.</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subsidiaries and consolidated VIE in China are companies incorporated under PRC law and, as such, are subject to PRC enterprise income tax on their taxable income in accordance with the relevant PRC income tax laws. Pursuant to the Enterprise Income Tax Law of the People’s Republic of China, or the PRC EIT Law, which was amended on December 29, 2018 and became effective on the same date and the Regulation on the Implementation of the Enterprise Income Tax Law of the People’s Republic of China, which was amended on April 23, 2019 and became effective on the same date, a uniform 25% enterprise income tax rate is generally applicable to both foreign-invested enterprises and domestic enterprises, except where a special preferential rate applies. Tuya Information, our wholly owned PRC subsidiary, is eligible to enjoy a preferential tax rate of 15% in 2022, 2023 and 2024, to the extent it has taxable income under the EIT Law. Tuya Information qualifies as a high and new technology enterprise (the “HNTE”) and was entitled to the 15% beneficial tax rate for the year ended December 31, 2024. Tuya Information completed its renewal application for the HNTE qualification on December 6, 2024, and it will continue to qualify as an HNTE, which entitles it to enjoy the 15% beneficial tax rate for the years ending December 31, 2025, 2026 and 2027. The enterprise income tax is calculated based on the entity’s global income as determined under PRC tax laws and accounting standards.</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VAT on the products sold and services provided. We are also subject to surcharges on VAT payments in accordance with PRC law. The PRC Provisional Regulations on Value-Added Tax were promulgated by the State Council on December 13, 1993, which became effective on January 1, 1994 and were subsequently amended from time to time. The Detailed Rules for the Implementation of the PRC Provisional Regulations on Value-Added Tax (2011 Revision) were promulgated by the MOF on December 25, 1993 and subsequently amended on December 15, 2008 and October 28, 2011. On November 19, 2017, the State Council promulgated the Decisions on Abolishing the PRC Provisional Regulations on Business Tax and Amending the PRC Provisional Regulations on Value-Added Tax. Pursuant to these regulations, rules and decisions, all enterprises and individuals engaged in sale of goods, provision of processing, repair, and replacement services, sales of services, intangible assets, real property, and the importation of goods within the PRC territory are VAT taxpayers. On March 20, 2019, the MOF, the SAT, and the General Administration of Customs jointly issued the Announcement on Relevant Policies on Deepening the Reform of Value-Added Tax. Pursuant to this announcement, the generally applicable VAT rates are simplified as 13%, 9%, 6%, and 0%, which became effective on April 1, 2019, and the VAT rate applicable to the small-scale taxpayers is 3%.</w:t>
      </w:r>
    </w:p>
    <w:p>
      <w:pPr>
        <w:spacing w:after="0" w:line="190" w:lineRule="exact"/>
        <w:rPr>
          <w:sz w:val="20"/>
          <w:szCs w:val="20"/>
          <w:color w:val="auto"/>
        </w:rPr>
      </w:pPr>
    </w:p>
    <w:p>
      <w:pPr>
        <w:jc w:val="both"/>
        <w:ind w:right="260" w:firstLine="324"/>
        <w:spacing w:after="0" w:line="272" w:lineRule="auto"/>
        <w:rPr>
          <w:sz w:val="20"/>
          <w:szCs w:val="20"/>
          <w:color w:val="auto"/>
        </w:rPr>
      </w:pPr>
      <w:r>
        <w:rPr>
          <w:rFonts w:ascii="Times New Roman" w:cs="Times New Roman" w:eastAsia="Times New Roman" w:hAnsi="Times New Roman"/>
          <w:sz w:val="17"/>
          <w:szCs w:val="17"/>
          <w:color w:val="auto"/>
        </w:rPr>
        <w:t>As a Cayman Islands holding company, Tuya Inc. may receive dividends from our PRC subsidiaries through Tuya (HK) Limited. The PRC EIT Law and its implementing rules provide that dividends paid by a PRC entity to a nonresident enterprise for income tax purposes is subject to PRC withholding tax at a rate of 10%, and may be subject to reduction by an applicable tax treaty with China.</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Pursuant to the Arrangement between Mainland China and the Hong Kong Special Administrative Region on the Avoidance of Double Taxation and the Prevention of Fiscal Evasion, which was signed on August 21, 2006,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a PRC tax perspective. Pursuant to the Notice of the State Administration of Taxation on the Issues concerning the Application of the Dividend Clauses of Tax Agreements, or the SAT Notice,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issued the Announcement of the State Taxation Administration on Issuing the Measures for Non-resident Taxpayers’ Enjoyment of Treaty Benefits, or the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Tuya (HK) Limited may be able to benefit from the 5% withholding tax rate for the dividends it receives from its PRC subsidiaries, if it satisfies the conditions prescribed under the SAT Notice and other relevant tax rules and regulations. However, according to the SAT Notice and SAT Circular 35, if the relevant tax authorities consider the transactions or arrangements we have to be for the primary purpose of enjoying a favorable tax treatment, the relevant tax authorities may adjust the favorable withholding tax in the future.</w:t>
      </w:r>
    </w:p>
    <w:p>
      <w:pPr>
        <w:spacing w:after="0" w:line="18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China were deemed to be a “resident enterprise” under the PRC EIT Law, it would be subject to enterprise income tax on its worldwide income at a rate of 25%.</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our PRC subsidiaries are also required to withhold a 10% (or 7% if paid to a Hong Kong resident who qualifies for the benefits of the tax treaty between China and Hong Kong) tax on interest paid under any cross-border shareholder loan. Prior to the payment of any interest and principal on any such shareholder loan, our PRC subsidiaries must present evidence of registration with SAFE regarding any such shareholder loan and may be required to provide evidence of payment of withholding tax on the interest payable on that shareholder loan.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with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revenue increased by 29.8% from US$230.0 million in 2023 to US$298.6 million in 2024, primarily due to the increase in IoT PaaS and Smart Solution revenue.</w:t>
      </w:r>
    </w:p>
    <w:p>
      <w:pPr>
        <w:spacing w:after="0" w:line="158" w:lineRule="exact"/>
        <w:rPr>
          <w:sz w:val="20"/>
          <w:szCs w:val="20"/>
          <w:color w:val="auto"/>
        </w:rPr>
      </w:pPr>
    </w:p>
    <w:p>
      <w:pPr>
        <w:ind w:left="680" w:right="40" w:hanging="321"/>
        <w:spacing w:after="0" w:line="26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IoT PaaS. </w:t>
      </w:r>
      <w:r>
        <w:rPr>
          <w:rFonts w:ascii="Times New Roman" w:cs="Times New Roman" w:eastAsia="Times New Roman" w:hAnsi="Times New Roman"/>
          <w:sz w:val="18"/>
          <w:szCs w:val="18"/>
          <w:color w:val="auto"/>
        </w:rPr>
        <w:t>Our revenue generated from IoT PaaS increased by 29.4% from US$167.7 million for 2023 to US$217.1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primarily due to increasing demand fueled by global economic recovery compared with 2023 and our strategic focus on customer needs and product enhancements. As a result of these factors, our dollar-based net expansion rate of IoT PaaS for the 12 months ended December 31, 2024 increased to 122% from 103% for the same period in 2023.</w:t>
      </w:r>
    </w:p>
    <w:p>
      <w:pPr>
        <w:spacing w:after="0" w:line="135" w:lineRule="exact"/>
        <w:rPr>
          <w:rFonts w:ascii="Times New Roman" w:cs="Times New Roman" w:eastAsia="Times New Roman" w:hAnsi="Times New Roman"/>
          <w:sz w:val="18"/>
          <w:szCs w:val="18"/>
          <w:color w:val="auto"/>
        </w:rPr>
      </w:pPr>
    </w:p>
    <w:p>
      <w:pPr>
        <w:ind w:left="680" w:hanging="321"/>
        <w:spacing w:after="0" w:line="268"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Solution. </w:t>
      </w:r>
      <w:r>
        <w:rPr>
          <w:rFonts w:ascii="Times New Roman" w:cs="Times New Roman" w:eastAsia="Times New Roman" w:hAnsi="Times New Roman"/>
          <w:sz w:val="18"/>
          <w:szCs w:val="18"/>
          <w:color w:val="auto"/>
        </w:rPr>
        <w:t>Our revenue generated from Smart Solution increased by 58.3% from US$26.5 million for 2023 to US$42.0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2024, primarily attributable to the increasing customer demand for smart devices with integrated intelligent software capabilities we developed beyond IoT.</w:t>
      </w:r>
    </w:p>
    <w:p>
      <w:pPr>
        <w:spacing w:after="0" w:line="143" w:lineRule="exact"/>
        <w:rPr>
          <w:rFonts w:ascii="Times New Roman" w:cs="Times New Roman" w:eastAsia="Times New Roman" w:hAnsi="Times New Roman"/>
          <w:sz w:val="18"/>
          <w:szCs w:val="18"/>
          <w:color w:val="auto"/>
        </w:rPr>
      </w:pPr>
    </w:p>
    <w:p>
      <w:pPr>
        <w:ind w:left="680" w:right="40" w:hanging="321"/>
        <w:spacing w:after="0" w:line="262"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SaaS and others. </w:t>
      </w:r>
      <w:r>
        <w:rPr>
          <w:rFonts w:ascii="Times New Roman" w:cs="Times New Roman" w:eastAsia="Times New Roman" w:hAnsi="Times New Roman"/>
          <w:sz w:val="18"/>
          <w:szCs w:val="18"/>
          <w:color w:val="auto"/>
        </w:rPr>
        <w:t>Our revenue generated from SaaS and others increased by 10.6% from US$35.8 for 2023 to US$39.6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2024, primarily due to an increase in revenue from cloud software products. During the year of 2024, we remained committed to offering value-added services and a diverse range of software products with compelling value propositions to our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cost of revenue increased by 27.4% from US$123.3 million for 2023 to US$157.2 million for 2024, in line with the increase in our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gross profit increased by 32.6% from US$106.7 million for 2023 to US$141.4 million for 2024. Our gross margin increased from 46.4% for 2023 to 47.4% for 2024.</w:t>
      </w:r>
    </w:p>
    <w:p>
      <w:pPr>
        <w:spacing w:after="0" w:line="158" w:lineRule="exact"/>
        <w:rPr>
          <w:sz w:val="20"/>
          <w:szCs w:val="20"/>
          <w:color w:val="auto"/>
        </w:rPr>
      </w:pPr>
    </w:p>
    <w:p>
      <w:pPr>
        <w:ind w:left="680" w:right="60" w:hanging="321"/>
        <w:spacing w:after="0" w:line="28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IoT PaaS. </w:t>
      </w:r>
      <w:r>
        <w:rPr>
          <w:rFonts w:ascii="Times New Roman" w:cs="Times New Roman" w:eastAsia="Times New Roman" w:hAnsi="Times New Roman"/>
          <w:sz w:val="18"/>
          <w:szCs w:val="18"/>
          <w:color w:val="auto"/>
        </w:rPr>
        <w:t>The gross profit of IoT PaaS increased by 39.4% from US$73.3 million for 2023 to US$102.3 million for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of IoT PaaS was 47.1% for 2024, compared to 43.7% for 2023.</w:t>
      </w:r>
    </w:p>
    <w:p>
      <w:pPr>
        <w:spacing w:after="0" w:line="114" w:lineRule="exact"/>
        <w:rPr>
          <w:rFonts w:ascii="Times New Roman" w:cs="Times New Roman" w:eastAsia="Times New Roman" w:hAnsi="Times New Roman"/>
          <w:sz w:val="18"/>
          <w:szCs w:val="18"/>
          <w:color w:val="auto"/>
        </w:rPr>
      </w:pPr>
    </w:p>
    <w:p>
      <w:pPr>
        <w:ind w:left="680" w:right="140" w:hanging="321"/>
        <w:spacing w:after="0" w:line="28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Smart Solution. </w:t>
      </w:r>
      <w:r>
        <w:rPr>
          <w:rFonts w:ascii="Times New Roman" w:cs="Times New Roman" w:eastAsia="Times New Roman" w:hAnsi="Times New Roman"/>
          <w:sz w:val="18"/>
          <w:szCs w:val="18"/>
          <w:color w:val="auto"/>
        </w:rPr>
        <w:t>The gross profit of Smart Solution increased by 58.0% from US$6.8 million for 2023 to US$10.7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gross margin of Smart Solution was 25.5% for 2024, compared to 25.5% for 2023.</w:t>
      </w:r>
    </w:p>
    <w:p>
      <w:pPr>
        <w:spacing w:after="0" w:line="127"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SaaS and others. </w:t>
      </w:r>
      <w:r>
        <w:rPr>
          <w:rFonts w:ascii="Times New Roman" w:cs="Times New Roman" w:eastAsia="Times New Roman" w:hAnsi="Times New Roman"/>
          <w:sz w:val="18"/>
          <w:szCs w:val="18"/>
          <w:color w:val="auto"/>
        </w:rPr>
        <w:t>The gross profit of SaaS and others increased by 7.3% from US$26.5 million for 2023 to US$28.5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gross margin of SaaS and others was 71.9% for 2024, compared to 74.2% for 2023.</w:t>
      </w:r>
    </w:p>
    <w:p>
      <w:pPr>
        <w:spacing w:after="0" w:line="11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Gross margin of each revenue steam increased or fluctuated primarily due to changes in products and solutions mix. As a developer platform with rich ecosystem of smart devices and applications, we are committed to focusing on software products with compelling value propositions while maintaining cost efficiency.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decreased by 7.1% from US$102.3 million for 2023 to US$95.0 million for 2024. The decrease was mainly attributable to (i) our strategic streamlining of research and development team and operations, and (ii) lower share-based compensation expenses as equity incentive awards granted at higher valuations in previous years have been gradually amortized, which was partially offset by a one-time increase in share-based compensation expenses resulting from the repricing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sales and marketing expenses decreased by 8.3% from US$40.4 million for 2023 to US$37.1 million for 2024. The decrease was mainly attributable to (i) our strategic streamlining of sales and marketing team, (ii) lower share-based compensation expenses as equity incentive awards granted at higher valuations in previous years have been largely amortized, which was partially offset by a one-time increase resulted from the repricing of stock options, and (iii) our efforts to control expenditures and improve sales and marketing efficiency.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decreased by 15.4% from US$80.7 million for 2023 to US$68.3 million for 2024, primarily because of (i) the decline in credit-related impairment of long-term investments, and (ii) our strategic streamlining of general and administrative team. The decrease was partially offset by a one-time increase in share-based compensation expenses resulting from the repricing of stock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incomes,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other operating incomes, net, increased by 4.0% from US$10.9 million for 2023 to US$11.3 million for 2024, which was mainly attributable to receipts of software value-added tax refund and various general subsidies for enterprises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generated other income of US$48.8 million and US$54.8 million, respectively, for 2023 and 2024. The increase in other income was mainly because of (i) an increase in financial income, net, of US$5.7 million, primarily due to well implemented treasury strategies on our cash, time deposits and treasury securities recorded as short-term and long-term investments, (ii) an increase in other non-operating incomes, net, of US$1.1 million, primarily due to payment from depository bank according to depository revenue sharing program, and (iii) a decrease of US$0.8 million of net foreign exchange gain due to the fluctuation in foreign exchange rates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income tax expense decreased from US$3.2 million for 2023 to US$2.1 million for 2024, primarily attributable to the decrease in tax expenses related to financial income due to switching of treasury management strategy and lower withholding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for the year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net loss of US$60.3 million for 2023, and recorded a net profit of US$5.0 million for 2024, marking the first fiscal year of net profitability on a GAAP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with Year Ended December 31, 2022</w:t>
      </w:r>
    </w:p>
    <w:p>
      <w:pPr>
        <w:spacing w:after="0" w:line="229" w:lineRule="exact"/>
        <w:rPr>
          <w:sz w:val="20"/>
          <w:szCs w:val="20"/>
          <w:color w:val="auto"/>
        </w:rPr>
      </w:pPr>
    </w:p>
    <w:p>
      <w:pPr>
        <w:ind w:right="340" w:firstLine="324"/>
        <w:spacing w:after="0" w:line="281" w:lineRule="auto"/>
        <w:rPr>
          <w:sz w:val="20"/>
          <w:szCs w:val="20"/>
          <w:color w:val="auto"/>
        </w:rPr>
      </w:pPr>
      <w:r>
        <w:rPr>
          <w:rFonts w:ascii="Times New Roman" w:cs="Times New Roman" w:eastAsia="Times New Roman" w:hAnsi="Times New Roman"/>
          <w:sz w:val="17"/>
          <w:szCs w:val="17"/>
          <w:color w:val="auto"/>
        </w:rPr>
        <w:t>For a detailed description of the comparison of our operating results for the year ended December 31, 2023 to the year ended December 31, 2022, see “Item 5. Operating and Financial Review and Prospects—5.A. Operating Results—Discussion of Results of Operations—Year Ended December 31, 2023 Compared with Year Ended December 31, 2022” beginning on page 112 of our annual report on Form 20-F for the fiscal year ended December 31, 2023 filed with the SEC on April 24, 2024 (File No. 001-40210).</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evaluating the business, we consider and use non-GAAP measures, such as non-GAAP operating expenses, non-GAAP loss from operations (including non-GAAP operating margin), non-GAAP net (loss)/profit (including non-GAAP net margin), and non-GAAP basic and diluted net (loss)/profit per ADS, as supplemental measures to review and assess our operating performance. The presentation of non-GAAP financial measures is not intended to be considered in isolation or as a substitute for U.S. GAAP measures. We define non-GAAP measures by excluding the impact of share-based compensation expenses, credit-related impairment of long-term investments and litigation costs from the respective GAAP measures. We present the non-GAAP financial measures because they are used by the management to evaluate its operating performance and formulate business plans. We also believe that the use of the non-GAAP measures facilitates investors’ assessment of its operating performance.</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Non-GAAP financial measures are not defined under U.S. GAAP and are not presented in accordance with U.S. GAAP. Non-GAAP financial measures have limitations as analytical tools. One of the key limitations of using the aforementioned non-GAAP financial measures is that they do not reflect all items of expenses that affect our operations. Share-based compensation expenses, credit-related impairment of long-term investments and litigation costs have been and may continue to be incurred in the business and are not reflected in the presentation of non-GAAP financial measures. Further, the non-GAAP financial measures may differ from the non-GAAP information used by other companies, including peer companies, and therefore their comparability may be limited. We compensate for these limitations by reconciling the non-GAAP financial measures to the nearest U.S. GAAP performance measures, all of which should be considered when evaluating our performance. We encourage you to review our financial information in its entirety and not rely on a single financial measure.</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Non-GAAP adjusted (loss)/profit for the year represents net (loss)/profit for the year excluding share-based compensation expenses, credit-related impairment of long-term investments and litigation costs. The table below sets forth a reconciliation of our net (loss)/profit for the year to non-GAAP adjusted (loss)/profit for the year indicated. Share-based compensation expenses relate to the share-based awards that we grant to employees and directors. We exclude share-based compensation expenses, credit-related impairment of long-term investments and litigation costs. The credit-related impairment of long-term investments arose from our equity investments in private companies, for which we have recognized as credit losses on a prudent basis. Our management believes that these exclusions facilitate the ability of investors to compare our operating results with those of other companies in the industry in which we operate, many of which also exclude share-based compensation expenses, credit-related impairment of long-term investments and litigation costs in determining their non-GAAP financial measures.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680" w:type="dxa"/>
            <w:vAlign w:val="bottom"/>
            <w:tcBorders>
              <w:bottom w:val="single" w:sz="8" w:color="auto"/>
            </w:tcBorders>
            <w:gridSpan w:val="5"/>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8"/>
              </w:rPr>
              <w:t>(US</w:t>
            </w:r>
          </w:p>
        </w:tc>
        <w:tc>
          <w:tcPr>
            <w:tcW w:w="7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(loss)/profit for the year</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(146,175)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(60,315)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Credit-related impairment of long-term investments</w:t>
            </w:r>
          </w:p>
        </w:tc>
        <w:tc>
          <w:tcPr>
            <w:tcW w:w="98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9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adjusted (loss)/profit for the year</w:t>
            </w:r>
          </w:p>
        </w:tc>
        <w:tc>
          <w:tcPr>
            <w:tcW w:w="9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(77,156)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20,438</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75,308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recorded non-GAAP adjusted loss of US$77.2 million in 2022 and adjusted profit of US$20.4 million 2023. In 2024, we recorded non-GAAP adjusted profit of US$75.3 million. We have been more focused enhancing our AI cloud platform and products to provide a higher value proposition, growing our customer base with key accounts, fostering our developer community, and prioritizing our business and operating efficiency, in order to lay a solid foundation for our long-term growth.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5.B.</w:t>
      </w:r>
      <w:r>
        <w:rPr>
          <w:sz w:val="20"/>
          <w:szCs w:val="20"/>
          <w:color w:val="auto"/>
        </w:rPr>
        <w:tab/>
      </w:r>
      <w:r>
        <w:rPr>
          <w:rFonts w:ascii="Times New Roman" w:cs="Times New Roman" w:eastAsia="Times New Roman" w:hAnsi="Times New Roman"/>
          <w:sz w:val="17"/>
          <w:szCs w:val="17"/>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WORKING CAPITAL</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principal sources of liquidity have been cash generated from private sales and public offerings of equity securities, as well as cash from our business operations. As of December 31, 2024, we had US$847.9 million in cash and cash equivalents and short-term investments. Of our cash and cash equivalents, US$113.2 million were held by our subsidiaries in the PRC; US$537.7 million, mainly denominated in U.S. dollars, were held by our subsidiaries in Hong Kong; and US$2.5 million, mainly denominated in U.S. dollars, EUR, and Japanese Yen, were held by Tuya Inc. and our other overseas subsidiaries. Our cash and cash equivalents and short-term investments primarily include cash in bank, time deposits placed with banks or other financial institutions, treasury securities and wealth management products issued by banks. We believe that our current cash and cash equivalents, balance of short-term investments and anticipated cash flows from operations will be sufficient to meet our anticipated cash needs, including cash needs for working capital and capital expenditures, for at least the next 12 months.</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intend to finance our future working capital requirements and capital expenditures with anticipated cash generated from operating activities and funds raised from financing activities. However,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 See “Item 3. Key Information—3.D. Risk Factors—Risk Related to Our Business and Industry—We may require additional capital to support our business and response to business opportunities, and this capital might not be available on favorable terms, if at all.”</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Historically, prior to 2024, we had not been profitable on a GAAP basis, and until 2023, we had not generated positive operating cash flows. We incurred a net loss of US$60.3 million in 2023 but achieved a net profit of US$5.0 million in 2024, marking our first fiscal year of GAAP profitability. We had net cash generated from operation activities of US$36.4 million in 2023 and US$80.4 million in 2024. However, if we are unable to sustain profitability or maintain positive operating cash flow, our business, liquidity, financial condition and results of operations may be materially and adversely affected. See “Item 3. Key Information—3.D. Risk Factors—Risks Related to Our Business and Our Industry—We have a history of net loss and net cash operating outflow and may not be able to achieve or sustain profitability in the future.”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consolidated cash flow data for the years presented.</w:t>
      </w:r>
    </w:p>
    <w:p>
      <w:pPr>
        <w:spacing w:after="0" w:line="23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17"/>
        </w:trPr>
        <w:tc>
          <w:tcPr>
            <w:tcW w:w="2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760" w:type="dxa"/>
            <w:vAlign w:val="bottom"/>
            <w:tcBorders>
              <w:top w:val="single" w:sz="8" w:color="auto"/>
            </w:tcBorders>
          </w:tcPr>
          <w:p>
            <w:pPr>
              <w:jc w:val="right"/>
              <w:ind w:right="153"/>
              <w:spacing w:after="0" w:line="117" w:lineRule="exact"/>
              <w:rPr>
                <w:sz w:val="20"/>
                <w:szCs w:val="20"/>
                <w:color w:val="auto"/>
              </w:rPr>
            </w:pPr>
            <w:r>
              <w:rPr>
                <w:rFonts w:ascii="Times New Roman" w:cs="Times New Roman" w:eastAsia="Times New Roman" w:hAnsi="Times New Roman"/>
                <w:sz w:val="13"/>
                <w:szCs w:val="13"/>
                <w:b w:val="1"/>
                <w:bCs w:val="1"/>
                <w:color w:val="auto"/>
              </w:rPr>
              <w:t>2022</w:t>
            </w:r>
          </w:p>
        </w:tc>
        <w:tc>
          <w:tcPr>
            <w:tcW w:w="940" w:type="dxa"/>
            <w:vAlign w:val="bottom"/>
            <w:tcBorders>
              <w:top w:val="single" w:sz="8" w:color="auto"/>
            </w:tcBorders>
            <w:gridSpan w:val="2"/>
          </w:tcPr>
          <w:p>
            <w:pPr>
              <w:jc w:val="right"/>
              <w:ind w:right="148"/>
              <w:spacing w:after="0" w:line="117"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3"/>
              <w:spacing w:after="0" w:line="117"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70"/>
              </w:rPr>
              <w:t>(US</w:t>
            </w: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96"/>
              </w:rPr>
              <w:t>$ in thousands)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in)/generated from operating activities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80,352</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in)/generated from investing activities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332,455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(38,582)</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Effect of exchange rate changes on cash and cash equivalents, restricted cash</w:t>
            </w:r>
            <w:r>
              <w:rPr>
                <w:rFonts w:ascii="Times New Roman" w:cs="Times New Roman" w:eastAsia="Times New Roman" w:hAnsi="Times New Roman"/>
                <w:sz w:val="25"/>
                <w:szCs w:val="25"/>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72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(decrease)/increase in cash and cash equivalents, restricted cash</w:t>
            </w:r>
            <w:r>
              <w:rPr>
                <w:rFonts w:ascii="Times New Roman" w:cs="Times New Roman" w:eastAsia="Times New Roman" w:hAnsi="Times New Roman"/>
                <w:sz w:val="25"/>
                <w:szCs w:val="25"/>
                <w:color w:val="auto"/>
                <w:vertAlign w:val="superscript"/>
              </w:rPr>
              <w:t>(1)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(831,415)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154,696</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 restricted cash</w:t>
            </w:r>
            <w:r>
              <w:rPr>
                <w:rFonts w:ascii="Times New Roman" w:cs="Times New Roman" w:eastAsia="Times New Roman" w:hAnsi="Times New Roman"/>
                <w:sz w:val="25"/>
                <w:szCs w:val="25"/>
                <w:color w:val="auto"/>
                <w:vertAlign w:val="superscript"/>
              </w:rPr>
              <w:t>(1)</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the beginning of the year</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498,688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 restricted cash</w:t>
            </w:r>
            <w:r>
              <w:rPr>
                <w:rFonts w:ascii="Times New Roman" w:cs="Times New Roman" w:eastAsia="Times New Roman" w:hAnsi="Times New Roman"/>
                <w:sz w:val="25"/>
                <w:szCs w:val="25"/>
                <w:color w:val="auto"/>
                <w:vertAlign w:val="superscript"/>
              </w:rPr>
              <w:t>(1)</w:t>
            </w: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the end of the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653,384</w:t>
            </w: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85" w:lineRule="exact"/>
        <w:rPr>
          <w:sz w:val="20"/>
          <w:szCs w:val="20"/>
          <w:color w:val="auto"/>
        </w:rPr>
      </w:pPr>
    </w:p>
    <w:p>
      <w:pPr>
        <w:ind w:left="340" w:right="12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represents cash that cannot be withdrawn without the permission of third parties. Our restricted cash is substantially cash balance on deposit required by our business partners and commercial banks during our ordinary course of business. The restricted cash balance for the year ended December 31, 2022 and December 31, 2023 was nil. The restricted cash balance for the year ended December 31, 2024 was US$0.05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Operating Activities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Net cash generated from operating activities was US$80.4 million in 2024. The difference between our net profit of US$5.0 million and the net cash generated from operating activities was mainly due to (i) share-based compensation of US$67.8 million, (ii) a decrease in inventories of US$7.0 million and (iii) an increase in accounts payables of US$5.9 million; partially offset by (i) an increase in prepayments and other current assets of US$3.9 million, (ii) a decrease in lease liabilities of US$3.5 million and (iii) a decrease in other non-current liabilities of US$3.1 million.</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Net cash generated from operating activities was US$36.4 million in 2023. The difference between our net loss of US$60.3 million and the net cash generated from operating activities was mainly due to (i) share-based compensation of US$65.2 million and (ii) an increase in credit loss of US$15.5 million of long-term investments.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US$70.7 million in 2022. The difference between our net loss of US$146.2 million and the net cash used in operating activities was mainly due to (i) share-based compensation of US$69.0 million, (ii) a decrease in accounts receivable of US$20.2 million, and (iii) a decrease in inventories of US$13.1 million, caused by utilizing our previously stocked materials, partially offset by a decrease in accruals and other payables of US$24.3 million, due to our improved working capital and inventory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Investing Activities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generated from investing activities was US$107.4 million in 2024, which was primarily attributable to (i) proceeds from disposal of short-term investments of US$354.5 million and (ii) proceeds from disposal of long-term investments of US$43.2 million and partially offset by payment for short-term investments of US$264.7 million. Our short-term investments mainly include time deposits and treasury securities.</w:t>
      </w:r>
    </w:p>
    <w:p>
      <w:pPr>
        <w:spacing w:after="0" w:line="13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cash generated from investing activities was US$332.5 million in 2023, which was primarily attributable to (i) proceeds from disposal of short-term investments of US$853.7 million, and partially offset by (ii) payment for short-term investments of US$327.2 million and (iii) payment for long-term investments of US$193.0 million. Our short-term investments mainly include time deposits and wealth management products offered by banks or other financial institutions in the PRC.</w:t>
      </w:r>
    </w:p>
    <w:p>
      <w:pPr>
        <w:spacing w:after="0" w:line="15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US$714.2 million in 2022, which was primarily attributable to (i) payment for short-term investments of US$1,257.7 million, and (ii) payment for long-term investments of US$1.6 million, partially offset by proceeds from disposal of short-term investments of US$543.8 million. Our short-term investments mainly include time deposits and wealth management products offered by banks or other financial institutions in the PRC.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in 2024 was US$33.2 million, which was due to the payment for dividend of US$33.0 million.</w:t>
      </w:r>
    </w:p>
    <w:p>
      <w:pPr>
        <w:spacing w:after="0" w:line="19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2023 was US$2.2 million, which was due to payment for repurchase and cancellation of ordinary shares of US$3.3 million, partially offset by proceeds from exercise of share options of US$1.2 million.</w:t>
      </w:r>
    </w:p>
    <w:p>
      <w:pPr>
        <w:spacing w:after="0" w:line="121"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2022 was US$38.6 million, which was due to payment for repurchase of ordinary shares of US$48.7 million, partially offset by (i) net proceeds from issuance of Class A ordinary shares upon the Hong Kong Listing of US$9.1 million, and (ii) proceeds from exercise of share options of US$1.0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02" w:lineRule="exact"/>
        <w:rPr>
          <w:sz w:val="20"/>
          <w:szCs w:val="20"/>
          <w:color w:val="auto"/>
        </w:rPr>
      </w:pPr>
    </w:p>
    <w:p>
      <w:pPr>
        <w:jc w:val="both"/>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2024 and any subsequent interim period include primarily our working capital and operating expenditure needs, capital expenditures, services purchase commitments and operating lease commitments.</w:t>
      </w:r>
    </w:p>
    <w:p>
      <w:pPr>
        <w:spacing w:after="0" w:line="121"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Other than the capital expenditures, services purchase commitments and operating lease commitments, as discussed below, we did not have any significant capital and other commitments, long-term obligations or guarantees as of December 31, 2024. We did not have future minimum capital commitments as of December 31,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8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capital expenditures are incurred primarily in connection with purchase of property, equipment, software and land use rights. Our capital expenditures were US$0.7 million, US$1.5 million and US$13.1 million in 2022, 2023 and 2024, respectively. We intend to fund our future capital expenditures with our existing cash balance and proceeds from our public offering of equity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Purchase Commitments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our services purchase commitments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3-5 years</w:t>
            </w:r>
          </w:p>
        </w:tc>
      </w:tr>
      <w:tr>
        <w:trPr>
          <w:trHeight w:val="128"/>
        </w:trPr>
        <w:tc>
          <w:tcPr>
            <w:tcW w:w="24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gridSpan w:val="3"/>
          </w:tcPr>
          <w:p>
            <w:pPr>
              <w:jc w:val="right"/>
              <w:ind w:right="379"/>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16"/>
        </w:trPr>
        <w:tc>
          <w:tcPr>
            <w:tcW w:w="57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5"/>
                <w:szCs w:val="25"/>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88"/>
        </w:trPr>
        <w:tc>
          <w:tcPr>
            <w:tcW w:w="248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r>
    </w:tbl>
    <w:p>
      <w:pPr>
        <w:spacing w:after="0" w:line="4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Note: Purchase obligations represent US$6,705 thousand of remaining non-cancellable contractual commitments as of December 31, 2024, related to one of our third-party cloud infrastructure agreements, under which we committed to spend an aggregate of at least US$37,500 thousand between June 1, 2021 and May 31, 2026 with minimum purchase commitment. We had made payments of US$36,735 thousand in total under this agreement as of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had outstanding commitments on several non-cancellable operating lease agreements. Operating lease commitment within one year or less lease term as of December 31, 2024 was US$26.0 thousand. We have elected not to recognize these operating lease commitment any lease liability or right-of-use asset, therefore they are not yet reflected in the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Tuya Inc. is a holding company with no material operations of its own. We conduct our operations mainly through our PRC and other overseas subsidiaries. As a result, our ability to pay dividends depends upon dividends paid by our subsidiaries. If our subsidiaries incur debt on their own behalf in the future, the instruments governing their debt may restrict their ability to pay dividends to us.</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Pursuant to the law applicable to China’s foreign-invested enterprises, our subsidiaries that are foreign-invested enterprises in the PRC have to make appropriation from their after-tax profit, as determined under PRC GAAP, to reserve funds including (i) the general reserve fund, (ii) the enterprise expansion fund and (iii) the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 to the other two reserve funds are at our subsidiary’s discretion. In accordance with the Company Law, the VIE in China must make appropriations from its after-tax profit to non-distributable reserve funds, including (i) the statutory surplus fund and (ii) the discretionary surplus fund. The appropriation to the statutory surplus fund must be at least 10% of the after-tax profits calculated in accordance with PRC GAAP. Appropriation is not required if the statutory surplus fund has reached 50% of the registered capital of the VIE. Appropriation to discretionary surplus fund is made at the discretion of the VIE.</w:t>
      </w:r>
    </w:p>
    <w:p>
      <w:pPr>
        <w:spacing w:after="0" w:line="19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are permitted under PRC laws and regulations to provide funding to our PRC subsidiaries through capital contributions or loans, subject to the approval of government authorities and limits on the amount of capital contributions and loans. In addition, our subsidiaries in China may provide RMB funding to the VIE only through entrusted loans.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5.C.</w:t>
      </w:r>
      <w:r>
        <w:rPr>
          <w:sz w:val="20"/>
          <w:szCs w:val="20"/>
          <w:color w:val="auto"/>
        </w:rPr>
        <w:tab/>
      </w:r>
      <w:r>
        <w:rPr>
          <w:rFonts w:ascii="Times New Roman" w:cs="Times New Roman" w:eastAsia="Times New Roman" w:hAnsi="Times New Roman"/>
          <w:sz w:val="17"/>
          <w:szCs w:val="17"/>
          <w:b w:val="1"/>
          <w:bCs w:val="1"/>
          <w:color w:val="auto"/>
        </w:rPr>
        <w:t>Research and Development, Patents and Licenses, etc.</w:t>
      </w:r>
    </w:p>
    <w:p>
      <w:pPr>
        <w:spacing w:after="0" w:line="22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Our AI cloud platform and proprietary cutting-edge IoT technologies have been primarily developed in-house. See “Item 4. Information on the Company—4.B. Business Overview—Research &amp; Development.”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5.D.</w:t>
      </w:r>
      <w:r>
        <w:rPr>
          <w:sz w:val="20"/>
          <w:szCs w:val="20"/>
          <w:color w:val="auto"/>
        </w:rPr>
        <w:tab/>
      </w:r>
      <w:r>
        <w:rPr>
          <w:rFonts w:ascii="Times New Roman" w:cs="Times New Roman" w:eastAsia="Times New Roman" w:hAnsi="Times New Roman"/>
          <w:sz w:val="17"/>
          <w:szCs w:val="17"/>
          <w:b w:val="1"/>
          <w:bCs w:val="1"/>
          <w:color w:val="auto"/>
        </w:rPr>
        <w:t>Trend Information</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2024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5.E.</w:t>
      </w:r>
      <w:r>
        <w:rPr>
          <w:sz w:val="20"/>
          <w:szCs w:val="20"/>
          <w:color w:val="auto"/>
        </w:rPr>
        <w:tab/>
      </w:r>
      <w:r>
        <w:rPr>
          <w:rFonts w:ascii="Times New Roman" w:cs="Times New Roman" w:eastAsia="Times New Roman" w:hAnsi="Times New Roman"/>
          <w:sz w:val="17"/>
          <w:szCs w:val="17"/>
          <w:b w:val="1"/>
          <w:bCs w:val="1"/>
          <w:color w:val="auto"/>
        </w:rPr>
        <w:t>Critical Accounting Estimate</w:t>
      </w:r>
    </w:p>
    <w:p>
      <w:pPr>
        <w:spacing w:after="0" w:line="229"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estimates are based on historical experience and various assumptions that we believe to be reasonable under the circumstances. Given that changes in circumstances, facts and experience may cause us to revise our estimates, actual results could differ materially from those estimates. Our critical accounting estimates are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Lower of cost or net realizable value provision for inventories</w:t>
      </w:r>
    </w:p>
    <w:p>
      <w:pPr>
        <w:spacing w:after="0" w:line="229" w:lineRule="exact"/>
        <w:rPr>
          <w:sz w:val="20"/>
          <w:szCs w:val="20"/>
          <w:color w:val="auto"/>
        </w:rPr>
      </w:pPr>
    </w:p>
    <w:p>
      <w:pPr>
        <w:ind w:right="280" w:firstLine="324"/>
        <w:spacing w:after="0" w:line="254" w:lineRule="auto"/>
        <w:rPr>
          <w:sz w:val="20"/>
          <w:szCs w:val="20"/>
          <w:color w:val="auto"/>
        </w:rPr>
      </w:pPr>
      <w:r>
        <w:rPr>
          <w:rFonts w:ascii="Times New Roman" w:cs="Times New Roman" w:eastAsia="Times New Roman" w:hAnsi="Times New Roman"/>
          <w:sz w:val="18"/>
          <w:szCs w:val="18"/>
          <w:color w:val="auto"/>
        </w:rPr>
        <w:t>Inventories comprised finished goods, work in process, raw materials and low value consumables and spare parts. Inventories are stated at the lower of cost and net realizable value. In determining excess or obsolescence reserves for inventories, we consider assumptions such as aging profile, historical consumption projection, estimated future selling prices and selling expenses of the respective inventories. If in any period we anticipate a change in assumptions such as future demand or market conditions to be less favorable than our previous estimates, additional inventory write-downs may be required and would be reflected in cost of sales, resulting in a negative impact to our gross margin in that period. If in any period we are able to sell inventories that had been written down to a level below the ultimate realized selling price in a previous period, related revenue would be recorded with a lower or no offsetting charge to cost of sales resulting in a net benefit to our gross margin in that period.</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6.A.</w:t>
      </w:r>
      <w:r>
        <w:rPr>
          <w:sz w:val="20"/>
          <w:szCs w:val="20"/>
          <w:color w:val="auto"/>
        </w:rPr>
        <w:tab/>
      </w:r>
      <w:r>
        <w:rPr>
          <w:rFonts w:ascii="Times New Roman" w:cs="Times New Roman" w:eastAsia="Times New Roman" w:hAnsi="Times New Roman"/>
          <w:sz w:val="17"/>
          <w:szCs w:val="17"/>
          <w:b w:val="1"/>
          <w:bCs w:val="1"/>
          <w:color w:val="auto"/>
        </w:rPr>
        <w:t>Directors and Senior Management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directors and executive officers as of the date of this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22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Xueji (Jerry) Wang</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Co-chairman, Founder, Chief Executive Officer</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Liaohan (Leo) Chen</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Co-chairman, Founder, President</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 (Alex) Yang</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Co-founder, Chief Financial Officer, Chief Operation Officer</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 Zhang</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Sidney Xuande Huang</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Changheng Qiu</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Meng Xiong Kuok (alias GUO Mengxiong)</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Pak Tung Jason Yip</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Non-executive Director</w:t>
            </w:r>
          </w:p>
        </w:tc>
      </w:tr>
      <w:tr>
        <w:trPr>
          <w:trHeight w:val="846"/>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136</w:t>
            </w:r>
          </w:p>
        </w:tc>
      </w:tr>
      <w:tr>
        <w:trPr>
          <w:trHeight w:val="560"/>
        </w:trPr>
        <w:tc>
          <w:tcPr>
            <w:tcW w:w="3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Xueji (Jerry) Wang </w:t>
      </w:r>
      <w:r>
        <w:rPr>
          <w:rFonts w:ascii="Times New Roman" w:cs="Times New Roman" w:eastAsia="Times New Roman" w:hAnsi="Times New Roman"/>
          <w:sz w:val="18"/>
          <w:szCs w:val="18"/>
          <w:color w:val="auto"/>
        </w:rPr>
        <w:t>founded Tuya in 2014 and currently serves as the co-chairman of our board of directors and our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Wang is responsible for the overall strategies, management, corporate culture, and commercial suitability and sustainability of products of Tuya. Mr. Wang has over 10 years of experience in IoT industry and about 21 years of experience focusing on software technology, including over 14 years of experience in elastic cloud computing technologies. Prior to founding Tuya, Mr. Wang founded PHPWind, one of the most popular open source forums software in China, in 2003. In 2006, Mr. Wang established Hangzhou Detian Information Technology Co., Ltd. to officially commercialize PHPWind business from 2006 to May 2008. In May 2008, PHPWind was acquired by Hangzhou Ali Technology Co., Ltd., a subsidiary or consolidated affiliated entity of Alibaba Group Holdings Limited (a company listed on the NYSE, symbol: BABA, and secondarily listed on the Stock Exchange, stock code: 9988) (together with its subsidiaries and its consolidated affiliated entities, “</w:t>
      </w:r>
      <w:r>
        <w:rPr>
          <w:rFonts w:ascii="Times New Roman" w:cs="Times New Roman" w:eastAsia="Times New Roman" w:hAnsi="Times New Roman"/>
          <w:sz w:val="18"/>
          <w:szCs w:val="18"/>
          <w:b w:val="1"/>
          <w:bCs w:val="1"/>
          <w:color w:val="auto"/>
        </w:rPr>
        <w:t>Alibaba Group</w:t>
      </w:r>
      <w:r>
        <w:rPr>
          <w:rFonts w:ascii="Times New Roman" w:cs="Times New Roman" w:eastAsia="Times New Roman" w:hAnsi="Times New Roman"/>
          <w:sz w:val="18"/>
          <w:szCs w:val="18"/>
          <w:color w:val="auto"/>
        </w:rPr>
        <w:t>”). From May 2008 to February 2014, Mr. Wang worked at Alibaba Group, where he served as a senior director and he was responsible for leading and launching a number of major technology and product innovations for Alibaba Cloud and Alipay, including Alibaba’s Quick Reference code (“</w:t>
      </w:r>
      <w:r>
        <w:rPr>
          <w:rFonts w:ascii="Times New Roman" w:cs="Times New Roman" w:eastAsia="Times New Roman" w:hAnsi="Times New Roman"/>
          <w:sz w:val="18"/>
          <w:szCs w:val="18"/>
          <w:b w:val="1"/>
          <w:bCs w:val="1"/>
          <w:color w:val="auto"/>
        </w:rPr>
        <w:t>QR Code</w:t>
      </w:r>
      <w:r>
        <w:rPr>
          <w:rFonts w:ascii="Times New Roman" w:cs="Times New Roman" w:eastAsia="Times New Roman" w:hAnsi="Times New Roman"/>
          <w:sz w:val="18"/>
          <w:szCs w:val="18"/>
          <w:color w:val="auto"/>
        </w:rPr>
        <w:t>”) payment system. Mr. Wang received a bachelor’s degree in information and computing science from Zhejiang Sci-Tech University in the PRC in June 2005. Mr. Wang was recognized by Forbes as a member of China’s Thirty Entrepreneurs under 30 in February 2012, and was named by Fortune China as one of China’s Forty Business Elites under 40 in April 2021.</w:t>
      </w:r>
    </w:p>
    <w:p>
      <w:pPr>
        <w:spacing w:after="0" w:line="18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Liaohan (Leo) Chen </w:t>
      </w:r>
      <w:r>
        <w:rPr>
          <w:rFonts w:ascii="Times New Roman" w:cs="Times New Roman" w:eastAsia="Times New Roman" w:hAnsi="Times New Roman"/>
          <w:sz w:val="18"/>
          <w:szCs w:val="18"/>
          <w:color w:val="auto"/>
        </w:rPr>
        <w:t>co- founded Tuya in 2014 and currently serves as the co-chairman of our board of directors and our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Chen is responsible for the overall strategies, management, business development and overall customer relationship of Tuya. Prior to co-founding Tuya, Mr. Chen co-founded PHPWind. Mr. Chen served as the management at Hangzhou Detian Information Technology Co., Ltd. from 2006 to May 2008. Mr. Chen served as an operations director at Alibaba Group, where he worked on Alibaba Cloud and Alibaba’s O2O business, leading the application of technology and business operation, from May 2008 to May 2014. Mr. Chen received a bachelor’s degree in information and computing science from Zhejiang Sci-Tech University in the PRC in June 2005, and received a master’s degree in computer applied technology from Zhejiang Sci-Tech University in the PRC in July 2010.</w:t>
      </w:r>
    </w:p>
    <w:p>
      <w:pPr>
        <w:spacing w:after="0" w:line="183"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Yi (Alex) Yang </w:t>
      </w:r>
      <w:r>
        <w:rPr>
          <w:rFonts w:ascii="Times New Roman" w:cs="Times New Roman" w:eastAsia="Times New Roman" w:hAnsi="Times New Roman"/>
          <w:sz w:val="18"/>
          <w:szCs w:val="18"/>
          <w:color w:val="auto"/>
        </w:rPr>
        <w:t>co- founded Tuya in 2014 and currently serves a director, chief financial officer and chief operation officer. Mr. Yang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responsible for capital market, investment, finance, legal and internal controls, human resources, government relations and daily operations of Tuya. Prior to co-founding Tuya, Mr. Yang worked as a business development senior expert at Alibaba Group from April 2011 to May 2015, where he was responsible for developing business opportunities for multiple projects, including mobile payment at Alibaba’s O2O business and Alibaba Cloud. Mr. Yang received a bachelor’s degree in international business and economics from Guangdong University of Foreign Studies in the PRC in July 2004.</w:t>
      </w:r>
    </w:p>
    <w:p>
      <w:pPr>
        <w:spacing w:after="0" w:line="182"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Yan Zhang </w:t>
      </w:r>
      <w:r>
        <w:rPr>
          <w:rFonts w:ascii="Times New Roman" w:cs="Times New Roman" w:eastAsia="Times New Roman" w:hAnsi="Times New Roman"/>
          <w:sz w:val="17"/>
          <w:szCs w:val="17"/>
          <w:color w:val="auto"/>
        </w:rPr>
        <w:t>has served as our director since November 2024. Ms. Zhang has been serving as the vice president of finance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and several major subsidiaries since January 2021. Ms. Zhang is responsible for the finance of the Group. Prior to joining the Company, Ms. Zhang worked at Ernst &amp; Young Hua Ming LLP from December 2009 to January 2021, where her last position was senior audit manager. Ms. Zhang received a bachelor’s degree in management from Shanxi University of Finance and Economics in the PRC in July 2006, and a master’s degree in management from Dongbei University of Finance and Economics in the PRC in January 2009.</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Sidney Xuande Huang </w:t>
      </w:r>
      <w:r>
        <w:rPr>
          <w:rFonts w:ascii="Times New Roman" w:cs="Times New Roman" w:eastAsia="Times New Roman" w:hAnsi="Times New Roman"/>
          <w:sz w:val="18"/>
          <w:szCs w:val="18"/>
          <w:color w:val="auto"/>
        </w:rPr>
        <w:t>has served as our director since July 2022. Mr. Huang is responsible for providing independent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judgment to our board of directors. Mr. Huang has over 20 years of experience in the technology and internet industry. He is currently a senior advisor of JD.com, Inc. (a company listed on the Nasdaq, symbol: JD, and secondarily listed on the Stock Exchange, stock code: 9618) and was its chief financial officer from September 2013 until his retirement in September 2020, including the last three months as an executive coach to his successor. He has been an independent non-executive director of Kuaishou Technology (a company listed on the Stock Exchange, stock code: 1024) since February 2021, an independent director of Yatsen Holding Limited (a company listed on the NYSE, symbol: YSG) since November 2020, and an independent non-executive director of MIXUE Group (a company listed on the Stock Exchange, stock code: 2097). Prior to joining JD.com, Inc. in September 2013, Mr. Huang had served multiple top management roles for VanceInfo Technologies Inc., including its co-president, chief operating officer and chief financial officer as well as the chief financial officer of its successor company, Pactera Technology International Ltd., after the merger. He was an investment banker at Citigroup Global Markets Inc. in New York from August 2002 to July 2004. He held various positions, including audit manager at KPMG LLP from January 1997 to August 2000 and qualified as a Certified Public Accountant in the State of New York in October 1999. Mr. Huang is currently a Foundation Fellow at St Anthony’s College of the University of Oxford where he was an Academic Visitor focusing on geo-economics from October 2021 to September 2022. He received an MBA degree from the J.L. Kellogg School of Management at Northwestern University in the United States in June 2002 and a bachelor’s degree in accounting from Bernard M. Baruch College of The City University of New York in the United States in February 1997.</w:t>
      </w:r>
    </w:p>
    <w:p>
      <w:pPr>
        <w:spacing w:after="0" w:line="19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Changheng Qiu </w:t>
      </w:r>
      <w:r>
        <w:rPr>
          <w:rFonts w:ascii="Times New Roman" w:cs="Times New Roman" w:eastAsia="Times New Roman" w:hAnsi="Times New Roman"/>
          <w:sz w:val="18"/>
          <w:szCs w:val="18"/>
          <w:color w:val="auto"/>
        </w:rPr>
        <w:t>has served as our director since July 2022. Mr. Qiu is responsible for providing independent professional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judgment to our board of directors. Mr. Qiu is a founder of Kunteng (Hainan) Equity Investment Fund Management Co., Ltd. since July 2017. Prior to that, he served at Taobao (China) Software Co., Ltd. from December 2004 to May 2016, where his last position was vice president. Mr. Qiu received a bachelor’s degree in physics from Zhejiang University in the PRC in June 1997 and a MBA degree from Peking University in the PRC in June 2004.</w:t>
      </w:r>
    </w:p>
    <w:p>
      <w:pPr>
        <w:spacing w:after="0" w:line="18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Meng Xiong Kuok (alias GUO Mengxiong) </w:t>
      </w:r>
      <w:r>
        <w:rPr>
          <w:rFonts w:ascii="Times New Roman" w:cs="Times New Roman" w:eastAsia="Times New Roman" w:hAnsi="Times New Roman"/>
          <w:sz w:val="18"/>
          <w:szCs w:val="18"/>
          <w:color w:val="auto"/>
        </w:rPr>
        <w:t>has served as our director since July 2022. Mr. Kuok is responsible for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professional opinion and judgment to our board of directors. Mr. Kuok has been the Chief Executive Officer of K3 Venture Partners Pte. Ltd. since January 2020. He worked as Vice President (Projects) at Shangri-La International Hotel Management Ltd from October 2012 to February 2017. Mr. Kuok served as an independent non-executive director of TVS Motor Company Limited (a company listed on the National Stock Exchange of India Ltd., symbol: TVSMOTOR) from March 2021 to August 2024. Mr. Kuok received his bachelor’s degree in science from Cornell University in the United States in January 2007.</w:t>
      </w:r>
    </w:p>
    <w:p>
      <w:pPr>
        <w:spacing w:after="0" w:line="18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Pak Tung Jason Yip </w:t>
      </w:r>
      <w:r>
        <w:rPr>
          <w:rFonts w:ascii="Times New Roman" w:cs="Times New Roman" w:eastAsia="Times New Roman" w:hAnsi="Times New Roman"/>
          <w:sz w:val="18"/>
          <w:szCs w:val="18"/>
          <w:color w:val="auto"/>
        </w:rPr>
        <w:t>has served as our director since July 2022. Mr. Yip is responsible for providing independent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judgment to our board of directors. Mr. Yip worked in the audit division of PricewaterhouseCoopers in Canada from May 2003 to May 2007. He was a manager at PricewaterhouseCoopers in Hong Kong from June 2007 to June 2010. Mr. Yip worked in Alibaba Group Holding Limited (a company listed on the NYSE, symbol: BABA, and secondarily listed on the Stock Exchange, stock code: 9988) from June 2010 to May 2022, where he served as a senior director of finance, primarily responsible for the group’s financial reporting and technical accounting and share-based compensation administration and management. Mr. Yip received a bachelor’s degree of commerce from the University of British Columbia in Canada in May 2005. Mr. Yip qualified as a Chartered Accountant in Canada in January 2007 and has been a member of the Hong Kong Institute of Certified Public Accountants since September 2016.</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6.B.</w:t>
      </w:r>
      <w:r>
        <w:rPr>
          <w:sz w:val="20"/>
          <w:szCs w:val="20"/>
          <w:color w:val="auto"/>
        </w:rPr>
        <w:tab/>
      </w:r>
      <w:r>
        <w:rPr>
          <w:rFonts w:ascii="Times New Roman" w:cs="Times New Roman" w:eastAsia="Times New Roman" w:hAnsi="Times New Roman"/>
          <w:sz w:val="17"/>
          <w:szCs w:val="17"/>
          <w:b w:val="1"/>
          <w:bCs w:val="1"/>
          <w:color w:val="auto"/>
        </w:rPr>
        <w:t>Compensation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2024, the aggregate cash compensation paid or payable to our directors and executive officers was approximately US$1.2 million. We have not set aside or accrued any amount to provide pension, retirement or other similar benefits to our directors and executive officers, except to the extent required by applicable laws and regulations. Our PRC subsidiaries and the VIE are required by law to make contributions equal to certain percentages of each employee’s salary for his or her pension insurance, medical insurance, unemployment insurance and other statutory benefits and a housing provident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may be agreed between the executive officer and us. The executive officer may resign at any time with a three-month advance written notice.</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direct or end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(iii) seek directly or indirectly, to solicit the employment or services of, or hire or engage, any person who is known to be employed or engaged by us; or (iv) otherwise interfere with our business or accounts.</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adopted an employee equity incentive plan, or the 2015 Plan, on December 23, 2014, which was amended in July 2020, February 2021 and June 2022 and was terminated in June 2024. The purpose of the 2015 Plan is to attract and retain the best available personnel for positions of substantial responsibility, to provide additional incentives to selected employees, directors, and consultants and to promote the success of our business.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2015 Plan.</w:t>
      </w:r>
    </w:p>
    <w:p>
      <w:pPr>
        <w:spacing w:after="0" w:line="22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2015 Plan permits the awards of options, restricted shares and restricted share units as the plan administrator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determine.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Maximum Number of Class A Ordinary Shares</w:t>
      </w:r>
      <w:r>
        <w:rPr>
          <w:rFonts w:ascii="Times New Roman" w:cs="Times New Roman" w:eastAsia="Times New Roman" w:hAnsi="Times New Roman"/>
          <w:sz w:val="18"/>
          <w:szCs w:val="18"/>
          <w:color w:val="auto"/>
        </w:rPr>
        <w:t>. The overall limit on the number of the Class A ordinary shares underlying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pursuant to the 2015 Plan is 64,889,052, of which the total number of Class A ordinary shares which may be issued and/or transferred upon vesting or exercise of all options that may be granted pursuant to the 2015 Plan and any other share award schemes of our company in aggregate shall not exceed 10% of the total number of Class A ordinary shares in issue immediately upon the Hong Kong Listing, or the Plan Limit, being 49,914,656 Class A ordinary shares. Any equity awards in the form of options that were granted prior to the Hong Kong Listing under the 2015 Plan (including those outstanding, cancelled, lapsed in accordance with the 2015 Plan or exercised options) will not be counted for the purpose of the Plan Limit. The total number of Class A ordinary shares to be issued upon exercise of all outstanding options under the 2015 Plan and all other schemes of our company granted and yet to be exercised shall not exceed 30% of all the Class A ordinary shares in issue from time to time.</w:t>
      </w:r>
    </w:p>
    <w:p>
      <w:pPr>
        <w:spacing w:after="0" w:line="188" w:lineRule="exact"/>
        <w:rPr>
          <w:sz w:val="20"/>
          <w:szCs w:val="20"/>
          <w:color w:val="auto"/>
        </w:rPr>
      </w:pPr>
    </w:p>
    <w:p>
      <w:pPr>
        <w:jc w:val="both"/>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Plan Administration</w:t>
      </w:r>
      <w:r>
        <w:rPr>
          <w:rFonts w:ascii="Times New Roman" w:cs="Times New Roman" w:eastAsia="Times New Roman" w:hAnsi="Times New Roman"/>
          <w:sz w:val="18"/>
          <w:szCs w:val="18"/>
          <w:color w:val="auto"/>
        </w:rPr>
        <w:t>. The 2015 Plan shall be administrated by our board of directors or any committee designated by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w:t>
      </w:r>
    </w:p>
    <w:p>
      <w:pPr>
        <w:spacing w:after="0" w:line="15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Any employee, director or consultant of our company who is engaged by us to render consulting or advisory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shall be eligible to participate in the 2015 Plan.</w:t>
      </w:r>
    </w:p>
    <w:p>
      <w:pPr>
        <w:spacing w:after="0" w:line="155"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Each grant of an award under the 2015 Plan shall be evidenced by an award agreement between the participant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our company. Each award shall be subject to all applicable terms and conditions of the 2015 Plan and may be subject to any other terms and conditions that are not inconsistent with the 2015 Plan and that the plan administrator deems appropriate for inclusion in an award agreement. The provisions of the various award agreements entered into under the 2015 Plan need not be identical.</w:t>
      </w:r>
    </w:p>
    <w:p>
      <w:pPr>
        <w:spacing w:after="0" w:line="161"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Terms and Conditions of Award</w:t>
      </w:r>
      <w:r>
        <w:rPr>
          <w:rFonts w:ascii="Times New Roman" w:cs="Times New Roman" w:eastAsia="Times New Roman" w:hAnsi="Times New Roman"/>
          <w:sz w:val="18"/>
          <w:szCs w:val="18"/>
          <w:color w:val="auto"/>
        </w:rPr>
        <w:t>. The award agreement shall set forth the provisions, terms, and conditions of each award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not limited to, the types of awards, award vesting schedule, number of awards to be granted and the number of shares to be covered by the awards, exercise price, any restrictions or limitations on the award and term of each award.</w:t>
      </w:r>
    </w:p>
    <w:p>
      <w:pPr>
        <w:spacing w:after="0" w:line="17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The plan administrator determines the exercise price for each award, which shall not be lower than the fair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per share on the date of grant, which shall not be less than the highest of (i) the closing sales price of the Class A ordinary shares as quoted on the principal exchange or system on which the Class A ordinary shares are listed (as determined by plan administrator) on the date of grant, (ii) the average closing sales price as quoted on the principal exchange or system on which the Class A ordinary shares are listed for the five business days immediately preceding the date of grant. The maximum exercisable term is 10 years from the date of grant. In the case of an option granted to a participant who, immediately prior to the grant, owns more than 10% of the total combined voting power of all classes of outstanding securities of our company or parent company or subsidiary of our company, the term of option shall not be exercisable after the expiration of five years from the date of grant. There is no additional amount payable on application or acceptance of the share option.</w:t>
      </w:r>
    </w:p>
    <w:p>
      <w:pPr>
        <w:spacing w:after="0" w:line="188"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relevant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Maximum Entitlement of a Grantee</w:t>
      </w:r>
      <w:r>
        <w:rPr>
          <w:rFonts w:ascii="Times New Roman" w:cs="Times New Roman" w:eastAsia="Times New Roman" w:hAnsi="Times New Roman"/>
          <w:sz w:val="17"/>
          <w:szCs w:val="17"/>
          <w:color w:val="auto"/>
        </w:rPr>
        <w:t>. Unless approved by the shareholders in a general meeting, the total number of Class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ordinary shares issued and to be issued and/or transferred and to be transferred upon the vesting or exercise of the options granted to each participant in any 12-month period shall not (when aggregated with any Class A ordinary shares underlying the awards granted during such period under any other share award schemes of our company) exceed 1% of the Class A ordinary shares in issue for the time being.</w:t>
      </w:r>
    </w:p>
    <w:p>
      <w:pPr>
        <w:spacing w:after="0" w:line="161"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Amendment, Suspension or Termination of the 2015 Plan</w:t>
      </w:r>
      <w:r>
        <w:rPr>
          <w:rFonts w:ascii="Times New Roman" w:cs="Times New Roman" w:eastAsia="Times New Roman" w:hAnsi="Times New Roman"/>
          <w:sz w:val="18"/>
          <w:szCs w:val="18"/>
          <w:color w:val="auto"/>
        </w:rPr>
        <w:t>. Unless terminated earlier, the 2015 Plan has a term of 10 years.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the board of directors of any plan amendment to the extent necessary or desirable to comply with applicable law, the plan administrator may at any time amend, alter, suspend, or terminate the 2015 Plan; no amendment, alteration, suspension, or termination of the 2015 Plan shall materially and adversely affect any award previously granted pursuant to the 2015 Plan unless mutually agreed between the participant and the administrator, which agreement must be in writing and signed by the participant and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the termination of the 2015 Plan in June 2024, (i) the number of underlying Shares pursuant to the outstanding options (including both vested and unvested) granted under the 2015 Plan amounted to 51,304,005 Class A Ordinary Shares, and (ii) the number of underlying Shares pursuant to the outstanding awards granted under the 2015 Plan amounted to 7,532,250 Class A Ordinary Shares.</w:t>
      </w:r>
    </w:p>
    <w:p>
      <w:pPr>
        <w:spacing w:after="0" w:line="176"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As of April 15, 2025, (i) remaining options granted based on 2015 Plan to purchase a total of 5,885,967 ordinary shares were outstanding; and (ii) remaining restricted share units granted based on 2015 Plan to receive a total of 4,224,750 ordinary shares were outstanding.</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2024 Share Scheme</w:t>
      </w:r>
    </w:p>
    <w:p>
      <w:pPr>
        <w:spacing w:after="0" w:line="22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We adopted a share scheme, or the 2024 Share Scheme, on June 20, 2024. The purpose of the 2024 Share Scheme is to align the interests of our employees and service providers with us and to encourage and retain them to make contributions to the long-term development of our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2024 Share Scheme.</w:t>
      </w:r>
    </w:p>
    <w:p>
      <w:pPr>
        <w:spacing w:after="0" w:line="22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The eligible persons who may be selected to become a participant of the 2024 Share Scheme are any individuals,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entities (as the case may be), being any of (i) an Employee Participant, being any person who is an employee or a director of any member of the Group and (ii) a Service Provider, who the board of directors or the scheme administrator considers, in its sole discretion, to have contributed or will contribute to the Group. A Service Provider is any person or corporate entity (other than an employee or a director of any member of the Group) who provides services to the Group on a continuing or recurring basis in its ordinary and usual course of business which are in the interests of the long-term development of the Group.</w:t>
      </w:r>
    </w:p>
    <w:p>
      <w:pPr>
        <w:spacing w:after="0" w:line="182"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w:t>
      </w:r>
      <w:r>
        <w:rPr>
          <w:rFonts w:ascii="Times New Roman" w:cs="Times New Roman" w:eastAsia="Times New Roman" w:hAnsi="Times New Roman"/>
          <w:sz w:val="18"/>
          <w:szCs w:val="18"/>
          <w:color w:val="auto"/>
        </w:rPr>
        <w:t>The 2024 Share Scheme shall be valid and effective for the period of ten years from June 20, 2024 (the “Adoption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thereafter for so long as there are any unvested award granted under the 2024 Share Scheme prior to the expiration of the 2024 Share Scheme, in order to give effect to the vesting of such award or otherwise as may be required in accordance with the provisions of the Scheme Rules.</w:t>
      </w:r>
    </w:p>
    <w:p>
      <w:pPr>
        <w:spacing w:after="0" w:line="176"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Scheme Limit. </w:t>
      </w:r>
      <w:r>
        <w:rPr>
          <w:rFonts w:ascii="Times New Roman" w:cs="Times New Roman" w:eastAsia="Times New Roman" w:hAnsi="Times New Roman"/>
          <w:sz w:val="18"/>
          <w:szCs w:val="18"/>
          <w:color w:val="auto"/>
        </w:rPr>
        <w:t>The maximum number of Class A ordinary shares and/or ADSs which may be issued pursuant to the awards granted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to be granted under the 2024 Share Scheme, when aggregated with the number of Class A ordinary shares and/or ADSs which may be issued pursuant to other awards schemes of the Company, shall not exceed 10% of the total number of ordinary shares in issue as at the Adoption Date unless shareholders approve a further refreshment of the Scheme Limit or shareholders’ approval is obtained in compliance with the Hong Kong Listing Rules, being 57,459,259 Class A Ordinary Shares.</w:t>
      </w:r>
    </w:p>
    <w:p>
      <w:pPr>
        <w:spacing w:after="0" w:line="179"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 Providers Limit. </w:t>
      </w:r>
      <w:r>
        <w:rPr>
          <w:rFonts w:ascii="Times New Roman" w:cs="Times New Roman" w:eastAsia="Times New Roman" w:hAnsi="Times New Roman"/>
          <w:sz w:val="18"/>
          <w:szCs w:val="18"/>
          <w:color w:val="auto"/>
        </w:rPr>
        <w:t>The total number of Class A ordinary shares and/or ADSs which may be issued pursuant to the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and to be granted to Service Providers under the 2024 Share Scheme shall not exceed 1.0% of the total number of shares in issue as at the Adoption Date unless shareholders approve a further refreshment of the scheme Limit or shareholders’ approval is obtained in compliance with the Hong Kong Listing Rules, being 5,745,925 Class A ordinary shares.</w:t>
      </w:r>
    </w:p>
    <w:p>
      <w:pPr>
        <w:spacing w:after="0" w:line="17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Individual Limit. </w:t>
      </w:r>
      <w:r>
        <w:rPr>
          <w:rFonts w:ascii="Times New Roman" w:cs="Times New Roman" w:eastAsia="Times New Roman" w:hAnsi="Times New Roman"/>
          <w:sz w:val="17"/>
          <w:szCs w:val="17"/>
          <w:color w:val="auto"/>
        </w:rPr>
        <w:t>The total number of Class A ordinary shares and/or ADSs issued and to be issued upon the vesting or exercise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granted and to be granted under the 2024 Share Scheme and other awards schemes of the Company to each individual (excluding Awards lapsed in accordance with the 2024 Share Scheme) in any 12-month period up to (and including) the date of the latest grant shall not exceed 1.0% of the total number of shares in issue as at the Adoption Date, being 5,745,925 Class A Ordinary Shares.</w:t>
      </w:r>
    </w:p>
    <w:p>
      <w:pPr>
        <w:spacing w:after="0" w:line="161"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The 2024 Share Scheme shall be administrated by our board or person(s) to which our board of directors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delegated its authority (as applicable) to administer the 2024 Share Scheme.</w:t>
      </w:r>
    </w:p>
    <w:p>
      <w:pPr>
        <w:spacing w:after="0" w:line="155" w:lineRule="exact"/>
        <w:rPr>
          <w:sz w:val="20"/>
          <w:szCs w:val="20"/>
          <w:color w:val="auto"/>
        </w:rPr>
      </w:pPr>
    </w:p>
    <w:p>
      <w:pPr>
        <w:ind w:right="3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Period. </w:t>
      </w:r>
      <w:r>
        <w:rPr>
          <w:rFonts w:ascii="Times New Roman" w:cs="Times New Roman" w:eastAsia="Times New Roman" w:hAnsi="Times New Roman"/>
          <w:sz w:val="18"/>
          <w:szCs w:val="18"/>
          <w:color w:val="auto"/>
        </w:rPr>
        <w:t>The scheme administrator may from time to time while the 2024 Share Scheme is in force and subject to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laws, rules and regulations, determine the applicable vesting dates and any other criteria and conditions for vesting of the awards in its sole and absolute discretion. The vesting period in respect of any award shall not be less than 12 months from the grant date, except that with respect to an Employee Participant, a shorter vesting period may be permitted in certain circumstances.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The 2024 Share Scheme shall terminate on the earlier of (i) the end of the period of ten years after the Adoption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otherwise as may be required in accordance with the provisions of the 2024 Share Scheme; and (ii) such date of early termination as determined by the board of directors.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April 15, 2025, (i) options to purchase a total of nil ordinary shares were outstanding under the 2024 Share Scheme, and nil of such options had vested and become exercisable; and (ii) restricted share units to receive a total of 160,000 ordinary shares were outstanding under the 2024 Share Scheme.</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April 15, 2025, the number of ordinary shares underlying outstanding options or restricted share units that we granted to each of our directors and executive officers and to other individuals as a group.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1280" w:type="dxa"/>
            <w:vAlign w:val="bottom"/>
            <w:gridSpan w:val="2"/>
            <w:vMerge w:val="continue"/>
          </w:tcPr>
          <w:p>
            <w:pPr>
              <w:spacing w:after="0"/>
              <w:rPr>
                <w:sz w:val="12"/>
                <w:szCs w:val="12"/>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30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Xueji (Jerry) Wang</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Liaohan (Leo) Chen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 (Alex) Yang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January 5, 2021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4, 2031</w:t>
            </w:r>
          </w:p>
        </w:tc>
        <w:tc>
          <w:tcPr>
            <w:tcW w:w="0" w:type="dxa"/>
            <w:vAlign w:val="bottom"/>
          </w:tcPr>
          <w:p>
            <w:pPr>
              <w:spacing w:after="0"/>
              <w:rPr>
                <w:sz w:val="1"/>
                <w:szCs w:val="1"/>
                <w:color w:val="auto"/>
              </w:rPr>
            </w:pPr>
          </w:p>
        </w:tc>
      </w:tr>
      <w:tr>
        <w:trPr>
          <w:trHeight w:val="198"/>
        </w:trPr>
        <w:tc>
          <w:tcPr>
            <w:tcW w:w="4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Yan Zhang</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0"/>
                <w:szCs w:val="10"/>
                <w:color w:val="auto"/>
              </w:rPr>
              <w:t>(1)</w:t>
            </w:r>
          </w:p>
        </w:tc>
        <w:tc>
          <w:tcPr>
            <w:tcW w:w="14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0.00005</w:t>
            </w:r>
          </w:p>
        </w:tc>
        <w:tc>
          <w:tcPr>
            <w:tcW w:w="160" w:type="dxa"/>
            <w:vAlign w:val="bottom"/>
          </w:tcPr>
          <w:p>
            <w:pPr>
              <w:spacing w:after="0"/>
              <w:rPr>
                <w:sz w:val="17"/>
                <w:szCs w:val="17"/>
                <w:color w:val="auto"/>
              </w:rPr>
            </w:pPr>
          </w:p>
        </w:tc>
        <w:tc>
          <w:tcPr>
            <w:tcW w:w="130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from February</w:t>
            </w: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from February</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21, 2021 to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2031 to</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27, 2023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26, 2033</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Sidney Xuande Huang</w:t>
            </w:r>
          </w:p>
        </w:tc>
        <w:tc>
          <w:tcPr>
            <w:tcW w:w="11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0.00005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5, 2022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4, 2029</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Changheng Qiu</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Meng Xiong Kuok (alias GUO Mengxiong)</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Pak Tung Jason Yip</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4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grantees</w:t>
            </w: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5,145,167</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0.00005</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from May 12,</w:t>
            </w:r>
          </w:p>
        </w:tc>
        <w:tc>
          <w:tcPr>
            <w:tcW w:w="11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from May 11,</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2017 to May 6,</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 to May 5,</w:t>
            </w: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6"/>
                <w:szCs w:val="16"/>
                <w:color w:val="auto"/>
              </w:rPr>
              <w:t xml:space="preserve">4,151,000 </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7"/>
                <w:szCs w:val="17"/>
                <w:color w:val="auto"/>
              </w:rPr>
            </w:pPr>
          </w:p>
        </w:tc>
        <w:tc>
          <w:tcPr>
            <w:tcW w:w="12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from June 16,</w:t>
            </w: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from June 15,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2021 to</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2028 to October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October 18,</w:t>
            </w:r>
          </w:p>
        </w:tc>
        <w:tc>
          <w:tcPr>
            <w:tcW w:w="11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17, 2034</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shares.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Restricted share units.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6.C.</w:t>
      </w:r>
      <w:r>
        <w:rPr>
          <w:sz w:val="20"/>
          <w:szCs w:val="20"/>
          <w:color w:val="auto"/>
        </w:rPr>
        <w:tab/>
      </w:r>
      <w:r>
        <w:rPr>
          <w:rFonts w:ascii="Times New Roman" w:cs="Times New Roman" w:eastAsia="Times New Roman" w:hAnsi="Times New Roman"/>
          <w:sz w:val="17"/>
          <w:szCs w:val="17"/>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consists of eight directors, including four independent directors within the meaning of Section 303A of the NYSE Listed Company Manual, namely Sidney Xuande Huang, Changheng Qiu, Meng Xiong Kuok and Pak Tung Jason Yip. Each of Xueji (Jerry) Wang and Liaohan (Leo) Chen serves as the co-chairman of our board of directors. A director is not required to hold any shares in our company to qualify to serve as a director.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 director who to his or her knowledge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to be regarded as interested in any contract or transaction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Subject to any separate requirement for audit committee approval under applicable law, the Corporate Governance Rules of the NYSE, or the Hong Kong Listing Rules, a director may vote in respect of any contract or proposed contract or arrangement in which he or she is interested and may be counted in the quorum at such meeting, provided that (i) such director, if his or her interest in such contract or arrangement is material, has declared the nature of his or her interest at the earliest meeting of the board at which it is practicable for him or her to do so, either specifically or by way of a general notice and (ii) if such contract or arrangement is a transaction with a related party, such transaction has been approved by the audit committee. Unless permitted under the Hong Kong Listing Rules, a director shall not be entitled to vote on (nor shall the director be counted in the quorum in relation to) any resolution of the directors in respect of any contract or arrangement or any other proposal whatsoever in which he or any of his close associates (or, if required by the Hong Kong Listing Rules, his other associates) has any material interest, and if he shall do so his vote shall not be counted (nor is he to be counted in the quorum for the resolution).</w:t>
      </w:r>
    </w:p>
    <w:p>
      <w:pPr>
        <w:spacing w:after="0" w:line="196"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 nomination committee and a corporate governance committee under our board of directors and have adopted a charter for each of the four committees. Each committee’s members and functions are described below.</w:t>
      </w:r>
    </w:p>
    <w:p>
      <w:pPr>
        <w:spacing w:after="0" w:line="17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Sidney Xuande Huang, Meng Xiong Kuok and Pak Tung Jason Yip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chaired by Sidney Xuande Huang. We have determined that each of Sidney Xuande Huang, Meng Xiong Kuok and Pak Tung Jason Yip satisfies the requirements of an “independent director” within the meaning of Section 303A of the NYSE Listed Company Manual and meets the criteria for independence set forth in Rule 10A-3 of Exchange Act. In addition, we have determined that Sidney Xuande Huang satisfies the criteria of an “audit committee financial expert” as set forth under the applicable rules of the SEC and is appropriately qualified as required under Rules 3.10(2) and 3.12 of the Hong Kong Listing Rules. The audit committee is also in compliance with Rule 3.21 of the Hong Kong Listing Rules and the Corporate Governance Code set out in Appendix 14 to the Hong Kong Listing Rules, or the Corporate Governance Code.</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oversees our accounting and financial reporting processes and the audits of our financial statements. Our audit committee is primarily responsible for, among other things:</w:t>
      </w:r>
    </w:p>
    <w:p>
      <w:pPr>
        <w:spacing w:after="0" w:line="162"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auditor;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non-auditing services permitted to be performed by the independent auditor;</w:t>
      </w:r>
    </w:p>
    <w:p>
      <w:pPr>
        <w:spacing w:after="0" w:line="225" w:lineRule="exact"/>
        <w:rPr>
          <w:rFonts w:ascii="Times New Roman" w:cs="Times New Roman" w:eastAsia="Times New Roman" w:hAnsi="Times New Roman"/>
          <w:sz w:val="18"/>
          <w:szCs w:val="18"/>
          <w:color w:val="auto"/>
        </w:rPr>
      </w:pPr>
    </w:p>
    <w:p>
      <w:pPr>
        <w:jc w:val="both"/>
        <w:ind w:left="680" w:right="420" w:hanging="321"/>
        <w:spacing w:after="0" w:line="266"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independent auditor’s report describing the auditing firm’s internal quality control procedures, any material issues raised by the most recent internal quality control review, or peer review, of the independent auditors and all relationships between the independent auditor and our company;</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for employees and former employees of the independent auditors;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if material, approving all related party transactions on an ongoing basis;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annual audited financial statements with management and the independent auditor;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auditors major issues regarding accounting principles and financial statement presentations;</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prepared by management or the independent auditors relating to significant financial reporting issues and judgments;</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earnings press releases with management, as well as financial information and earnings guidance provided to analysts and rating agencies;</w:t>
      </w:r>
    </w:p>
    <w:p>
      <w:pPr>
        <w:spacing w:after="0" w:line="161"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auditors the effect of regulatory and accounting initiatives, as well as off-balance sheet structures, on our financial statements;</w:t>
      </w:r>
    </w:p>
    <w:p>
      <w:pPr>
        <w:spacing w:after="0" w:line="161"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policies with respect to risk assessment and risk management with management, internal auditors and the independent auditor;</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reviewing reports from the independent auditor regarding all critical accounting policies and practices to be used by our company, major judgmental areas, significant adjustments resulting from audit, the going concern assumptions and qualifications, and compliance with applicable accounting standards;</w:t>
      </w:r>
    </w:p>
    <w:p>
      <w:pPr>
        <w:spacing w:after="0" w:line="175"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from our employees regarding accounting, internal accounting controls or auditing matters and the confidential, anonymous submission by our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that are specifically delegated to our audit committee by our board of directors from time to time;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periodically, with management, internal auditors and the independent auditor;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full board of directors.</w:t>
      </w:r>
    </w:p>
    <w:p>
      <w:pPr>
        <w:spacing w:after="0" w:line="221"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compensation committee consists of Changheng Qiu, Pak Tung Jason Yip and Xueji (Jerry) Wang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chaired by Changheng Qiu. We have determined that each of Changheng Qiu and Pak Tung Jason Yip satisfies the requirements for an “independent director” within the meaning of Section 303A of the NYSE Listed Company Manual. The compensation committee is also in compliance with Rule 3.25 of the Hong Kong Listing Rules and the Corporate Governance Code.</w:t>
      </w:r>
    </w:p>
    <w:p>
      <w:pPr>
        <w:spacing w:after="0" w:line="180"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primarily responsible for, among other things:</w:t>
      </w:r>
    </w:p>
    <w:p>
      <w:pPr>
        <w:spacing w:after="0" w:line="158"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if necessary, revising our overall compensation policies;</w:t>
      </w:r>
    </w:p>
    <w:p>
      <w:pPr>
        <w:spacing w:after="0" w:line="225"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the performance of our directors and senior officers and determining the compensation of our executive officers;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any incentive-compensation plan, equity-based plans and employee stock ownership plans.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Nomination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nomination committee consists of Changheng Qiu, Meng Xiong Kuok and Liaohan (Leo) Chen,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chaired by Changheng Qiu. We have determined that each of Changheng Qiu and Meng Xiong Kuok satisfies the requirements for an “independent director” within the meaning of Section 303A of the NYSE Listed Company Manual. The nomination committee is also in compliance with the requirements in respect of the nomination committee in Chapter 8A of the Hong Kong Listing Rules and the Corporate Governance Code.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nomination committee is primarily responsible for, among other things,</w:t>
      </w:r>
    </w:p>
    <w:p>
      <w:pPr>
        <w:spacing w:after="0" w:line="225"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searching for and identifying qualified individuals for membership on our board of directors;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appointment or re-appointment of directors and succession planning for directors; and</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structure, size and composition (including the skills, knowledge and experience) of our board of directors and making recommendations on any proposed changes to the board of directors to complement our corporate strategy.</w:t>
      </w:r>
    </w:p>
    <w:p>
      <w:pPr>
        <w:spacing w:after="0" w:line="158"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Corporate Governance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corporate governance committee consists of Changheng Qiu and Pak Tung Jason Yip,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chaired by Changheng Qiu. We have determined that each of Changheng Qiu and Pak Tung Jason Yip satisfies the requirements for an “independent director” within the meaning of Section 303A of the NYSE Listed Company Manual. The corporate governance committee is also in compliance with the requirements regarding the corporate governance committee under Chapter 8A of the Hong Kong Listing Rules and the Corporate Governance Code.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corporate governance committee is primarily responsible for, among other things:</w:t>
      </w:r>
    </w:p>
    <w:p>
      <w:pPr>
        <w:spacing w:after="0" w:line="225" w:lineRule="exact"/>
        <w:rPr>
          <w:sz w:val="20"/>
          <w:szCs w:val="20"/>
          <w:color w:val="auto"/>
        </w:rPr>
      </w:pPr>
    </w:p>
    <w:p>
      <w:pPr>
        <w:ind w:left="680" w:right="160" w:hanging="321"/>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our company’s policies and practices on corporate governance and making recommendations to the board;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training and continuous professional development of directors and senior management;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company’s policies and practices on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monitoring the code of conduct and compliance manual (if any) applicable to employees and directors;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company’s compliance with certain Hong Kong Listing Rules;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whether our company is operated and managed for the benefit of all of its shareholders;</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management of conflicts of interests and make a recommendation to the board on any matter where there is a potential conflict of interest;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all risks related to our company’s multiple class voting structure;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on the work of the corporate governance committee on at least a semi-annual and annual basis covering all areas of its terms of reference.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MAA, the functions and powers of our board of directors include, among others, (i) convening shareholders’ annual general meetings and reporting its work to shareholders at such meetings, (ii) declaring dividends, (iii) appointing officers and determining their terms of office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Our directors may be elected by an ordinary resolution of our shareholders. Each Class A ordinary share and each Class B ordinary share shall entitle its holder to one vote on a poll at a general meeting in respect of a resolution approving the appointment, election or removal of any Independent Non-executive Director (as defined in our MAA). Alternatively, our board of directors may, by the affirmative vote of a simple majority of the directors present and voting at a board meeting appoint any person as a director to fill a casual vacancy on our board or as an addition to the existing board. Any director so appointed shall hold office only until the first annual general meeting of our company after his or her appointment, and shall then be eligible for re-election at that meeting.</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director shall hold office until the expiration of his or her term or his or her successor shall have been elected and qualified, or until his or her office is otherwise vacated. A director may be removed from office at any time by ordinary resolution of shareholders before the expiration of his or her term of office, or the affirmative vote of a simple majority of the other directors present and voting at a board meeting. At every annual general meeting of our company, the Independent Non-executive Directors for the time being shall retire from office by rotation provided that every Independent Non-executive Director (including those appointed for a specific term) shall be subject to retirement by rotation at least once every three years. A retiring Independent Non-executive Director shall retain office until the close of the meeting at which he retires and shall be eligible for re-election thereat. In addition, a director will be removed from office automatically if, among other things, the director (i) resigns by notice in writing to our company; (ii) dies, becomes bankrupt or makes any arrangement or composition with his or her creditors generally; (iii) is prohibited by any applicable law or stock exchange rules from being a director; (iv) is found to be or becomes of unsound mind; or (v) is removed from office pursuant to any other provision of our Articles.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6.D.</w:t>
      </w:r>
      <w:r>
        <w:rPr>
          <w:sz w:val="20"/>
          <w:szCs w:val="20"/>
          <w:color w:val="auto"/>
        </w:rPr>
        <w:tab/>
      </w:r>
      <w:r>
        <w:rPr>
          <w:rFonts w:ascii="Times New Roman" w:cs="Times New Roman" w:eastAsia="Times New Roman" w:hAnsi="Times New Roman"/>
          <w:sz w:val="17"/>
          <w:szCs w:val="17"/>
          <w:b w:val="1"/>
          <w:bCs w:val="1"/>
          <w:color w:val="auto"/>
        </w:rPr>
        <w:t>Employees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had 1,835, 1,465 and 1,435 salaried full-time employees as of December 31, 2022, 2023 and 2024, respectively. As of December 31, 2024, a substantial majority of our full-time employees were based in China, while the remaining of them were based in the United States, Europe, Singapore, India, Japan and Colombia, among other locations.</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primarily recruit our employees through on-campus job fairs, recruitment agencies and online channels, including our corporate website and third-party employment websites. As required by PRC laws and regulations, we participate in housing fund and various employee social security plans that are organized by applicable local municipal and provincial governments, including housing fund, pension, medical, work injury, unemployment and maternity insurance. We or agents engaged by us are required under PRC laws and regulations to contribute to employee social security plans at specified percentages of the salaries, bonuses and certain allowances of our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breakdowns of our employees by function as of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7400" w:type="dxa"/>
            <w:vAlign w:val="bottom"/>
            <w:gridSpan w:val="2"/>
            <w:vMerge w:val="continue"/>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Employees</w:t>
            </w:r>
          </w:p>
        </w:tc>
        <w:tc>
          <w:tcPr>
            <w:tcW w:w="126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209"/>
        </w:trPr>
        <w:tc>
          <w:tcPr>
            <w:tcW w:w="7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and others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1,435</w:t>
            </w:r>
          </w:p>
        </w:tc>
        <w:tc>
          <w:tcPr>
            <w:tcW w:w="2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and comply with, applicable labor law requirements, which may automatically make our employees subject to industry-wide collective bargaining agreements. We believe that we maintain a good working relationship with our employees, and we have not experienced any material labor disputes in the past. Our employees are represented by labor unions with respect to his or her employment.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6.E.</w:t>
      </w:r>
      <w:r>
        <w:rPr>
          <w:sz w:val="20"/>
          <w:szCs w:val="20"/>
          <w:color w:val="auto"/>
        </w:rPr>
        <w:tab/>
      </w:r>
      <w:r>
        <w:rPr>
          <w:rFonts w:ascii="Times New Roman" w:cs="Times New Roman" w:eastAsia="Times New Roman" w:hAnsi="Times New Roman"/>
          <w:sz w:val="17"/>
          <w:szCs w:val="17"/>
          <w:b w:val="1"/>
          <w:bCs w:val="1"/>
          <w:color w:val="auto"/>
        </w:rPr>
        <w:t>Share Ownership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April 15, 2025 by:</w:t>
      </w:r>
    </w:p>
    <w:p>
      <w:pPr>
        <w:spacing w:after="0" w:line="225" w:lineRule="exact"/>
        <w:rPr>
          <w:sz w:val="20"/>
          <w:szCs w:val="20"/>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22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dual class voting structure. The calculations in the table below are based on 609,721,949 ordinary shares outstanding as of April 15, 2025, consisting of 539,516,649 Class A ordinary shares (including 2,085,143 Class A ordinary shares issued to the depositary bank for bulk issuance of ADSs reserved for future issuances upon the exercise or vesting of awards granted under our 2024 Share Scheme and 223,773 Class A ordinary shares represented by ADSs that have been repurchased by us from the open market) and 70,205,300 Class B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0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6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1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Power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4"/>
                <w:szCs w:val="24"/>
                <w:b w:val="1"/>
                <w:bCs w:val="1"/>
                <w:color w:val="auto"/>
                <w:vertAlign w:val="superscript"/>
              </w:rPr>
              <w:t>†</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Xueji (Jerry) Wang</w:t>
            </w:r>
            <w:r>
              <w:rPr>
                <w:rFonts w:ascii="Times New Roman" w:cs="Times New Roman" w:eastAsia="Times New Roman" w:hAnsi="Times New Roman"/>
                <w:sz w:val="25"/>
                <w:szCs w:val="25"/>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75,320,130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43,379,870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118,700,000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Liaohan (Leo) Chen</w:t>
            </w:r>
            <w:r>
              <w:rPr>
                <w:rFonts w:ascii="Times New Roman" w:cs="Times New Roman" w:eastAsia="Times New Roman" w:hAnsi="Times New Roman"/>
                <w:sz w:val="25"/>
                <w:szCs w:val="25"/>
                <w:color w:val="auto"/>
                <w:vertAlign w:val="superscript"/>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1,974,570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26,825,430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Yi (Alex) Yang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Yan Zhang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Sidney Xuande Huang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Changheng Qiu</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Meng Xiong Kuok</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Pak Tung Jason Yip</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87,675,733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70,205,300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157,881,033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65 Equity Partners Entities</w:t>
            </w:r>
            <w:r>
              <w:rPr>
                <w:rFonts w:ascii="Times New Roman" w:cs="Times New Roman" w:eastAsia="Times New Roman" w:hAnsi="Times New Roman"/>
                <w:sz w:val="25"/>
                <w:szCs w:val="25"/>
                <w:color w:val="auto"/>
                <w:vertAlign w:val="superscript"/>
              </w:rPr>
              <w:t>(3)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74,626,900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74,626,900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Tenet Group Limited</w:t>
            </w:r>
            <w:r>
              <w:rPr>
                <w:rFonts w:ascii="Times New Roman" w:cs="Times New Roman" w:eastAsia="Times New Roman" w:hAnsi="Times New Roman"/>
                <w:sz w:val="25"/>
                <w:szCs w:val="25"/>
                <w:color w:val="auto"/>
                <w:vertAlign w:val="superscript"/>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68,793,080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34,806,920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103,600,000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Tencent entities</w:t>
            </w:r>
            <w:r>
              <w:rPr>
                <w:rFonts w:ascii="Times New Roman" w:cs="Times New Roman" w:eastAsia="Times New Roman" w:hAnsi="Times New Roman"/>
                <w:sz w:val="25"/>
                <w:szCs w:val="25"/>
                <w:color w:val="auto"/>
                <w:vertAlign w:val="superscript"/>
              </w:rPr>
              <w:t>(5)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58,299,749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58,299,749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NEA entities</w:t>
            </w:r>
            <w:r>
              <w:rPr>
                <w:rFonts w:ascii="Times New Roman" w:cs="Times New Roman" w:eastAsia="Times New Roman" w:hAnsi="Times New Roman"/>
                <w:sz w:val="25"/>
                <w:szCs w:val="25"/>
                <w:color w:val="auto"/>
                <w:vertAlign w:val="superscript"/>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39,457,733</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39,457,733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Unileo Limited</w:t>
            </w:r>
            <w:r>
              <w:rPr>
                <w:rFonts w:ascii="Times New Roman" w:cs="Times New Roman" w:eastAsia="Times New Roman" w:hAnsi="Times New Roman"/>
                <w:sz w:val="25"/>
                <w:szCs w:val="25"/>
                <w:color w:val="auto"/>
                <w:vertAlign w:val="superscript"/>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1,974,570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26,825,430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Tuya Group Inc.</w:t>
            </w:r>
            <w:r>
              <w:rPr>
                <w:rFonts w:ascii="Times New Roman" w:cs="Times New Roman" w:eastAsia="Times New Roman" w:hAnsi="Times New Roman"/>
                <w:sz w:val="26"/>
                <w:szCs w:val="26"/>
                <w:color w:val="auto"/>
                <w:vertAlign w:val="superscript"/>
              </w:rPr>
              <w:t>(8)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1,427,050</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8,572,950</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issued and outstanding shares on an as-converted basis.</w:t>
      </w:r>
    </w:p>
    <w:p>
      <w:pPr>
        <w:spacing w:after="0" w:line="225" w:lineRule="exact"/>
        <w:rPr>
          <w:sz w:val="20"/>
          <w:szCs w:val="20"/>
          <w:color w:val="auto"/>
        </w:rPr>
      </w:pPr>
    </w:p>
    <w:p>
      <w:pPr>
        <w:ind w:left="340" w:right="200" w:hanging="332"/>
        <w:spacing w:after="0" w:line="258"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ordinary shares as a single class. Each Class A ordinary share shall be entitled to one vote on all matters subject to the vote at general meetings of our company, and each Class B ordinary share shall be entitled to ten (10) votes on all matters subject to the vote at general meetings of our company (except as required by applicable law, rules and regulations and in relation to certain reserved matters set out in our MAA).</w:t>
      </w:r>
    </w:p>
    <w:p>
      <w:pPr>
        <w:spacing w:after="0" w:line="183" w:lineRule="exact"/>
        <w:rPr>
          <w:sz w:val="20"/>
          <w:szCs w:val="20"/>
          <w:color w:val="auto"/>
        </w:rPr>
      </w:pPr>
    </w:p>
    <w:p>
      <w:pPr>
        <w:ind w:left="340" w:right="220" w:hanging="332"/>
        <w:spacing w:after="0" w:line="277" w:lineRule="auto"/>
        <w:tabs>
          <w:tab w:leader="none" w:pos="3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our directors and executive officers (except Sidney Xuande Huang, Changheng Qiu, Meng Xiong Kuok and Pak Tung Jason Yip) is Huace Center, Building A, 10/F, Xihu District, Hangzhou City Zhejiang, 310000, People’s Republic of China. The address of Sidney Xuande Huang is 80 Holland Park, London W11 3SG, United Kingdom. The address of Changheng Qiu is Shangshangting 8-2201, Tangping Road, Hangzhou, China. The address of Meng Xiong Kuok is 93 Grange Road, #07-08 Grange Residences, Singapore 249614. The address of Pak Tung Jason Yip is Flat 902, Block G, Kornhill, Quarry Bay, Hong Kong.</w:t>
      </w:r>
    </w:p>
    <w:p>
      <w:pPr>
        <w:spacing w:after="0" w:line="168" w:lineRule="exact"/>
        <w:rPr>
          <w:sz w:val="20"/>
          <w:szCs w:val="20"/>
          <w:color w:val="auto"/>
        </w:rPr>
      </w:pPr>
    </w:p>
    <w:p>
      <w:pPr>
        <w:ind w:left="340" w:right="260" w:hanging="332"/>
        <w:spacing w:after="0" w:line="255"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1,427,050 Class A ordinary shares and 8,572,950 Class B ordinary shares held of record by Tuya Group Inc., a business company with limited liability incorporated under the laws of BVI wholly owned by Xueji (Jerry) Wang, (ii) 68,793,080 Class A ordinary shares and 34,806,920 Class B ordinary shares held of record by Tenet Group Limited a British Virgin Islands company, and (iii) 5,100,000 Class A ordinary shares held of record by Xueji (Jerry) Wang. Tenet Group Limited is ultimately wholly owned by the trustee of a trust constituted under the laws of the Cayman Islands, of which the settlor is Mr. Wang and the beneficiaries are Mr. Wang and Tuya Group Inc. The registered address of each of Tuya Group Inc. and Tenet Group Limited is Craigmuir Chambers, Road Town, Tortola, VG 1110, British Virgin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22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1,974,570 Class A ordinary shares and 26,825,430 Class B ordinary shares held of record by Unileo Limited, a limited liability company incorporated under the laws of BVI wholly owned by Liaohan (Leo) Chen. The registered address of Unileo Limited is Craigmuir Chambers, Road Town, Tortola. VG 1110, British Virgin Islands.</w:t>
      </w:r>
    </w:p>
    <w:p>
      <w:pPr>
        <w:spacing w:after="0" w:line="175"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74,626,900 Class A ordinary shares held of record by Anchor V Pte. Ltd based on the Schedule 13G/A jointly filed by Anchor V Pte. Ltd and other 65 Equity Partners Entities with the SEC on December 4, 2024. Anchor V Pte. Ltd is wholly owned by Anchor @ 65 Pte. Ltd. which is in turn wholly owned by Anchor Fund @ 65 Limited Partnership through its general partner, Anchor GP Pte. Ltd. Anchor GP Pte. Ltd. is a wholly-owned subsidiary of 65EP Investment IV Pte. Ltd., which is in turn a wholly-owned subsidiary of 65EP Investments Pte. Ltd. Anchor GP Pte. Ltd. has appointed 65 Equity Partners Management (Singapore) Pte. Ltd. to serve as investment manager to each of Anchor Fund @ 65 Limited Partnership and Anchor @ 65 Pte. Ltd. 65 Equity Partners Management (Singapore) Pte. Ltd. is a wholly-owned subsidiary of 65 Equity Partners Management Pte. Ltd. Each of 65EP Investments Pte. Ltd. and 65 Equity Partners Management Pte. Ltd. is wholly owned by 65 Equity Partners Group Pte. Ltd., which is in turn wholly owned by 65 Equity Partners Pte. Ltd. 65 Equity Partners Pte. Ltd. is indirectly and ultimately owned by Temasek Holdings (Private) Limited. There are internal barriers and procedures in place between Temasek Holdings (Private) Limited and Anchor V Pte. Ltd and other 65 Equity Partners Entities such that voting and investment power over the shares held by Anchor V Pte. Ltd and other 65 Equity Partners Entities is exercised independently of Temasek Holdings (Private) Limited, and accordingly, beneficial ownership of the shares reported herein is not attributed to Temasek Holdings (Private) Limited. The registered address of 65 Equity Partners Entities is 501 Orchard Road, #11-01 Wheelock Place, Singapore. The information contained in this paragraph is based on the Schedule 13D filed by Anchor V Pte. Ltd. and certain other filers named therein on December 4, 2024.</w:t>
      </w:r>
    </w:p>
    <w:p>
      <w:pPr>
        <w:spacing w:after="0" w:line="195" w:lineRule="exact"/>
        <w:rPr>
          <w:rFonts w:ascii="Times New Roman" w:cs="Times New Roman" w:eastAsia="Times New Roman" w:hAnsi="Times New Roman"/>
          <w:sz w:val="18"/>
          <w:szCs w:val="18"/>
          <w:color w:val="auto"/>
        </w:rPr>
      </w:pPr>
    </w:p>
    <w:p>
      <w:pPr>
        <w:ind w:left="340" w:right="500" w:hanging="332"/>
        <w:spacing w:after="0" w:line="26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68,793,080 Class A ordinary shares and (ii) 34,806,920 Class B ordinary shares held of record by Tenet Group Limited, a limited liability company incorporated under the laws of BVI, which is wholly owned by Tenet Global Limited and ultimately controlled by Xueji (Jerry) Wang.</w:t>
      </w:r>
    </w:p>
    <w:p>
      <w:pPr>
        <w:spacing w:after="0" w:line="175"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55,924,749 Class A ordinary shares held of record by Tencent Mobility Limited, and (ii) 2,375,000 Class A ordinary shares represented by ADSs held of record by Image Frame Investment (HK) Limited, based on the Schedule 13G/A jointly filed by Tencent Mobility Limited and Image Frame Investment (HK) Limited, among others, with the SEC on March 29, 2021. Both Tencent Mobility Limited and Image Frame Investment (HK) Limited are incorporated in Hong Kong and wholly owned subsidiaries of Tencent. The registered address of Tencent Mobility Limited is Three Pacific Place, 1 Queen’s Road East, Wanchai, Hong Kong. Tencent Mobility Limited is wholly owned by Tencent Holdings Limited, a company listed on the Hong Kong Stock Exchange (Stock code: 00700).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hanging="332"/>
        <w:spacing w:after="0" w:line="267" w:lineRule="auto"/>
        <w:tabs>
          <w:tab w:leader="none" w:pos="3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35,821,715 Class A ordinary shares (the “NEA 14 Shares”) held of record by New Enterprise Associates 14, L.P. (“NEA 14”) and 3,636,018 Class A ordinary shares (the “NEF 15-OF Shares”) held of record by NEA 15 Opportunity Fund L.P. (“NEA 15-OF”), as of December 31, 2024, based on the Schedule 13G/A jointly filed by NEA 14 and NEA 15-OF, among others, with the SEC on February 14, 2025. As the sole general partner of NEA 14, NEA Partners 14, L.P. (“NEA Partners 14”) may be deemed to own beneficially the NEA 14 Shares. As the sole general partner of NEA Partners 14, NEA 14 GP, LTD (“NEA 14 GP”) likewise may be deemed to own beneficially the NEA 14 Shares. As the individual directors of NEA 14 GP, each of the Dual Managers (as defined below) and Patrick J. Kerins also may be deemed to own beneficially the NEA 14 Shares. As an individual member of the Executive Committee (defined below) of NEA Management Company, LLC, which committee has been delegated certain approval rights with respect to dispositions of the NEA 14 Shares, Mohamad H. Makhzoumi may also be deemed to own beneficially the NEA 14 Shares. As the sole general partner of NEA 15-OF, NEA Partners 15-OF, L.P. (“NEA Partners 15-OF”) may be deemed to own beneficially the NEA 15-OF Shares. As the sole general partner of NEA Partners 15-OF, NEA 15 GP, LLC (“NEA 15 GP”) likewise may be deemed to own beneficially the NEA 15-OF Shares. As the individual managers of NEA 15 GP, each of the Dual Managers (defined below) and Mohamad H. Makhzoumi also may be deemed to own beneficially the NEA 15-OF Shares. NEA Partners 15-OF and NEA Partners 14 are collectively referred to as “GPLPs.” NEA 15 GP, GPLPs and NEA 14 GP are collectively referred to as the “Control Entities.” Each of Forest Baskett, Anthony A. Florence, Jr. and Scott D. Sandell (a former director of us) is a director of NEA 14 GP and manager of NEA 15 GP (the “Dual Managers”). Patrick J. Kerins is a director of NEA 14 GP. Anthony A. Florence, Mohamad H. Makhzoumi and Scott D. Sandell are each a member of the Executive Committee of NEA Management Company, LLC (the “Executive Committee”). By virtue of their relationship as affiliated entities, whose controlling entities have substantially overlapping individual controlling persons, each of NEA 14, NEA 15-OF, the Control Entities and the Dual Managers may be deemed to share the power to direct the disposition and vote of the NEA 14 Shares and NEF 15-OF Shares. The address of the principal business office for the above referenced NEA entities is 1954 Greenspring Drive, Suite 600, Timonium, MD 21093.</w:t>
      </w:r>
    </w:p>
    <w:p>
      <w:pPr>
        <w:spacing w:after="0" w:line="200" w:lineRule="exact"/>
        <w:rPr>
          <w:rFonts w:ascii="Times New Roman" w:cs="Times New Roman" w:eastAsia="Times New Roman" w:hAnsi="Times New Roman"/>
          <w:sz w:val="17"/>
          <w:szCs w:val="17"/>
          <w:color w:val="auto"/>
        </w:rPr>
      </w:pPr>
    </w:p>
    <w:p>
      <w:pPr>
        <w:spacing w:after="0" w:line="202"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1,974,570 Class A ordinary shares and 26,825,430 Class B ordinary shares held of record by Unileo Limited. Unileo</w:t>
      </w:r>
    </w:p>
    <w:p>
      <w:pPr>
        <w:spacing w:after="0" w:line="27" w:lineRule="exact"/>
        <w:rPr>
          <w:sz w:val="20"/>
          <w:szCs w:val="20"/>
          <w:color w:val="auto"/>
        </w:rPr>
      </w:pPr>
    </w:p>
    <w:p>
      <w:pPr>
        <w:ind w:left="340"/>
        <w:spacing w:after="0"/>
        <w:tabs>
          <w:tab w:leader="none" w:pos="1280" w:val="left"/>
        </w:tabs>
        <w:rPr>
          <w:sz w:val="20"/>
          <w:szCs w:val="20"/>
          <w:color w:val="auto"/>
        </w:rPr>
      </w:pPr>
      <w:r>
        <w:rPr>
          <w:rFonts w:ascii="Times New Roman" w:cs="Times New Roman" w:eastAsia="Times New Roman" w:hAnsi="Times New Roman"/>
          <w:sz w:val="18"/>
          <w:szCs w:val="18"/>
          <w:color w:val="auto"/>
        </w:rPr>
        <w:t>Limited</w:t>
      </w:r>
      <w:r>
        <w:rPr>
          <w:sz w:val="20"/>
          <w:szCs w:val="20"/>
          <w:color w:val="auto"/>
        </w:rPr>
        <w:tab/>
      </w:r>
      <w:r>
        <w:rPr>
          <w:rFonts w:ascii="Times New Roman" w:cs="Times New Roman" w:eastAsia="Times New Roman" w:hAnsi="Times New Roman"/>
          <w:sz w:val="18"/>
          <w:szCs w:val="18"/>
          <w:color w:val="auto"/>
        </w:rPr>
        <w:t>is wholly owned by Liaohan (Leo) Chen.</w:t>
      </w:r>
    </w:p>
    <w:p>
      <w:pPr>
        <w:spacing w:after="0" w:line="207" w:lineRule="exact"/>
        <w:rPr>
          <w:sz w:val="20"/>
          <w:szCs w:val="20"/>
          <w:color w:val="auto"/>
        </w:rPr>
      </w:pPr>
    </w:p>
    <w:p>
      <w:pPr>
        <w:ind w:left="340" w:right="12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1,427,050 Class A ordinary shares and 8,572,950 Class B ordinary shares held of record by Tuya Group Inc., a business company with limited liability incorporated under the laws of BVI wholly owned by Xueji (Jerry) Wang.</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 our knowledge, as of April 15, 2025, a total of 63,776,857 Class A ordinary shares outstanding were held by two record holders in the United States, representing 10.5% of our total issued and outstanding ordinary shares on an as-converted basis as of such date. The number of beneficial owners of the ADSs in the United States is likely to be much larger than the number of record holders of our ordinary shares in the United States.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6.F.</w:t>
      </w:r>
      <w:r>
        <w:rPr>
          <w:sz w:val="20"/>
          <w:szCs w:val="20"/>
          <w:color w:val="auto"/>
        </w:rPr>
        <w:tab/>
      </w:r>
      <w:r>
        <w:rPr>
          <w:rFonts w:ascii="Times New Roman" w:cs="Times New Roman" w:eastAsia="Times New Roman" w:hAnsi="Times New Roman"/>
          <w:sz w:val="17"/>
          <w:szCs w:val="17"/>
          <w:b w:val="1"/>
          <w:bCs w:val="1"/>
          <w:color w:val="auto"/>
        </w:rPr>
        <w:t>Disclosure of a Registrant’s Action to Recover Erroneously Awarded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320"/>
        <w:spacing w:after="0" w:line="503"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ind w:left="34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Employees—6.E. Share Ownership.”</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See “Item 4. Information on the Company—4.C. Organizational Structure—Contractual Arrangements with The VIE and The VIE’s Registered Shareholders” for a description of the contractual arrangements by and among our PRC subsidiary, the VIE and the shareholders of the VIE.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Compensation—Share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all provisions and rights under our shareholders agreement dated September 11, 2019 have been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Material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material related party transactions during year ended December 31,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7.C.</w:t>
      </w:r>
      <w:r>
        <w:rPr>
          <w:sz w:val="20"/>
          <w:szCs w:val="20"/>
          <w:color w:val="auto"/>
        </w:rPr>
        <w:tab/>
      </w:r>
      <w:r>
        <w:rPr>
          <w:rFonts w:ascii="Times New Roman" w:cs="Times New Roman" w:eastAsia="Times New Roman" w:hAnsi="Times New Roman"/>
          <w:sz w:val="17"/>
          <w:szCs w:val="17"/>
          <w:b w:val="1"/>
          <w:b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8.A.</w:t>
      </w:r>
      <w:r>
        <w:rPr>
          <w:sz w:val="20"/>
          <w:szCs w:val="20"/>
          <w:color w:val="auto"/>
        </w:rPr>
        <w:tab/>
      </w:r>
      <w:r>
        <w:rPr>
          <w:rFonts w:ascii="Times New Roman" w:cs="Times New Roman" w:eastAsia="Times New Roman" w:hAnsi="Times New Roman"/>
          <w:sz w:val="17"/>
          <w:szCs w:val="17"/>
          <w:b w:val="1"/>
          <w:bCs w:val="1"/>
          <w:color w:val="auto"/>
        </w:rPr>
        <w:t>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claims and legal actions that arise in the ordinary course of our business. Other than the following proceedings, we are not a party to, and are not aware of any threat of, any legal or arbitral proceeding, which, in our opinion, would likely have a material and adverse effect on our business, financial condition or results of operations.</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August 2022, we and certain of our current and former directors and officers and our underwriters in our initial public offering in the United States were named as defendants in a putative securities class action filed in the U.S. District Court for the Southern District of New York. An amended complaint in this class action was filed in March 2023. The action, purportedly brought on behalf of a class of persons or entities who purchased ADSs in or traceable to our initial public offering in the United States, alleges that our registration statement on Form F-1 in connection with our March 2021 initial public offering contains materially misleading statements and omissions in violation of the U.S. federal securities laws. Pursuant to a scheduling order entered in January 2023, we filed a motion to dismiss the action in May 2023. On March 5, 2024, the court entered an order granting our motion to dismiss in part and denying it in part. We filed a second motion to dismiss the action on April 25, 2024 under Federal Rule of Civil Procedure 12(c). On March 7, 2025, the court granted our motion for judgment on the pleadings, concluding that the plaintiffs failed to identify any false or misleading statements in our registration statement. The court granted leave for the plaintiffs to amend their complaint by March 28, 2025. The plaintiffs did not serve an amended complaint prior to that deadline. On March 31, 2025, the court entered judgment in favor of us and all other defendants, dismissing all claims asserted in the action with prejudice. For risks and uncertainties relating to pending cases against us, see “Item 3. Key Information—3.D. Risk Factors—Risks Related to Our Business— We and certain of our current and former directors and officers were named as defendants in a putative shareholder class action lawsuit, and may, from time to time, be the subject of shareholder class action lawsuits, which could have a material adverse impact on our business, financial condition, results of operations, cash flows and reputation.”</w:t>
      </w:r>
    </w:p>
    <w:p>
      <w:pPr>
        <w:spacing w:after="0" w:line="19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Defending ourselves in legal and regulatory proceedings is costly and can impose a significant burden on our directors, management and employees. The results of any current or future litigation cannot be predicted with certainty, and regardless of the outcome, litigation can have an adverse impact on us because of defense and settlement costs, diversion of management resources, and other factors. See “Item 3. Key Information—3.D. Risk Factors—Risks Related to Our Business and Industry—We may be subject to legal proceedings in the ordinary course of our business. If the outcomes of these proceedings are adverse to us, they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Payment History</w:t>
      </w:r>
    </w:p>
    <w:p>
      <w:pPr>
        <w:spacing w:after="0" w:line="229"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In 2024, we achieved significant financial milestones by reaching non-GAAP operating profitability and GAAP profitability, and we viewed this as the appropriate time to begin paying dividends as a way to reward the long-term support of our shareholders and investors.</w:t>
      </w:r>
    </w:p>
    <w:p>
      <w:pPr>
        <w:spacing w:after="0" w:line="140"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On August 26, 2024, our Board approved the declaration and distribution of a dividend of US$0.0589 per ordinary share, or US$0.0589 per ADS, to such holders as at the close of business on September 11, 2024, Hong Kong Time and New York Time, respectively. The aggregate amount of the dividend was approximately US$33 million, which was paid in U.S. dollars and in cash, and was funded by surplus cash and paid out from our share premium account. On February 26, 2025, our Board approved the declaration and distribution of a dividend of US$0.0608 per ordinary share, or US$0.0608 per ADS, to such holders as at the close of business on March 13, 2025, Hong Kong Time and New York Time, respectively. The aggregate amount of the dividend was approximately US$37 million, which was paid in U.S. dollars and in cash, and was funded by surplus cash and paid out from our share premium account. We currently do not have any plan to require our PRC subsidiaries to distribute their retained earnings and intend to retain them to operate and expand our business in the PRC.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Tuya Inc. is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 Relating to Foreign Exchange” and “Item 3. Key Information—3.D. Risk Factors—Risk Related to Doing Business in China— Governmental control of currency conversion may limit our ability to utilize our revenues effectively and affect the value of your investment.”</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adopted a policy on payment of dividends which however does not mandate our declaration of regular cash dividends, and investors should not rely on an investment in our ADSs or Class A ordinary shares as a source for any future dividend income. 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When we consider the payment of dividends, we take into account various elements including but not limited to the earnings, cash flow, financial conditions, capital requirements, our statutory fund reserve requirements and any other conditions that our board of directors may deem relevant. See “Item 12. Description of Securities Other Than Equity Securities—12.D. American Depositary Shares.”</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8.B.</w:t>
      </w:r>
      <w:r>
        <w:rPr>
          <w:sz w:val="20"/>
          <w:szCs w:val="20"/>
          <w:color w:val="auto"/>
        </w:rPr>
        <w:tab/>
      </w: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experienced any significant changes since the date of the annual financial statements included herein.</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tab/>
        <w:t>THE OFFER AND LISTING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9.A.</w:t>
      </w:r>
      <w:r>
        <w:rPr>
          <w:sz w:val="20"/>
          <w:szCs w:val="20"/>
          <w:color w:val="auto"/>
        </w:rPr>
        <w:tab/>
      </w:r>
      <w:r>
        <w:rPr>
          <w:rFonts w:ascii="Times New Roman" w:cs="Times New Roman" w:eastAsia="Times New Roman" w:hAnsi="Times New Roman"/>
          <w:sz w:val="18"/>
          <w:szCs w:val="18"/>
          <w:b w:val="1"/>
          <w:bCs w:val="1"/>
          <w:color w:val="auto"/>
        </w:rPr>
        <w:t>Offering and Listing Details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NYSE since March 18, 2021 under the symbol “TUYA.” Each ADS represents one Class A ordinary share, par value US$0.00005 per share.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July 5, 2022 under the stock code “2391.”</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9.C.</w:t>
      </w:r>
      <w:r>
        <w:rPr>
          <w:sz w:val="20"/>
          <w:szCs w:val="20"/>
          <w:color w:val="auto"/>
        </w:rPr>
        <w:tab/>
      </w:r>
      <w:r>
        <w:rPr>
          <w:rFonts w:ascii="Times New Roman" w:cs="Times New Roman" w:eastAsia="Times New Roman" w:hAnsi="Times New Roman"/>
          <w:sz w:val="17"/>
          <w:szCs w:val="17"/>
          <w:b w:val="1"/>
          <w:bCs w:val="1"/>
          <w:color w:val="auto"/>
        </w:rPr>
        <w:t>Markets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ADSs representing our Class A ordinary shares have been listed on the NYSE since March 18, 2021 under the symbol “TUYA.”</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July 5, 2022 under the stock code “2391.”</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9.D.</w:t>
      </w:r>
      <w:r>
        <w:rPr>
          <w:sz w:val="20"/>
          <w:szCs w:val="20"/>
          <w:color w:val="auto"/>
        </w:rPr>
        <w:tab/>
      </w:r>
      <w:r>
        <w:rPr>
          <w:rFonts w:ascii="Times New Roman" w:cs="Times New Roman" w:eastAsia="Times New Roman" w:hAnsi="Times New Roman"/>
          <w:sz w:val="17"/>
          <w:szCs w:val="17"/>
          <w:b w:val="1"/>
          <w:bCs w:val="1"/>
          <w:color w:val="auto"/>
        </w:rPr>
        <w:t>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9.F.</w:t>
      </w:r>
      <w:r>
        <w:rPr>
          <w:sz w:val="20"/>
          <w:szCs w:val="20"/>
          <w:color w:val="auto"/>
        </w:rPr>
        <w:tab/>
      </w:r>
      <w:r>
        <w:rPr>
          <w:rFonts w:ascii="Times New Roman" w:cs="Times New Roman" w:eastAsia="Times New Roman" w:hAnsi="Times New Roman"/>
          <w:sz w:val="17"/>
          <w:szCs w:val="17"/>
          <w:b w:val="1"/>
          <w:bCs w:val="1"/>
          <w:color w:val="auto"/>
        </w:rPr>
        <w:t>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29" w:lineRule="exact"/>
        <w:rPr>
          <w:sz w:val="20"/>
          <w:szCs w:val="20"/>
          <w:color w:val="auto"/>
        </w:rPr>
      </w:pPr>
    </w:p>
    <w:p>
      <w:pPr>
        <w:ind w:right="480" w:firstLine="324"/>
        <w:spacing w:after="0" w:line="312" w:lineRule="auto"/>
        <w:rPr>
          <w:sz w:val="20"/>
          <w:szCs w:val="20"/>
          <w:color w:val="auto"/>
        </w:rPr>
      </w:pPr>
      <w:r>
        <w:rPr>
          <w:rFonts w:ascii="Times New Roman" w:cs="Times New Roman" w:eastAsia="Times New Roman" w:hAnsi="Times New Roman"/>
          <w:sz w:val="17"/>
          <w:szCs w:val="17"/>
          <w:color w:val="auto"/>
        </w:rPr>
        <w:t>We are a Cayman Islands exempted company and our affairs are governed by our memorandum and articles of association, as amended and restated from time to time, the Companies Act of the Cayman Islands, and the common law of the Cayman Islands.</w:t>
      </w:r>
    </w:p>
    <w:p>
      <w:pPr>
        <w:spacing w:after="0" w:line="140" w:lineRule="exact"/>
        <w:rPr>
          <w:sz w:val="20"/>
          <w:szCs w:val="20"/>
          <w:color w:val="auto"/>
        </w:rPr>
      </w:pPr>
    </w:p>
    <w:p>
      <w:pPr>
        <w:ind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our amended and restated memorandum and articles of association, or MAA, the form of which was filed as </w:t>
      </w:r>
      <w:hyperlink r:id="rId185">
        <w:r>
          <w:rPr>
            <w:rFonts w:ascii="Times New Roman" w:cs="Times New Roman" w:eastAsia="Times New Roman" w:hAnsi="Times New Roman"/>
            <w:sz w:val="18"/>
            <w:szCs w:val="18"/>
            <w:u w:val="single" w:color="auto"/>
            <w:color w:val="0000EE"/>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Form 6-K (File No. 001-40210) filed with the Securities and Exchange Commission on November 2, 2022. Our board of directors adopted our MAA by a special resolution on November 1, 2022, which became effective on November 1, 2022.</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MAA and the Companies Act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registered office in the Cayman Islands is located at Maples Corporate Services Limited, PO Box 309, Ugland House, Grand Cayman, KY1-1104, Cayman Islands.</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According to Clause 3 of our MAA, the objects for which we are established are unrestricted and we have full power and authority to carry out any object not prohibited by the Companies Act (As Revised) or as the same may be revised from time to time, or any other law of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jc w:val="both"/>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All of our issued and outstanding ordinary shares are fully paid and non-assessable. Our ordinary shares are issued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form and are issued when registered in our register of members. We may not issue share to bearer. Our shareholders who are non-residents of the Cayman Islands may freely hold and transfer their ordinary shares.</w:t>
      </w:r>
    </w:p>
    <w:p>
      <w:pPr>
        <w:spacing w:after="0" w:line="171"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MAA and the Companies Act. Our MAA provides that dividends may be declared and paid out of our profits, realized or unrealized. Dividends may also be declared and paid out of share premium account or as otherwise permitted by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79"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Classes of Ordinary Shares</w:t>
      </w:r>
      <w:r>
        <w:rPr>
          <w:rFonts w:ascii="Times New Roman" w:cs="Times New Roman" w:eastAsia="Times New Roman" w:hAnsi="Times New Roman"/>
          <w:sz w:val="18"/>
          <w:szCs w:val="18"/>
          <w:color w:val="auto"/>
        </w:rPr>
        <w:t>. Our ordinary shares are divided into Class A ordinary shares and Class B ordinary shares. Except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conversion rights and voting rights, the Class A ordinary shares and Class B ordinary shares shall carry equal rights and rank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with one another, including but not limited to the rights to dividends and other capital distributions.</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80" w:firstLine="32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color w:val="auto"/>
        </w:rPr>
        <w:t>. Subject to applicable laws and stock exchange rules, each Class B ordinary share shall be automatically converted into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Class A ordinary share upon the occurrence of any of the following events: (i) the death of the holder of such Class B ordinary share (or, where the holder is a Director Holding Vehicle (as defined in the MAA), the death of Mr. Xueji (Jerry) Wang or Mr. Liaohan (Leo)</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Chen who holds and controls such Director Holding Vehicle); (ii) the holder of such Class B ordinary share ceasing to be a director or a Director Holding Vehicle for any reason; (iii) the holder of such Class B ordinary share (or, where the holder is a Director Holding Vehicle, Mr. Xueji (Jerry) Wang or Mr. Liaohan (Leo) Chen who holds and controls such Director Holding Vehicle) being deemed by the Hong Kong Stock Exchange to be incapacitated for the purpose of performing his duties as a director; (iv) the holder of such Class B ordinary share (or, where the holder is a Director Holding Vehicle, Mr. Xueji (Jerry) Wang or Mr. Liaohan (Leo) Chen who holds and controls such Director Holding Vehicle) being deemed by the Hong Kong Stock Exchange to no longer meet the requirements of a director set out in the Hong Kong Listing Rules; or (v) any direct or indirect sale, transfer, assignment, or disposition of the beneficial ownership of, or economic interest in, such Class B ordinary share or the control over the voting rights attached to such Class B ordinary share through voting proxy or otherwise from Mr. Xueji (Jerry) Wang, Mr. Liaohan (Leo) Chen or a Director Holding Vehicle to any person, including by reason that a Director Holding Vehicle no longer complies with Rule 8A.18(2) of the Hong Kong Listing Rules (in which case our company and Mr. Xueji (Jerry) Wang, Mr. Liaohan (Leo) Chen or such Director Holding Vehicle must notify the Hong Kong Stock Exchange as soon as practicable with details of the non-compliance), other than a transfer of the legal title to such Class B ordinary share by Mr. Xueji (Jerry) Wang or Mr. Liaohan (Leo) Chen to a Director Holding Vehicle wholly owned and wholly controlled by him, or by a Director Holding Vehicle to Mr. Xueji (Jerry) Wang or Mr. Liaohan (Leo) Chen who holds and controls it or another Director Holding Vehicle wholly owned and wholly controlled by Mr. Xueji (Jerry) Wang or Mr. Liaohan (Leo) Chen. For the avoidance of doubt, (i) a sale, transfer, assignment or disposition shall be effective upon our registration of such sale, transfer, assignment or disposition in the register of members; (ii) the creation of any pledge, charge, encumbrance or other third-party right of whatever description on any Class B ordinary shares to secure any contractual or legal obligations shall not be deemed as a sale, transfer, assignment or disposition unless and until any such pledge, charge, encumbrance or other third-party right is enforced and results in the third party that is not Mr. Xueji (Jerry) Wang, Mr. Liaohan (Leo) Chen or the Director Holding Vehicle wholly owned and wholly controlled by Mr. Xueji (Jerry) Wang or Mr. Liaohan (Leo) Chen becoming a beneficial owner of the relevant Class B ordinary shares, in which case all the related Class B ordinary shares shall be automatically and immediately converted into the same number of Class A ordinary shares, and (iii) in the event that Mr. Liaohan (Leo) Chen ceases to be a director or an executive officer or employee of our company, any and all of the Class B ordinary shares beneficially owned or controlled by Mr. Liaohan (Leo) Chen and any Affiliate of Mr. Liaohan (Leo) Chen shall be automatically and immediately converted into an equal number of Class A ordinary shares. For the purpose of the foregoing sentence, an “affiliate” of a given shareholder means any other person that, directly or indirectly, controls, is controlled by or is under common control with such person, and for the purposes of the foregoing definition of “affiliate,” “control” means, in relation to any person, the power or authority, whether exercised or not, to direct the business, management and policies of such person, directly or indirectly, whether through the ownership of voting securities, by contract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power or authority shall conclusively be presumed to exist upon possession of beneficial ownership or power to direct the vote of more than 50% of the votes entitled to be cast at a meeting of the members or shareholders of such person or power to control the composition of a majority of the board of directors of such person.</w:t>
      </w:r>
    </w:p>
    <w:p>
      <w:pPr>
        <w:spacing w:after="0" w:line="16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In respect of all matters subject to a shareholders’ vote, unless otherwise provided by the MAA, holders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and Class B ordinary shares shall, at all times, vote together as one class on all matters submitted to a vote by the members. Each Class A ordinary share shall be entitled to one vote on all matters subject to the vote at general meetings of our company, and each Class B ordinary share shall be entitled to ten (10) votes on all matters subject to the vote at general meetings of our company (except as required by applicable law, rules and regulations and in relation to certain reserved matters set out in our MAA). Voting at any meeting of shareholders shall be determined by poll and not on a show of hands, save that the chairman of the meeting may, in good faith, allow a resolution which relates purely to a procedural or administrative matter as prescribed under the Hong Kong Listing Rules to be voted on by a show of hands.</w:t>
      </w:r>
    </w:p>
    <w:p>
      <w:pPr>
        <w:spacing w:after="0" w:line="16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all votes, calculated on a fully converted basis, cast by those shareholders entitled to vote who are present in person or by proxy at a general meeting, while a special resolution requires the affirmative vote of not less than three-fourths (3/4) of all votes, calculated on a fully converted basis, cast by those shareholders entitled to vote who are present in person or by proxy at a general meeting. Subject to the provisions of the Companies Act and our MAA, a special resolution will be required for important matters such as a change of name or making changes to our MAA.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Meetings of Shareholders. </w:t>
      </w:r>
      <w:r>
        <w:rPr>
          <w:rFonts w:ascii="Times New Roman" w:cs="Times New Roman" w:eastAsia="Times New Roman" w:hAnsi="Times New Roman"/>
          <w:sz w:val="18"/>
          <w:szCs w:val="18"/>
          <w:color w:val="auto"/>
        </w:rPr>
        <w:t>Save as otherwise stated in the MAA, a quorum required for a meeting of shareholders consists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holding 10% of all votes attaching to the issued shares and entitled to vote at general meetings present (on a one vote per share basis). Our MAA provides that we shall hold a general meeting as our annual general meeting in each financial year within a period of not more than six months after the end of our financial year (or such longer period as the Hong Kong Stock Exchange may authorize). We will specify an annual general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one-tenth (1/10) of the paid-up capital of our company, on a one vote per share basis, that as at the date of the deposit carry the right to vote at general meetings, in which case the directors are obliged to call such meeting and to put the resolutions so requisitioned to a vote at such meeting; however, our MAA does not provide our shareholders with any right to put any proposals before annual general meetings or extraordinary general meetings not called by such shareholders. Advance notice of not less than twenty-one (21) days’ notice and fourteen (14) days’ notice in writing is required for the convening of our annual general meeting and other general meetings, respectively.</w:t>
      </w:r>
    </w:p>
    <w:p>
      <w:pPr>
        <w:spacing w:after="0" w:line="145" w:lineRule="exact"/>
        <w:rPr>
          <w:sz w:val="20"/>
          <w:szCs w:val="20"/>
          <w:color w:val="auto"/>
        </w:rPr>
      </w:pPr>
    </w:p>
    <w:p>
      <w:pPr>
        <w:jc w:val="both"/>
        <w:ind w:right="2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r>
        <w:rPr>
          <w:rFonts w:ascii="Times New Roman" w:cs="Times New Roman" w:eastAsia="Times New Roman" w:hAnsi="Times New Roman"/>
          <w:sz w:val="18"/>
          <w:szCs w:val="18"/>
          <w:color w:val="auto"/>
        </w:rPr>
        <w:t>. Subject to the restrictions in our MAA as set out below, any of our shareholders may transfer all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of his or her ordinary shares by an instrument of transfer in the usual or common form, or in a form prescribed by the designated stock exchange, or any other form approved by our board of directors.</w:t>
      </w:r>
    </w:p>
    <w:p>
      <w:pPr>
        <w:spacing w:after="0" w:line="14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21" w:lineRule="exact"/>
        <w:rPr>
          <w:sz w:val="20"/>
          <w:szCs w:val="20"/>
          <w:color w:val="auto"/>
        </w:rPr>
      </w:pPr>
    </w:p>
    <w:p>
      <w:pPr>
        <w:ind w:left="680" w:right="18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 ;</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84"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21"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NYSE may determine to be payable or such lesser sum as our directors may from time to time require is paid to us in respect thereof.</w:t>
      </w:r>
    </w:p>
    <w:p>
      <w:pPr>
        <w:spacing w:after="0" w:line="13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calendar months after the date on which the instrument of transfer was lodged, send to each of the transferor and the transferee notice of such refusal.</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rules of the designated stock exchange,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more than 30 calendar days in any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w:t>
      </w:r>
    </w:p>
    <w:p>
      <w:pPr>
        <w:spacing w:after="0" w:line="13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 our shareholders shall be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sufficient to repay the whole of the share capital at the commencement of the winding up, the surplus shall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55"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r>
        <w:rPr>
          <w:rFonts w:ascii="Times New Roman" w:cs="Times New Roman" w:eastAsia="Times New Roman" w:hAnsi="Times New Roman"/>
          <w:sz w:val="18"/>
          <w:szCs w:val="18"/>
          <w:color w:val="auto"/>
        </w:rPr>
        <w:t>. Our board of directors may from time to time make calls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for any amounts unpaid on their ordinary shares in a notice served to such shareholders at least 14 clear days prior to the specified time of payment. The ordinary shares that have been called upon and remain unpaid are subject to forfeiture.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Ordinary Shares</w:t>
      </w:r>
      <w:r>
        <w:rPr>
          <w:rFonts w:ascii="Times New Roman" w:cs="Times New Roman" w:eastAsia="Times New Roman" w:hAnsi="Times New Roman"/>
          <w:sz w:val="18"/>
          <w:szCs w:val="18"/>
          <w:color w:val="auto"/>
        </w:rPr>
        <w:t>. Subject to the provision of our MAA, we may issue shares on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such shares are subject to 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MAA, provided always that any such purchase shall only be made in accordance with any relevant code, rules or regulations issued by the Hong Kong Stock Exchange or the Securities and Futures Commission of Hong Kong from time to time in force.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9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Subject to the provision of our MAA, if at any time the share capital of our company is divided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different classes, the rights attached to any class (unless otherwise provided by the terms of issue of the shares of that class) may, whether or not our company is being wound up, be varied with the consent in writing of the holders of not less than three-fourths (3/4) in the nominal value of the issued shares of that class, or with the sanction of a special resolution passed at a separate meeting of the holders of the shares of that class by members holding shares representing three-fourths (3/4) in nominal value of the issued shares of that class present and voting at such meeting. The rights conferred upon the holders of the shares of any class issued shall not, subject to any rights or restrictions for the time being attached to the shares of that class, be deemed to be materially adversely varied or abrogated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w:t>
      </w:r>
    </w:p>
    <w:p>
      <w:pPr>
        <w:spacing w:after="0" w:line="18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Holders of our ordinary shares have no general right under Cayman Islands law to inspect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(other than the memorandum and articles of association, the register of mortgages and charges, and copies of any special resolutions passed by our shareholders). However, we will provide our shareholders with annual audited financial statements. Any register held in Hong Kong shall during normal business hours (subject to such reasonable restrictions as the board of directors may impose) be open for inspection by a shareholder without charge and such other person on payment of a fee of such amount not exceeding the maximum amount as may from time to time be permitted under the Hong Kong Listing Rules as the board of directors may determine for each inspection, provided that our company may be permitted to close the register in terms equivalent to section 632 of the Hong Kong Companies Ordinance.</w:t>
      </w:r>
    </w:p>
    <w:p>
      <w:pPr>
        <w:spacing w:after="0" w:line="185"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r>
        <w:rPr>
          <w:rFonts w:ascii="Times New Roman" w:cs="Times New Roman" w:eastAsia="Times New Roman" w:hAnsi="Times New Roman"/>
          <w:sz w:val="18"/>
          <w:szCs w:val="18"/>
          <w:color w:val="auto"/>
        </w:rPr>
        <w:t>. Our MAA authorizes our board of directors to issue additional ordinary shares from time to time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of directors shall determine, to the extent of available authorized but unissued shares.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conditions set forth in the MAA, compliance with the Hong Kong Listing Rules (and only to such extent permitted thereby), the Codes on Takeovers and Mergers and any applicable rules and regulations of authorities of places where the securities of our company are listed, and on the conditions that (i) no new class of shares with voting rights superior to those of Class A ordinary shares will be created and (ii) any variation in the relative rights as between the different classes will not result in creating a new class of shares with voting rights superior to those of Class A ordinary shares, the board of directors is authorized to establish from time to time one or more series of preferred shares and to determine, with respect to any series of preferred shares, the terms and rights of that series, including:</w:t>
      </w:r>
    </w:p>
    <w:p>
      <w:pPr>
        <w:spacing w:after="0" w:line="189" w:lineRule="exact"/>
        <w:rPr>
          <w:sz w:val="20"/>
          <w:szCs w:val="20"/>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color w:val="auto"/>
        </w:rPr>
        <w:t>. Some provisions of our MAA may discourage, delay or prevent a change of control of our company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and limit the ability of shareholders to requisition and convene general meetings of shareholders.</w:t>
      </w:r>
    </w:p>
    <w:p>
      <w:pPr>
        <w:spacing w:after="0" w:line="18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MAA for a proper purpose and for what they believe in good faith to be in the best interests of our company.</w:t>
      </w:r>
    </w:p>
    <w:p>
      <w:pPr>
        <w:spacing w:after="0" w:line="158"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 The Companies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given for up to 30 years);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between the Law of Different Jurisdictions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92" w:lineRule="exact"/>
        <w:rPr>
          <w:sz w:val="20"/>
          <w:szCs w:val="20"/>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which permit a minority shareholder to commence a class action against or derivative actions in the name of the company to challenge actions where:</w:t>
      </w:r>
    </w:p>
    <w:p>
      <w:pPr>
        <w:spacing w:after="0" w:line="183" w:lineRule="exact"/>
        <w:rPr>
          <w:sz w:val="20"/>
          <w:szCs w:val="20"/>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MAA provide that we shall indemnify our officers and directors and any trustee against all actions, proceedings, costs, charges, losses, damages and expenses that they or any of them shall or may incur or sustain by reason of any act done or omitted in or about the execution of their duty in their respective offices or trusts, except such (if any) as they shall incur or sustain by or through their own fraud or dishonesty, and no such director or officer or trustee shall be answerable for the acts, receipts, neglects or defaults of any other director or officer or trustee or for joining in any receipt for the sake of conformity or for the solvency or honesty of any banker or other persons with whom any monies or effects belonging to us may be lodged or deposited for safe custody or for any insufficiency of any security upon which any of our monies may be invested or for any other loss or damage due to any such cause as aforesaid or which may happen in or about the execution of his or her office or trust unless the same shall happen through the fraud or dishonesty of such director or officer or trustee. This standard of conduct is generally the same as permitted under the Delaware General Corporation Law for a Delaware corporation.</w:t>
      </w:r>
    </w:p>
    <w:p>
      <w:pPr>
        <w:spacing w:after="0" w:line="18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MAA, and maintain director and officer insurance. We currently also insure our directors and officers through a directors and officers insurance policy.</w:t>
      </w:r>
    </w:p>
    <w:p>
      <w:pPr>
        <w:spacing w:after="0" w:line="17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a matter of Cayman Islands law, a director of a Cayman Islands company is in the position of a fiduciary with respect to the company and therefore it is considered that he owes the following duties to the company: a duty to act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courts have moved towards an objective standard with regard to the required skill and care and these authorities are likely to be followed in the Cayman Islands.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229"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The Companies Act and our MAA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MAA allow our shareholders holding, on the date of deposit of the requisition in aggregate, not less than one-tenth (1/10) of the paid-up capital of our company, on a one vote per share basis, that as at the date of the deposit carry the right to vote at general meetings of our company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MAA do not provide for cumulative voting. As a result, our shareholders are not afforded any less protections or rights on this issue than shareholders of a Delaware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MAA, directors may be removed with or without cause, by an ordinary resolution of our shareholders. A director shall hold office until the expiration of his or her term or his or her successor shall have been elected and qualified, or until his or her office is otherwise vacated. A director (including a managing or other executive directors) may be removed (with or without cause) from office at any time by ordinary resolution of our company before the expiration of his or her term of office, or the affirmative vote of a simple majority of the other directors present and voting at a board meeting, provided that in the event that the chairman is to be removed by the affirmative vote of a simple majority of the other directors present and voting at a board meeting (but without prejudice to any claim for damages under such agreement). In addition, a director’s office shall be vacated if the director (i) dies, becomes bankrupt or makes any arrangement or composition with his creditors; (ii) is found to be or becomes of unsound mind; (iii) resigns his office by notice in writing to the company; (iv) is prohibited by law from being a director; or (v) is removed from office pursuant to any other provisions of our MAA.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 including the duty to ensure that, in their opinion, any such transactions must be entered into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 best interests of the company, and are entered into for a proper corporate purpose and not with the effect of constituting a fraud on the minority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MAA, our company may be dissolved, liquidated or wound up by a special resolution of our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MAA, if at any time the share capital of our company is divided into different classes, the rights attached to any class (unless otherwise provided by the terms of issue of the shares of that class) may, whether or not our company is being wound up, be varied with the consent in writing of the holders of not less than three-fourths (3/4) in the nominal value of the issued shares of that class, or with the sanction of a special resolution passed at a separate meeting of the holders of the shares of that class by members holding shares representing three-fourths (3/4) in nominal value of the issued shares of that class present and voting at such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 Under the Companies Act and our MAA, our MAA may only be amended by a special resolution of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our MAA on the rights of nonresident or foreign shareholders to hold or exercise voting rights on our shares. In addition, there are no provisions in our MAA governing the ownership threshold above which shareholder ownership must be disclosed.</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10.C.</w:t>
        <w:tab/>
        <w:t>Material Contracts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following discussion of Cayman Islands, PRC and United States federal income tax consequences of the ownership and disposition of the ADSs or Class A ordinary shares is based upon laws and relevant interpretations thereof in effect as of the date of this annual report, all of which are subject to change. This discussion does not deal with all possible tax consequences relating to the ownership and disposition of the ADSs or Class A ordinary shares, such as the tax consequences under state, local and other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According to Maples and Calder (Hong Kong) LLP, our Cayman Islands counsel, 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subsidiaries and the VIE in China are companies incorporated under PRC law and, as such, are subject to PRC enterprise income tax on their taxable income in accordance with the relevant PRC income tax laws. Pursuant to the Enterprise Income Tax Law of the People’s Republic of China (the “EIT Law”), which was amended on December 29, 2018 and became effective on the same date and the Regulation on the Implementation of the Enterprise Income Tax Law of the People’s Republic of China, which was amended on April 23, 2019 and became effective on the same date, a uniform 25% enterprise income tax rate is generally applicable to both foreign-invested enterprises and domestic enterprises, except where a special preferential rate applies. In 2022, 2023 and 2024, preferential tax treatment was available to Hangzhou Tuya Information Technology Co., Ltd, which qualifies as a high-tech enterprise and is entitled to enjoy the 15% beneficial tax rate. The enterprise income tax is calculated based on the entity’s global income as determined under PRC tax laws and accounting standards.</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VAT on the products sold and services provided. We are also subject to surcharges on VAT payments in accordance with PRC law. The PRC Provisional Regulations on Value-Added Tax were promulgated by the State Council on December 13, 1993, became effective on January 1, 1994 and were subsequently amended from time to time. The Detailed Rules for the Implementation of the PRC Provisional Regulations on Value-Added Tax (2011 Revision) were promulgated by the MOF on December 25, 1993 and subsequently amended on December 15, 2008 and October 28, 2011. On November 19, 2017, the State Council promulgated the Decisions on Abolishing the PRC Provisional Regulations on Business Tax and Amending the PRC Provisional Regulations on Value-Added Tax. Pursuant to these regulations, rules and decisions, all enterprises and individuals engaged in sale of goods, provision of processing, repair, and replacement services, sales of services, intangible assets and real property, and the importation of goods within the PRC territory are VAT taxpayers. On March 20, 2019, the MOF, the SAT and the General Administration of Customs jointly issued the Announcement on Relevant Policies on Deepening the Reform of Value-Added Tax. Pursuant to this announcement, the generally applicable VAT rates are simplified as 13%, 9%, 6% and 0%, which became effective on April 1, 2019, and the VAT rate applicable to small-scale taxpayers is 3%.</w:t>
      </w:r>
    </w:p>
    <w:p>
      <w:pPr>
        <w:spacing w:after="0" w:line="190"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Tuya Inc. is a Cayman Islands holding company, which may receive dividends from our PRC subsidiaries through Tuya (HK) Limited. The EIT Law and its implementing rules provide that dividends paid by a PRC entity to a non-resident enterprise for income tax purposes are subject to PRC withholding tax at a rate of 10%, and may be subject to reduction by an applicable tax treaty with China. Pursuant to the Arrangement between Mainland China and the Hong Kong Special Administrative Region on the Avoidance of Double Taxation and the Prevention of Fiscal Evasion, which was signed on August 21, 2006,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a PRC tax perspective. Pursuant to the Notice of the State Administration of Taxation on the Issues concerning the Application of the Dividend Clauses of Tax Agreements (the “SAT Notice”),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issued the Announcement of the State Taxation Administration on Issuing the Measures for Non-resident Taxpayers’ Enjoyment of Treaty Benefits (the “SAT Circular 35”), which became effective on January 1, 2020. The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Tuya (HK) Limited may be able to benefit from the 5% withholding tax rate for the dividends it receives from its PRC subsidiaries, if it satisfies the conditions prescribed under the SAT Notice and other relevant tax rules and regulations. However, according to the SAT Notice and SAT Circular 35, if the relevant tax authorities consider the transactions or arrangements we have to be for the primary purpose of enjoying a favorable tax treatment, the relevant tax authorities may adjust the favorable withholding tax in the future.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if we are deemed a PRC resident enterprise, dividends paid to our non-PRC shareholders (including the holders of our ADSs and Class A ordinary shares) and any gain realized on the transfer of the ADSs and/or Class A ordinary shares by such shareholders may be subject to PRC tax. Subject to the provisions of any applicable tax treaties, the tax would be imposed at the rate of 10% in the case of non-PRC resident enterprise holders and at a rate of 20% in the case of non-PRC resident individual holders (which, in the case of dividends, may be withheld at source by us). These rates may be reduced by an applicable tax treaty, but it is unclear whether our non-PRC shareholders would, in practice, be able to obtain the benefits of any tax treaties between their country of tax residence and the PRC in the event that we are treated as a PRC resident enterprise. Any such tax may reduce the returns on your investment in our ADSs or Class A ordinary shares. See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owning and disposing of the ADSs or Class A ordinary shares, but it does not purport to be a comprehensive description of all of the tax considerations that may be relevant to a particular person’s decision to hold ADSs or Class A ordinary shares. This discussion applies only to a U.S. Holder that holds the ADSs or Class A ordinary shares as capital assets for U.S. federal income tax purposes. In addition, it does not describe all of the tax consequences that may be relevant in light of a U.S. Holder’s particular circumstances, including alternative minimum tax or Medicare contribution tax consequences, and tax consequences applicable to U.S. Holders subject to special rules, such as:</w:t>
      </w:r>
    </w:p>
    <w:p>
      <w:pPr>
        <w:spacing w:after="0" w:line="187" w:lineRule="exact"/>
        <w:rPr>
          <w:sz w:val="20"/>
          <w:szCs w:val="20"/>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as part of a straddle, conversion transaction, integrated transaction or similar transaction;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investors therein);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vote or value;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in connection with a trade or business conducted outside the United States; or</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ADSs or Class A ordinary shares pursuant to the exercise of an employee stock option or otherwise as compensation.</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an entity that is classified as a partnership for U.S. federal income tax purposes owns ADSs or Class A ordinary shares, the U.S. federal income tax treatment of its partners will generally depend on the status of its partners and the activities of the partnership. Partnerships owning ADSs or Class A ordinary shares and their partners should consult their tax advisers as to the particular U.S. federal income tax consequences of owning and disposing of ADSs or Class A ordinary shares.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person that is, for U.S. federal income tax purposes, a beneficial owner of ADSs or Class A ordinary shares and:</w:t>
      </w:r>
    </w:p>
    <w:p>
      <w:pPr>
        <w:spacing w:after="0" w:line="162" w:lineRule="exact"/>
        <w:rPr>
          <w:sz w:val="20"/>
          <w:szCs w:val="20"/>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general, a U.S. Holder that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7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U.S. Holders should consult their tax advisers concerning the U.S. federal, state, local and non-U.S. tax consequences of owning and disposing of ADSs or Class A ordinary shares in their particular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(or is treated as owning for U.S. federal income tax purposes),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generally a passive asset for these purposes. Goodwill and other intangible assets are active under the PFIC rules to the extent attributable to activities that produce active income.</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hold a substantial amount of cash and financial investments, and while that continues to be the case our PFIC status for any taxable year may depend on the average value of our goodwill and other intangible assets. We have not obtained any valuation of our goodwill or other assets. However, the value of our goodwill and other intangible assets for any taxable year may be determined, in large part, by reference to our average market capitalization, which has declined substantially since our initial public offering. If the value of our goodwill and other intangible assets for 2024 is determined by reference to our average market capitalization for 2024, then we were likely a PFIC for our 2024 taxable year. In light of our declined market capitalization, there is a significant risk that we will also be a PFIC for 2025, and possibly future taxable years, if the value of our assets were to be determined by reference to our market capitalization. Moreover, it is not entirely clear how the contractual arrangements between us and the VIE will be treated for purposes of the PFIC rules, and we may be a PFIC for any taxable year if the VIE is not treated as owned by us for these purposes. Our PFIC status for any taxable year is an annual factual determination that can be made only after the end of that year and will depend on the composition of our income and assets and the value of our assets from time to time. For these reasons, we cannot express an expectation as to our PFIC status for 2025 or any future taxable year. U.S. holders of our ADSs or Class A ordinary shares should consult their tax advisers regarding our PFIC status for any of our past, current or future taxable year.</w:t>
      </w:r>
    </w:p>
    <w:p>
      <w:pPr>
        <w:spacing w:after="0" w:line="187" w:lineRule="exact"/>
        <w:rPr>
          <w:sz w:val="20"/>
          <w:szCs w:val="20"/>
          <w:color w:val="auto"/>
        </w:rPr>
      </w:pPr>
    </w:p>
    <w:p>
      <w:pPr>
        <w:jc w:val="both"/>
        <w:ind w:right="40" w:firstLine="324"/>
        <w:spacing w:after="0" w:line="272" w:lineRule="auto"/>
        <w:rPr>
          <w:sz w:val="20"/>
          <w:szCs w:val="20"/>
          <w:color w:val="auto"/>
        </w:rPr>
      </w:pPr>
      <w:r>
        <w:rPr>
          <w:rFonts w:ascii="Times New Roman" w:cs="Times New Roman" w:eastAsia="Times New Roman" w:hAnsi="Times New Roman"/>
          <w:sz w:val="17"/>
          <w:szCs w:val="17"/>
          <w:color w:val="auto"/>
        </w:rPr>
        <w:t>If we are a PFIC for any taxable year and any entity in which we own or are treated as owning equity interests (including the VIE) is also a PFIC (any such entity, a “Lower-tier PFIC”), a U.S. Holder will be deemed to own a proportionate amount (by value) of the shares of each Lower-tier PFIC and will be subject to U.S. federal income tax according to the rules described in the subsequent paragraph on</w:t>
      </w:r>
    </w:p>
    <w:p>
      <w:pPr>
        <w:spacing w:after="0" w:line="2" w:lineRule="exact"/>
        <w:rPr>
          <w:sz w:val="20"/>
          <w:szCs w:val="20"/>
          <w:color w:val="auto"/>
        </w:rPr>
      </w:pPr>
    </w:p>
    <w:p>
      <w:pPr>
        <w:ind w:right="180" w:firstLine="8"/>
        <w:spacing w:after="0" w:line="260" w:lineRule="auto"/>
        <w:tabs>
          <w:tab w:leader="none" w:pos="2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distributions by a Lower-tier PFIC and (ii) dispositions of shares of Lower-tier PFICs, in each case as if the U.S. Holder held such shares directly, even though the U.S. Holder will not receive the proceeds of those distributions or dispositions.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holds ADSs or Class A ordinary shares, gain recognized by such U.S. Holder on a sale or other disposition (including certain pledges) of its ADSs or Class A ordinary shares will be allocated ratably over that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for the ADSs or Class A ordinary shares, whichever is shorter, such distributions will be subject to taxation in the same manner. Under a rule commonly referred to as the “once a PFIC always a PFIC” rule, if we are a PFIC for any taxable year during which a U.S. Holder owns ADSs or Class A ordinary shares, we will generally continue to be treated as a PFIC with respect to these ADSs or Class A ordinary shares for all succeeding taxable years during which the U.S. Holder owns them, even if we cease to meet the threshold requirements for PFIC status. If we are or were a PFIC for any taxable year during a U.S. Holder’s holding period but cease to be a PFIC for subsequent years, U.S. Holders should consult their tax advisers regarding the advisability of making a “deemed sale” election that will allow them to eliminate the continuing PFIC status under certain circumstances, but may require them to recognize gain taxed under the PFIC rules described above in this paragraph.</w:t>
      </w:r>
    </w:p>
    <w:p>
      <w:pPr>
        <w:spacing w:after="0" w:line="19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Alternatively, if we are a PFIC and if the ADSs or Class A ordinary shares are “regularly traded” on a “qualified exchange,” as defined in applicable Treasury regulations, a U.S. Holder thereof could make a mark-to-market election that will result in tax treatment different from the general tax treatment for PFICs described in the preceding paragraph. The ADSs or Class A ordinary shares will be treated as “regularly traded” for any calendar year in which more than a de minimis quantity thereof are traded on a qualified exchange on at least 15 days during each calendar quarter. There can be no assurance that our ADSs or Class A ordinary shares will be treated as regularly traded for any relevant period. If a U.S. Holder makes the mark-to-market election, the U.S. Holder generally will recognize as ordinary income any excess of the fair market value of the ADSs or Class A ordinary shares at the end of each taxable year in which we are a PFIC over their adjusted tax basis, and will recognize an ordinary loss in respect of any excess of the adjusted tax basis of the ADSs or Class A ordinary shares over their fair market value at the end of the taxable year (but only to the extent of the net amount of income previously included as a result of the mark-to-market election). If a U.S. Holder makes the election, the U.S. Holder’s tax basis in the ADSs or Class A ordinary shares, as applicable, will be adjusted to reflect the income or loss amounts recognized. Any gain recognized on the sale or other disposition of ADSs or Class A ordinary shares in a taxable year when we are a PFIC will be treated as ordinary income, and any loss will be treated as an ordinary loss (but only to the extent of the net amount of income previously included as a result of the mark-to-market election, with any excess loss treated as a capital loss). If a U.S. Holder makes the mark-to-market election, distributions paid on ADSs or Class A ordinary shares will be treated as discussed under “—Taxation of Distributions” below. There is no law, regulation or administrative guidance that provides for a right to make a mark-to-market election with respect to any Lower-tier PFIC that is not publicly traded. Therefore, if we are a PFIC for any taxable year, U.S. Holders could be subject to the general PFIC rules described in the preceding paragraph with respect to any Lower-tier PFIC even if they make a mark-to-market election with respect to us. U.S. Holders should consult their tax advisers regarding the availability and advisability of making a mark-to-market election in their particular circumstances.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 taxable year in which we pay a dividend or for the prior taxable year, the favorable tax rate described below with respect to dividends paid to certain non-corporate U.S. Holders will not apply.</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a U.S. Holder to make a “qualified electing fund election” which, if available, would result in tax treatment different from the tax treatment for PFICs described above.</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ADSs or Class A ordinary shares, the U.S. Holder will generally be required to file annual reports with the Internal Revenue Service.</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regarding our PFIC status for 2024 and any other taxable year, and the application of the PFIC rules to their ownership of ADSs or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discussion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right="120" w:firstLine="324"/>
        <w:spacing w:after="0" w:line="270" w:lineRule="auto"/>
        <w:rPr>
          <w:sz w:val="20"/>
          <w:szCs w:val="20"/>
          <w:color w:val="auto"/>
        </w:rPr>
      </w:pPr>
      <w:r>
        <w:rPr>
          <w:rFonts w:ascii="Times New Roman" w:cs="Times New Roman" w:eastAsia="Times New Roman" w:hAnsi="Times New Roman"/>
          <w:sz w:val="17"/>
          <w:szCs w:val="17"/>
          <w:color w:val="auto"/>
        </w:rPr>
        <w:t>Distributions paid on the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Generally under the Code, subject to applicable limitations dividends paid to certain non-corporate U.S. taxpayers may in some circumstances be taxable at a preferential rate, provided that certain holding period and other applicable requirements are met. However, this preferential rate will not apply if we are a PFIC (or are treated as a PFIC with respect to a U.S. Holder under the “once a PFIC always a PFIC” rule described above) for the taxable year of the distribution or the preceding taxable year. Non-corporate U.S. Holders should consult their tax advisers regarding the availability of this favorable rate in general (taking into account our PFIC status for any taxable year) and in their particular circumstances.</w:t>
      </w:r>
    </w:p>
    <w:p>
      <w:pPr>
        <w:spacing w:after="0" w:line="17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any amounts withheld in respect of PRC taxes. Subject to applicable limitations, which vary depending upon the U.S. Holder’s circumstances, and the discussion below regarding certain Treasury regulations, PRC taxes withheld from dividend payments (at a rate not exceeding the applicable rate provided in the Treaty) generally will be creditable against a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However, IRS notices (i) indicate that the Treasury and the IRS are considering amendments to these Treasury regulations and (ii) provide relief from certain of their provisions for taxable years ending before the date that a notice or other guidance withdrawing or modifying this temporary relief is issued (or any later date specified in such notice or other guidance). U.S. Holders should consult their tax advisers regarding the creditability of foreign taxes in their particular circumstances. In lieu of claiming a credit, a U.S. Holder may elect to deduct PRC taxes in computing its taxable income, subject to applicable limitations. An election to deduct foreign taxes instead of claiming foreign tax credits applies to all creditable foreign taxes paid or accrued in the relevant taxable year.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discussion is subject to the discussion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above.</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taxable disposition of ADSs or Class A ordinary shares will be capital gain or loss, and will be long-term capital gain or loss if the U.S. Holder held the ADSs or Class A ordinary shares for more than one year. The amount of the gain or loss will equal the difference between the U.S. Holder’s tax basis in the ADSs or Class A ordinary shares disposed of and the amount realized on the disposition, in each case as determined in U.S. dollars.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described in “—People’s Republic of China Taxation” above, gains on the sale of ADSs or Class A ordinary shares may be subject to PRC taxes if we are treated as a PRC resident enterprise for PRC tax purposes. Under the Code, capital gains of U.S. persons are generally treated as U.S.-source income. However, a U.S. Holder that is eligible for the benefits of the Treaty may be able to elect to treat the gain as foreign-source income under the Treaty and claim foreign tax credit in respect of any PRC tax on dispositions. Under certain Treasury regulations, a U.S. Holder will generally be precluded from claiming a foreign tax credit with respect to PRC income taxes on gains from dispositions of ADSs or Class A ordinary shares, unless the U.S. Holder is eligible for Treaty benefits and elects to apply them. However, as discussed above, IRS notices (i) indicate that the Treasury and the IRS are considering amendments to these Treasury regulations and (ii) provide relief from certain of the regulations’ provisions for taxable years ending before the date that a notice or other guidance withdrawing or modifying this temporary relief is issued (or any later date specified in such notice or other guidance). Even if these Treasury regulations do not prohibit a U.S. Holder from claiming a foreign tax credit with respect to any PRC income tax on disposition gains, other limitations under the foreign tax credit rules may preclude a U.S. Holder from claiming a foreign tax credit, in whole or in part, with respect to such taxes. If a U.S. Holder is precluded from claiming a foreign tax credit with respect to any PRC income taxes on disposition gains, it is possible that any PRC taxes on disposition gains may either be deductible or reduce the amount realized on the disposition. The rules governing foreign tax credits and deductibility of foreign taxes are complex. U.S. Holders should consult their tax advisers regarding the consequences of the imposition of any PRC tax on disposition gains, including the Treaty’s resourcing rule, any reporting requirements with respect to a Treaty-based return position and the creditability or deductibility of the PRC tax on disposition gains in their particular circumstances (including any applicable limitations).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Payments of dividends and sales proceeds from the sale or exchange of our ADSs or Class A ordinary shares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on Internal Revenue Service Form W-9.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Internal Revenue Service.</w:t>
      </w:r>
    </w:p>
    <w:p>
      <w:pPr>
        <w:spacing w:after="0" w:line="18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ADSs or Class A ordinary shares, or non-U.S. accounts through which ADSs or Class A ordinary shares are held. U.S. Holders should consult their tax advisers regarding their reporting obligations with respect to the ADSs or Class A ordinary shares.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10.F.</w:t>
        <w:tab/>
        <w:t>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10.G.</w:t>
      </w:r>
      <w:r>
        <w:rPr>
          <w:sz w:val="20"/>
          <w:szCs w:val="20"/>
          <w:color w:val="auto"/>
        </w:rPr>
        <w:tab/>
      </w:r>
      <w:r>
        <w:rPr>
          <w:rFonts w:ascii="Times New Roman" w:cs="Times New Roman" w:eastAsia="Times New Roman" w:hAnsi="Times New Roman"/>
          <w:sz w:val="17"/>
          <w:szCs w:val="17"/>
          <w:b w:val="1"/>
          <w:bCs w:val="1"/>
          <w:color w:val="auto"/>
        </w:rPr>
        <w:t>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previously filed with the SEC a registration statement on Form F-1 (File No. 333-253575), as amended, to register our Class A ordinary shares in relation to our initial public offering. We also filed with the SEC a related registration statement on Form F-6 (File No. 333-254092) to register the ADSs representing our Class A ordinary shares.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SEC also maintains a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10.I.</w:t>
      </w:r>
      <w:r>
        <w:rPr>
          <w:sz w:val="20"/>
          <w:szCs w:val="20"/>
          <w:color w:val="auto"/>
        </w:rPr>
        <w:tab/>
      </w: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10.J.</w:t>
      </w:r>
      <w:r>
        <w:rPr>
          <w:sz w:val="20"/>
          <w:szCs w:val="20"/>
          <w:color w:val="auto"/>
        </w:rPr>
        <w:tab/>
      </w:r>
      <w:r>
        <w:rPr>
          <w:rFonts w:ascii="Times New Roman" w:cs="Times New Roman" w:eastAsia="Times New Roman" w:hAnsi="Times New Roman"/>
          <w:sz w:val="17"/>
          <w:szCs w:val="17"/>
          <w:b w:val="1"/>
          <w:bCs w:val="1"/>
          <w:color w:val="auto"/>
        </w:rPr>
        <w:t>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submit any annual report provided to security holders in electronic format as an exhibit to a current report on Form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3" w:lineRule="exact"/>
        <w:rPr>
          <w:sz w:val="20"/>
          <w:szCs w:val="20"/>
          <w:color w:val="auto"/>
        </w:rPr>
      </w:pPr>
    </w:p>
    <w:p>
      <w:pPr>
        <w:ind w:right="2460"/>
        <w:spacing w:after="0" w:line="479"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Interest Rate Risk</w:t>
      </w:r>
    </w:p>
    <w:p>
      <w:pPr>
        <w:spacing w:after="0" w:line="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and U.S. treasury securities. We have not used any derivative financial instruments to manage our interest risk exposure. However, interest-earning instruments carry a degree of interest rate risk. Our future interest income may be lower than expected due to changes in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currently derive a significant majority of our revenue from IoT PaaS which, in turn, are generated primarily through our contracts with OEMs located in the PRC. These revenues are predominantly denominated in RMB. A substantial portion of our expenses are also denominated in RMB. Our reporting and functional currency is the U.S. dollar. The financial statements of our subsidiaries and consolidated affiliated entities using functional currencies other than the U.S. dollar, such as RMB, are translated to the U.S. dollar. As a result, as RMB depreciates or appreciates against the U.S. dollar, our revenues presented in U.S. dollars will be negatively or positively affected.</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we currently have any significant direct foreign exchange risk arising from our operating activities. Although our exposure to foreign exchange risks should be limited in general, the value of your investment in the ADSs or our Class A ordinary shares will be affected by the exchange rate between the U.S. dollar and RMB because the value of our business is effectively denominated in RMB, while the ADSs representing our Class A ordinary shares and our Class A ordinary shares will be traded in U.S. dollars and Hong Kong dollars, respectively.</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value of RMB against the U.S. dollar and other currencies is affected by changes in China’s political and economic conditions and by China’s foreign exchange policies, among other things. With the development of the foreign exchange market and progress towards interest rate liberalization and RMB internationalization, the PRC government has announced in the past, and may announce in the future, changes to the exchange rate system and there is no guarantee that RMB will not appreciate or depreciate significantly in value against the U.S. dollar in the future. It is difficult to predict how market forces or PRC or U.S. government policy may impact the exchange rate between RMB and the U.S. dollar in the future.</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RMB would reduce the U.S. dollar amounts available to us.</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had Renminbi-denominated cash and cash equivalents of RMB447.5 million (US$62.3 million), and U.S. dollar-denominated cash and cash equivalents of US$589.7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inflation in China has not materially impacted our results of operations. According to the National Bureau of Statistics of China, the year-over-year percent changes in the consumer price index for 2022, 2023 and 2024 were increases of 2.0%,</w:t>
      </w:r>
    </w:p>
    <w:p>
      <w:pPr>
        <w:spacing w:after="0" w:line="253" w:lineRule="auto"/>
        <w:rPr>
          <w:sz w:val="20"/>
          <w:szCs w:val="20"/>
          <w:color w:val="auto"/>
        </w:rPr>
      </w:pPr>
      <w:r>
        <w:rPr>
          <w:rFonts w:ascii="Times New Roman" w:cs="Times New Roman" w:eastAsia="Times New Roman" w:hAnsi="Times New Roman"/>
          <w:sz w:val="18"/>
          <w:szCs w:val="18"/>
          <w:color w:val="auto"/>
        </w:rPr>
        <w:t>0.2% and 0.2%, respectively. Although we have not in the past been materially affected by inflation since our inception, we can provide no assurance that we will not be affected in the future by higher rates of inflation in China. Additionally, high global inflation has been weakening consumption sentiment and dampening enterprises’ confidence in doing business. We may not be able to hedge our exposure to higher inflation in China and globally.</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12.C.</w:t>
        <w:tab/>
        <w:t>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An ADS holder will be required to pay the following fees under the terms of the deposit agreement:</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Persons depositing or withdrawing shares or ADS holders</w:t>
      </w:r>
    </w:p>
    <w:p>
      <w:pPr>
        <w:spacing w:after="0" w:line="31" w:lineRule="exact"/>
        <w:rPr>
          <w:sz w:val="20"/>
          <w:szCs w:val="20"/>
          <w:color w:val="auto"/>
        </w:rPr>
      </w:pPr>
    </w:p>
    <w:p>
      <w:pPr>
        <w:ind w:left="1920"/>
        <w:spacing w:after="0"/>
        <w:tabs>
          <w:tab w:leader="none" w:pos="7040" w:val="left"/>
        </w:tabs>
        <w:rPr>
          <w:sz w:val="20"/>
          <w:szCs w:val="20"/>
          <w:color w:val="auto"/>
        </w:rPr>
      </w:pPr>
      <w:r>
        <w:rPr>
          <w:rFonts w:ascii="Times New Roman" w:cs="Times New Roman" w:eastAsia="Times New Roman" w:hAnsi="Times New Roman"/>
          <w:sz w:val="18"/>
          <w:szCs w:val="18"/>
          <w:b w:val="1"/>
          <w:bCs w:val="1"/>
          <w:color w:val="auto"/>
        </w:rPr>
        <w:t>must pay:</w:t>
      </w:r>
      <w:r>
        <w:rPr>
          <w:sz w:val="20"/>
          <w:szCs w:val="20"/>
          <w:color w:val="auto"/>
        </w:rPr>
        <w:tab/>
      </w:r>
      <w:r>
        <w:rPr>
          <w:rFonts w:ascii="Times New Roman" w:cs="Times New Roman" w:eastAsia="Times New Roman" w:hAnsi="Times New Roman"/>
          <w:sz w:val="18"/>
          <w:szCs w:val="18"/>
          <w:b w:val="1"/>
          <w:bCs w:val="1"/>
          <w:color w:val="auto"/>
        </w:rPr>
        <w:t>For:</w:t>
      </w:r>
    </w:p>
    <w:p>
      <w:pPr>
        <w:sectPr>
          <w:pgSz w:w="11900" w:h="16838" w:orient="portrait"/>
          <w:cols w:equalWidth="0" w:num="1">
            <w:col w:w="9920"/>
          </w:cols>
          <w:pgMar w:left="980" w:top="661" w:right="999" w:bottom="1440" w:gutter="0" w:footer="0" w:header="0"/>
        </w:sectPr>
      </w:pPr>
    </w:p>
    <w:p>
      <w:pPr>
        <w:spacing w:after="0" w:line="31" w:lineRule="exact"/>
        <w:rPr>
          <w:sz w:val="20"/>
          <w:szCs w:val="20"/>
          <w:color w:val="auto"/>
        </w:rPr>
      </w:pPr>
    </w:p>
    <w:p>
      <w:pPr>
        <w:ind w:left="340" w:hanging="331"/>
        <w:spacing w:after="0" w:line="297"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US$5.00 (or less) per 100 ADSs (or portion of 100 ADSs)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right="960" w:hanging="327"/>
        <w:spacing w:after="0" w:line="297" w:lineRule="auto"/>
        <w:tabs>
          <w:tab w:leader="none" w:pos="32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-321310</wp:posOffset>
            </wp:positionV>
            <wp:extent cx="6292215" cy="3003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292215" cy="30035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4000" w:space="653"/>
            <w:col w:w="5267"/>
          </w:cols>
          <w:pgMar w:left="980" w:top="661" w:right="999" w:bottom="1440" w:gutter="0" w:footer="0" w:header="0"/>
          <w:type w:val="continuous"/>
        </w:sectPr>
      </w:pPr>
    </w:p>
    <w:p>
      <w:pPr>
        <w:ind w:left="4980" w:right="260" w:hanging="327"/>
        <w:spacing w:after="0" w:line="297" w:lineRule="auto"/>
        <w:tabs>
          <w:tab w:leader="none" w:pos="4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ADSs for the purpose of withdrawal, including if the deposit agreement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292215" cy="291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292215" cy="29146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p>
      <w:pPr>
        <w:spacing w:after="0" w:line="176" w:lineRule="exact"/>
        <w:rPr>
          <w:sz w:val="20"/>
          <w:szCs w:val="20"/>
          <w:color w:val="auto"/>
        </w:rPr>
      </w:pPr>
    </w:p>
    <w:p>
      <w:pPr>
        <w:ind w:left="340" w:hanging="331"/>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US$0.05 (or less) per ADS</w:t>
      </w:r>
    </w:p>
    <w:p>
      <w:pPr>
        <w:spacing w:after="0" w:line="252" w:lineRule="exact"/>
        <w:rPr>
          <w:rFonts w:ascii="Times New Roman" w:cs="Times New Roman" w:eastAsia="Times New Roman" w:hAnsi="Times New Roman"/>
          <w:sz w:val="18"/>
          <w:szCs w:val="18"/>
          <w:color w:val="auto"/>
        </w:rPr>
      </w:pPr>
    </w:p>
    <w:p>
      <w:pPr>
        <w:jc w:val="both"/>
        <w:ind w:left="340" w:hanging="331"/>
        <w:spacing w:after="0" w:line="281"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190"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US$0.05 (or less) per ADS per calendar year</w:t>
      </w:r>
    </w:p>
    <w:p>
      <w:pPr>
        <w:spacing w:after="0" w:line="252"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or transfer fees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327" w:hanging="327"/>
        <w:spacing w:after="0"/>
        <w:tabs>
          <w:tab w:leader="none" w:pos="3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distribution to ADS holders</w:t>
      </w:r>
    </w:p>
    <w:p>
      <w:pPr>
        <w:spacing w:after="0" w:line="252" w:lineRule="exact"/>
        <w:rPr>
          <w:rFonts w:ascii="Times New Roman" w:cs="Times New Roman" w:eastAsia="Times New Roman" w:hAnsi="Times New Roman"/>
          <w:sz w:val="18"/>
          <w:szCs w:val="18"/>
          <w:color w:val="auto"/>
        </w:rPr>
      </w:pPr>
    </w:p>
    <w:p>
      <w:pPr>
        <w:ind w:left="327" w:right="100" w:hanging="327"/>
        <w:spacing w:after="0" w:line="281" w:lineRule="auto"/>
        <w:tabs>
          <w:tab w:leader="none" w:pos="3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distributed to holders of deposited securities (including rights) that are distributed by the depositary to ADS holders</w:t>
      </w:r>
    </w:p>
    <w:p>
      <w:pPr>
        <w:spacing w:after="0" w:line="190"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services</w:t>
      </w:r>
    </w:p>
    <w:p>
      <w:pPr>
        <w:spacing w:after="0" w:line="252" w:lineRule="exact"/>
        <w:rPr>
          <w:rFonts w:ascii="Times New Roman" w:cs="Times New Roman" w:eastAsia="Times New Roman" w:hAnsi="Times New Roman"/>
          <w:sz w:val="18"/>
          <w:szCs w:val="18"/>
          <w:color w:val="auto"/>
        </w:rPr>
      </w:pPr>
    </w:p>
    <w:p>
      <w:pPr>
        <w:ind w:left="327" w:right="180" w:hanging="327"/>
        <w:spacing w:after="0" w:line="281" w:lineRule="auto"/>
        <w:tabs>
          <w:tab w:leader="none" w:pos="3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-1615440</wp:posOffset>
            </wp:positionV>
            <wp:extent cx="629221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292215" cy="1460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-1323975</wp:posOffset>
            </wp:positionV>
            <wp:extent cx="6292215" cy="436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292215" cy="43688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-741045</wp:posOffset>
            </wp:positionV>
            <wp:extent cx="6292215"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-449580</wp:posOffset>
            </wp:positionV>
            <wp:extent cx="6292215" cy="43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292215" cy="437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573"/>
            <w:col w:w="5267"/>
          </w:cols>
          <w:pgMar w:left="980" w:top="661" w:right="99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Expenses of the depositary</w:t>
            </w:r>
          </w:p>
        </w:tc>
        <w:tc>
          <w:tcPr>
            <w:tcW w:w="5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Cable and facsimile transmissions (when expressly provided in the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deposit agreement)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54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Converting foreign currency to U.S. dollars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Taxes and other governmental charges the depositary or</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the custodian has to pay on any ADSs or shares</w:t>
            </w:r>
          </w:p>
        </w:tc>
        <w:tc>
          <w:tcPr>
            <w:tcW w:w="36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underlying ADSs, such as stock transfer taxes, stamp</w:t>
            </w:r>
          </w:p>
        </w:tc>
        <w:tc>
          <w:tcPr>
            <w:tcW w:w="36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duty or withholding taxes</w:t>
            </w:r>
          </w:p>
        </w:tc>
        <w:tc>
          <w:tcPr>
            <w:tcW w:w="36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Any charges incurred by the depositary or its agents for</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 necessary</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servicing the deposited securities</w:t>
            </w:r>
          </w:p>
        </w:tc>
        <w:tc>
          <w:tcPr>
            <w:tcW w:w="36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In 2024, excluding withholding tax, we received US$1.2 million net reimbursement from The Bank of New York Mellon, for the expenses incurred in connection with our ADR program.</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Class A Ordinary Shares and ADSs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Dealings and Settlement of Class A Ordinary Shares in Hong Kong</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traded on the Hong Kong Stock Exchange in board lots of 200 Class A ordinary shares. Dealings in our Class A ordinary shares on the Hong Kong Stock Exchange will be conducted in Hong Kong dollars.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costs of dealings in our Class A ordinary shares on the Hong Kong Stock Exchange include the following:</w:t>
      </w:r>
    </w:p>
    <w:p>
      <w:pPr>
        <w:spacing w:after="0" w:line="225" w:lineRule="exact"/>
        <w:rPr>
          <w:sz w:val="20"/>
          <w:szCs w:val="20"/>
          <w:color w:val="auto"/>
        </w:rPr>
      </w:pPr>
    </w:p>
    <w:p>
      <w:pPr>
        <w:ind w:left="680" w:right="16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SFC transaction levy of 0.0027% of the consideration of the transaction, charged to each of the buyer and seller;</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Financial Reporting Council transaction levy of 0.00015%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0.26% of the value of the transaction, with 0.13% payable by each of the buyer and the seller;</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161" w:lineRule="exact"/>
        <w:rPr>
          <w:rFonts w:ascii="Times New Roman" w:cs="Times New Roman" w:eastAsia="Times New Roman" w:hAnsi="Times New Roman"/>
          <w:sz w:val="18"/>
          <w:szCs w:val="18"/>
          <w:color w:val="auto"/>
        </w:rPr>
      </w:pPr>
    </w:p>
    <w:p>
      <w:pPr>
        <w:ind w:left="680" w:right="420" w:hanging="321"/>
        <w:spacing w:after="0" w:line="266"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175" w:lineRule="exact"/>
        <w:rPr>
          <w:rFonts w:ascii="Times New Roman" w:cs="Times New Roman" w:eastAsia="Times New Roman" w:hAnsi="Times New Roman"/>
          <w:sz w:val="18"/>
          <w:szCs w:val="18"/>
          <w:color w:val="auto"/>
        </w:rPr>
      </w:pPr>
    </w:p>
    <w:p>
      <w:pPr>
        <w:ind w:left="680" w:right="120" w:hanging="321"/>
        <w:spacing w:after="0" w:line="261"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Investors in Hong Kong must settle their trades executed on the Hong Kong Stock Exchange through their brokers directly or through custodians. For an investor in Hong Kong who has deposited his/her Class A ordinary shares in his/her stock account or in his/her designated CCASS participant’s stock account maintained with CCASS, settlement will be effected in CCASS in accordance with the General Rules of CCASS and CCASS Operational Procedures in effect from time to time. The term “CCASS” refers to the Central Clearing and Settlement System established and operated by Hong Kong Securities Clearing Company Limited, a wholly owned subsidiary of Hong Kong Exchanges and Clearing Limited. For an investor who holds the physical certificates, settlement certificates and the duly executed transfer forms must be delivered to his/her broker or custodian before the settlement date.</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 investor may arrange with his/her broker or custodian on a settlement date in respect of his/her trades executed on the Hong Kong Stock Exchange. Under the Hong Kong Listing Rules and the General Rules of CCASS and CCASS Operational Procedures in effect from time to time, the date of settlement must be the second settlement day (a day on which the settlement services of CCASS are open for use by CCASS participants) following the trade date (T+2). For trades settled under CCASS, the General Rules of CCASS and CCASS Operational Procedures in effect from time to time, provided that the defaulting broker may be compelled to compulsorily buy-in by HKSCC the day after the date of settlement (T+3), or if it is not practicable to do so on T+3, at any time thereafter. HKSCC may also impose fines from T+2 onwards.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Exchanges Between Class A Ordinary Shares Trading in Hong Kong and ADSs</w:t>
      </w:r>
    </w:p>
    <w:p>
      <w:pPr>
        <w:spacing w:after="0" w:line="225"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We have established a branch register of members in Hong Kong (the “</w:t>
      </w:r>
      <w:r>
        <w:rPr>
          <w:rFonts w:ascii="Times New Roman" w:cs="Times New Roman" w:eastAsia="Times New Roman" w:hAnsi="Times New Roman"/>
          <w:sz w:val="18"/>
          <w:szCs w:val="18"/>
          <w:b w:val="1"/>
          <w:bCs w:val="1"/>
          <w:color w:val="auto"/>
        </w:rPr>
        <w:t>Hong Kong share register</w:t>
      </w:r>
      <w:r>
        <w:rPr>
          <w:rFonts w:ascii="Times New Roman" w:cs="Times New Roman" w:eastAsia="Times New Roman" w:hAnsi="Times New Roman"/>
          <w:sz w:val="18"/>
          <w:szCs w:val="18"/>
          <w:color w:val="auto"/>
        </w:rPr>
        <w:t>”), which is maintained by our Hong Kong share registrar, Computershare Hong Kong Investor Services Limited. Our principal register of members (the “</w:t>
      </w:r>
      <w:r>
        <w:rPr>
          <w:rFonts w:ascii="Times New Roman" w:cs="Times New Roman" w:eastAsia="Times New Roman" w:hAnsi="Times New Roman"/>
          <w:sz w:val="18"/>
          <w:szCs w:val="18"/>
          <w:b w:val="1"/>
          <w:bCs w:val="1"/>
          <w:color w:val="auto"/>
        </w:rPr>
        <w:t>Cayman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 register</w:t>
      </w:r>
      <w:r>
        <w:rPr>
          <w:rFonts w:ascii="Times New Roman" w:cs="Times New Roman" w:eastAsia="Times New Roman" w:hAnsi="Times New Roman"/>
          <w:sz w:val="18"/>
          <w:szCs w:val="18"/>
          <w:color w:val="auto"/>
        </w:rPr>
        <w:t>”) continues to be maintained by our principal share registrar, Maples Fund Services (Cayman) Limited. All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offered in connection with our listing in Hong Kong are registered on the Hong Kong share register in order to be listed and traded on the Hong Kong Stock Exchange. As described in further detail below, holders of Class A ordinary shares registered on the Hong Kong share register are able to exchange those Class A ordinary shares for ADSs, and vice versa.</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Depositing Class A Ordinary Shares Trading in Hong Kong for Delivery of ADSs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An investor who holds Class A ordinary shares registered in Hong Kong and wishes to receive delivery of ADSs that trade on NYSE must deposit or have his/her broker deposit the Class A ordinary shares with the depositary’s Hong Kong custodian, The Hong Kong and Shanghai Banking Corporation Limited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in exchange for ADSs. A deposit of Class A ordinary shares trading in Hong Kong in exchange for ADSs involves the following procedures:</w:t>
      </w:r>
    </w:p>
    <w:p>
      <w:pPr>
        <w:spacing w:after="0" w:line="180" w:lineRule="exact"/>
        <w:rPr>
          <w:sz w:val="20"/>
          <w:szCs w:val="20"/>
          <w:color w:val="auto"/>
        </w:rPr>
      </w:pPr>
    </w:p>
    <w:p>
      <w:pPr>
        <w:ind w:left="660" w:right="8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have been deposited with CCASS, the investor must transfer Class A ordinary shares to the depositary’s account with the custodian within CCASS by following the CCASS procedures for transfer and submit and deliver a duly completed and signed ADS delivery form to the custodian via his/her broker.</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investor must arrange for the registration of a transfer of his/her Class A ordinary shares into the depositary’s name and delivery of evidence of that registration to the custodian, and must sign and deliver an ADS delivery form to the depositary.</w:t>
      </w:r>
    </w:p>
    <w:p>
      <w:pPr>
        <w:spacing w:after="0" w:line="175"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 For Class A ordinary shares deposited in CCASS, under normal circumstances, the above steps generally require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Surrender of ADSs for Delivery of Class A Ordinary Shares Trading in Hong Kong</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 investor who holds ADSs and wishes to receive Class A ordinary shares that trade on the Hong Kong Stock Exchange must cancel the ADSs the investor holds and withdraw the Class A ordinary shares from our ADS program and cause his/her broker or other financial institution to trade such Class A ordinary shares on the Hong Kong Stock Exchange. An investor that holds ADSs indirectly through a broker or other financial institution should follow the procedures of the broker or financial institution and instruct the broker to arrange for cancellation of the ADSs, and transfer of the underlying Class A ordinary shares from the depositary’s account with the custodian within the CCASS to the investor’s Hong Kong stock account.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ind w:left="660" w:right="4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A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17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the depositary will instruct the custodian to deliver Class A ordinary shares underlying the canceled ADSs to the CCASS account designated by the investor.</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A ordinary shares outside CCASS, he/she must so indicate in the instruction delivered to the depositary.</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 Class A ordinary shares to be received in CCASS, under normal circumstances, the above steps generally require two business days, provided that the investor has provided timely and complete instructions. For the Shares to be received outside CCASS in physical form, the above steps may take 14 business days, or more, to complete. The investor will be unable to trade the Class A ordinary shares on the Hong Kong Stock Exchange until the procedures are completed. Temporary delays may arise. For example, the transfer books of the depositary may from time to time be closed to ADS cancellations. In addition, completion of the above steps and procedures for delivery of Class A ordinary shares in a CCASS account is subject to there being a sufficient number of Class A ordinary shares on the Hong Kong share register to facilitate a withdrawal from the ADS program directly into the CCASS. We are not under any obligation to maintain or increase the number of Class A ordinary shares on the Hong Kong share register to facilitate such withdrawals.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Before the depositary delivers ADSs or permits withdrawal of Class A ordinary shares, the depositary may require:</w:t>
      </w:r>
    </w:p>
    <w:p>
      <w:pPr>
        <w:spacing w:after="0" w:line="22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completion and presentation of transfer documents.</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cancellations of ADSs generally when the transfer books of the depositary or of the Hong Kong share registrar are closed or at any time if the depositary or we determine it advisable to do so.</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Class A ordinary shares to effect a withdrawal from or deposit of Class A ordinary shares into our ADS program will be borne by the investor requesting the transfer or deposit. In particular, holders of Shares and ADSs should note that the Hong Kong share registrar will charge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cancellation of ADSs, as the case may be, in connection with the deposit of the Shares into, or withdrawal of Class A ordinary shares from, the ADS facility.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8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ITEM 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60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14.A. – 14.D. Material Modifications to the Rights of Security Holders</w:t>
      </w:r>
    </w:p>
    <w:p>
      <w:pPr>
        <w:ind w:left="34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No. 333-253575) as amended (the “</w:t>
      </w:r>
      <w:r>
        <w:rPr>
          <w:rFonts w:ascii="Times New Roman" w:cs="Times New Roman" w:eastAsia="Times New Roman" w:hAnsi="Times New Roman"/>
          <w:sz w:val="18"/>
          <w:szCs w:val="18"/>
          <w:b w:val="1"/>
          <w:bCs w:val="1"/>
          <w:color w:val="auto"/>
        </w:rPr>
        <w:t>IPO Registration Statement</w:t>
      </w:r>
      <w:r>
        <w:rPr>
          <w:rFonts w:ascii="Times New Roman" w:cs="Times New Roman" w:eastAsia="Times New Roman" w:hAnsi="Times New Roman"/>
          <w:sz w:val="18"/>
          <w:szCs w:val="18"/>
          <w:color w:val="auto"/>
        </w:rPr>
        <w:t>”), which registered 43,590,000 Class A ordinary shares represented by 43,590,000 ADSs issued and sold by us, and the underwriters’ exercise of their option to purchase from us 1,486,479 additional ADSs representing 1,486,479 Class A ordinary shares, at a public offering price of US$21.00 per ADS. The registration statement was declared effective by the SEC on March 17, 2021, for our initial public offering, which closed in March 2021. Morgan Stanley &amp; Co. LLC, BofA Securities, Inc. and China International Capital Corporation Hong Kong Securities Limited were the representatives of the underwriters.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received net proceeds of US$904.7 million from our initial public offering in March 2021 and the underwriters’ exercise of the over-allotment option. Our expenses incurred and paid to others in connection with the issuance and distribution of the ADSs in our offering totaled US$41.9 million, which included US$37.9 million for underwriting discounts and commissions and US$4.0 million for other expenses. None of the transaction expenses included payments to directors or officers of our company or their associates, persons owning 10% or more of our equity securities or our affiliates.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For the period from March 17, 2021, the date that the registration statement on Form F-1 was declared effective by the SEC, to December 31, 2024, we used approximately US$456.9 million of the net proceeds received from our initial public offering for the purposes as disclosed in the IPO Registration Statement (i.e., research and development; investment in technology infrastructure; marketing and branding; other capital expenditures; and other general corporate purposes), as well as repurchases of ADSs from the open market. None of the net proceeds we received from the initial public offering were paid, directly or indirectly, to any of our directors or officers or their associates, persons owning 10% or more of our equity securities or our affiliates. We intend to use the remainder of the net proceeds from our initial public offering for the foregoing purposes.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Global Offering</w:t>
      </w:r>
    </w:p>
    <w:p>
      <w:pPr>
        <w:spacing w:after="0" w:line="227"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The following “Use of Proceeds” information relates to the shelf registration statement on Form F-3 (File No. 333-265320) filed on May 31, 2022 and prospectus supplements filed on June 22, 2022 and June 28, 2022, respectively, relating to our global offering in connection with the Hong Kong Listing, which closed in July 2022. We offered and sold 7,300,000 Class A ordinary shares at an offering price of HK$19.30 per Class A ordinary share. China International Capital Corporation Hong Kong Securities Limited, Morgan Stanley Asia Limited and Merrill Lynch (Asia Pacific) Limited were the representatives of the international underwriters of the global offering.</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We received net proceeds of HK$70.0 million from the global offering. Our expenses incurred and paid to others in connection with the issuance and distribution of the Class A ordinary shares in our offering totaled US$9.3 million, which included HK$5.6 million for underwriting discounts and commissions and HK$67.1 million for other expenses. None of the transaction expenses included payments to directors or officers of our company or their associates, persons owning 10% or more of our equity securities or our affiliates.</w:t>
      </w:r>
    </w:p>
    <w:p>
      <w:pPr>
        <w:spacing w:after="0" w:line="164"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May 31, 2022, the date that the shelf registration statement on Form F-3 was automatically effective, to December 31, 2024, we used approximately US$4.5 million of the net proceeds received from our global offering for the purposes as disclosed in the prospectus supplements (i.e., enhancing our IoT technologies and infrastructure; expanding and enhancing our product offerings; marketing and branding activities; pursuing strategic partnerships, investments and acquisitions to implement our long-term growth strategies; and general corporate purposes and working capital needs).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None of the net proceeds we received from the global offering were paid, directly or indirectly, to any of our directors or officers or their associates, persons owning 10% or more of our equity securities or our affiliates. We intend to use the remainder of the net proceeds from our global offering for the foregoing purposes.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2024,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w:t>
      </w:r>
    </w:p>
    <w:p>
      <w:pPr>
        <w:spacing w:after="0" w:line="18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including our chief executive officer, assessed the effectiveness of internal control over financial reporting as of December 31, 2024 using the criteria set forth in the report “Internal Control—Integrated Framework (2013)” published by the Committee of Sponsoring Organizations of the Treadway Commission. Based on this evaluation, management concluded that our internal control over financial reporting was effective as of December 31,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Since our initial public offering, we have become subject to the Sarbanes-Oxley Act of 2002. Once we cease to be an “emerging growth company” as such term is defined in the JOBS Act, our independent registered public accounting firm must attest to and report on the effectiveness of our internal control over financial reporting. It is possible that, had our independent registered public accounting firm performed an audit of our internal control over financial reporting, additional internal control deficiencies may have been identified. See “Item 3. Key Information—3.D. Risk Factors—Risks Related to Our Business and Industry—If we fail to maintain proper and effective internal control over financial reporting, we may be unable to accurately or timely report our results of operations, meet our reporting obligations or prevent fraud, and investor confidence and the market price of our ADSs may be materially and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0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Since we are an “emerging growth company” as defined under the JOBS Act,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19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Sidney Xuande Huang, an independent director and a member of our audit committee, qualifies as an “audit committee financial expert” within the meaning of the SEC rules and possesses financial sophistication within the meaning of the applicable rules of the NYSE. Sidney Xuande Huang satisfies the “independence” requirements of Rule 10A-3 under the Exchange Act, and Section 303A of the Corporate Governance Rules of the NYSE.</w:t>
      </w:r>
    </w:p>
    <w:p>
      <w:pPr>
        <w:spacing w:after="0" w:line="1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business conduct and ethics that applies to all of our directors, officers and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to the registration statement on Form F-1 (File No. 333-253575), as amended, initially filed with the SEC on February 26, 2021, and posted a copy of our code of business conduct and ethics on our website at </w:t>
      </w:r>
      <w:r>
        <w:rPr>
          <w:rFonts w:ascii="Times New Roman" w:cs="Times New Roman" w:eastAsia="Times New Roman" w:hAnsi="Times New Roman"/>
          <w:sz w:val="18"/>
          <w:szCs w:val="18"/>
          <w:i w:val="1"/>
          <w:iCs w:val="1"/>
          <w:color w:val="auto"/>
        </w:rPr>
        <w:t>https://ir.tuya.com</w:t>
      </w:r>
      <w:r>
        <w:rPr>
          <w:rFonts w:ascii="Times New Roman" w:cs="Times New Roman" w:eastAsia="Times New Roman" w:hAnsi="Times New Roman"/>
          <w:sz w:val="18"/>
          <w:szCs w:val="18"/>
          <w:color w:val="auto"/>
        </w:rPr>
        <w:t>. We hereby undertake to provide to any person without charge, a copy of our code of business conduct and ethics within 10 working days after we receive such person’s written request.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580"/>
        <w:spacing w:after="0" w:line="464" w:lineRule="auto"/>
        <w:rPr>
          <w:sz w:val="20"/>
          <w:szCs w:val="20"/>
          <w:color w:val="auto"/>
        </w:rPr>
      </w:pPr>
      <w:r>
        <w:rPr>
          <w:rFonts w:ascii="Times New Roman" w:cs="Times New Roman" w:eastAsia="Times New Roman" w:hAnsi="Times New Roman"/>
          <w:sz w:val="18"/>
          <w:szCs w:val="18"/>
          <w:b w:val="1"/>
          <w:bCs w:val="1"/>
          <w:color w:val="auto"/>
        </w:rPr>
        <w:t>ITEM 16.C. PRINCIPAL ACCOUNTANT FEES AND SERVICES Auditor Fees</w:t>
      </w:r>
    </w:p>
    <w:p>
      <w:pPr>
        <w:jc w:val="both"/>
        <w:ind w:right="42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PricewaterhouseCoopers Zhong Tian LLP, our independent registered public accounting firm, for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4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42"/>
        </w:trPr>
        <w:tc>
          <w:tcPr>
            <w:tcW w:w="24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94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24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480" w:type="dxa"/>
            <w:vAlign w:val="bottom"/>
            <w:gridSpan w:val="3"/>
          </w:tcPr>
          <w:p>
            <w:pPr>
              <w:jc w:val="center"/>
              <w:ind w:left="5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82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09"/>
        </w:trPr>
        <w:tc>
          <w:tcPr>
            <w:tcW w:w="78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4"/>
                <w:szCs w:val="24"/>
                <w:color w:val="auto"/>
                <w:vertAlign w:val="superscript"/>
              </w:rPr>
              <w:t>(2)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62"/>
        </w:trPr>
        <w:tc>
          <w:tcPr>
            <w:tcW w:w="2480" w:type="dxa"/>
            <w:vAlign w:val="bottom"/>
            <w:tcBorders>
              <w:bottom w:val="single" w:sz="8" w:color="auto"/>
            </w:tcBorders>
          </w:tcPr>
          <w:p>
            <w:pPr>
              <w:spacing w:after="0"/>
              <w:rPr>
                <w:sz w:val="5"/>
                <w:szCs w:val="5"/>
                <w:color w:val="auto"/>
              </w:rPr>
            </w:pPr>
          </w:p>
        </w:tc>
        <w:tc>
          <w:tcPr>
            <w:tcW w:w="5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r>
    </w:tbl>
    <w:p>
      <w:pPr>
        <w:spacing w:after="0" w:line="103" w:lineRule="exact"/>
        <w:rPr>
          <w:sz w:val="20"/>
          <w:szCs w:val="20"/>
          <w:color w:val="auto"/>
        </w:rPr>
      </w:pPr>
    </w:p>
    <w:p>
      <w:pPr>
        <w:ind w:left="340" w:right="280" w:hanging="332"/>
        <w:spacing w:after="0" w:line="261"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refer to the aggregate fees billed in each of the fiscal years listed for professional services rendered by our principal auditors for the audit of our annual financial statements and assistance with and review of documents filed with the SEC. In 2023 and 2024, the audit refers to financial audit and services that are normally provided by our principal auditor in connection with regulatory filings for those fiscal years.</w:t>
      </w:r>
    </w:p>
    <w:p>
      <w:pPr>
        <w:spacing w:after="0" w:line="1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refer to the aggregate fees billed in each of the fiscal years listed for professional services rendered by our principal auditors other than services reported under “Audit Fees”.</w:t>
      </w:r>
    </w:p>
    <w:p>
      <w:pPr>
        <w:spacing w:after="0" w:line="16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PricewaterhouseCoopers Zhong Tian LLP, our independent registered public accounting firm, including audit services and other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August 30, 2021, we announced a share repurchase program authorized by our board of directors. Under such share repurchase program, we were authorized to repurchase up to US$200 million of our Class A ordinary shares in the form of ADSs during a 12-month period, from time to time through open market transactions at prevailing market prices, in privately negotiated transactions, in block trades and/or through other legally permissible means, depending on the market conditions and in accordance with applicable rules and regulations. The timing and dollar amount of repurchase transactions are subject to the SEC Rule 10b-18 and/or Rule 10b5-1 requirements. This share repurchase program expired on August 30, 2022. As of such date, we had purchased a total of approximately 23.1 million ADSs in open market purchases under this program for an aggregate purchase price of approximately US$108.6 million.</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November 9, 2022, we announced a share repurchase program authorized by our board of directors. Under the 2022 program, we may repurchase up to US$50 million of our Class A ordinary shares, including in the form of ADSs, pursuant to the general mandate granted to our board of directors to exercise all powers of our company to repurchase Class A ordinary shares, including in the form of ADSs, by the shareholders of our company at the annual general meeting on November 1, 2022. The 2022 share repurchase program commenced on November 9, 2022 and ended on June 29, 2023, the date on which a new general repurchase mandate was granted by the shareholders to our board of directors at our annual general meeting held on June 20,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June 29, 2023, we announced a new share repurchase program authorized by our board of directors. Under the new program, we may repurchase up to US$50 million of its Class A ordinary shares, including in the form of ADSs, pursuant to the general mandate granted to the our board of directors to exercise all powers of our company to repurchase ordinary shares including in the form of ADSs by the shareholders of the our company on the annual general meeting on June 20, 2023. This new share repurchase program commenced on June 29, 2023 and will end on the date on which a new general repurchase mandate is granted by the shareholders to our board of directors on our company’s next annual general meeting which is due to be held by June 30, 2024 under the Hong Kong Listing Rules. Under the new program, our proposed repurchases may be made from time to time through open market transactions at prevailing market prices, in privately negotiated transactions, in block trades and/or through other legally permissible means, depending on the market conditions and in accordance with applicable rules and regulations. The timing and dollar amount of repurchase transactions will be subject to Rule 10b-18 and/or Rule 10b5-1 requirements of the SEC and applicable requirements under the Hong Kong Listing Rules. Our board of directors will review the share repurchase program periodically and may authorize adjustment of its terms and size or suspend or discontinue the program.</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a summary of shares repurchased by us during the year ended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and/or</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and/or ADSs</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 per Class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Part of the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and/or</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 ordinary</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ADSs</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and/or</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ADS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(in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March 2024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May 2024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each representing one Class A ordinary share, are listed on the NYSE. Under Section 303A of the NYSE Listed Company Manual, NYSE-listed companies that are foreign private issuers are permitted to follow home country practice in lieu of the corporate governance provisions specified by the NYSE with limited exceptions.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NYSE Listed Company Manual requires NYSE-listed companies to have a nominating / corporate governance committee and a compensation committee that are composed entirely of independent directors. Cayman Islands law does not impose similar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Currently, we have three members on our nomination committee, consisting of two independent directors and one director who is an executive officer. We have three members on our compensation committee, consisting of two independent directors and one director who is an executive officer. Nevertheless, our board of directors is composed of eight members, four of whom are independent directors within the meaning of Section 303A of the NYSE Listed Company Manual, and we currently maintain fully independent audit and corporate governance committees.</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a result of our choice to follow home country practice in those matters, our shareholders may be afforded less protection than they otherwise would enjoy under NYSE corporate governance listing standards applicable to U.S. domestic issuers. See “Item 3. Key Information—3.D. Risk Factors—Risks Related to Our ADSs—As an exempted company incorporated in the Cayman Islands, we are permitted to adopt certain home country practices in relation to corporate governance matters that differ significantly from the NYSE corporate governance listing standards. These practices may afford less protection to shareholders than they would enjoy if we complied fully with the NYSE corporate governance listing standards.”</w:t>
      </w:r>
    </w:p>
    <w:p>
      <w:pPr>
        <w:spacing w:after="0" w:line="18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7"/>
          <w:szCs w:val="17"/>
          <w:b w:val="1"/>
          <w:bCs w:val="1"/>
          <w:color w:val="auto"/>
        </w:rPr>
        <w:t>INSIDER TRADING POLICIES</w:t>
      </w:r>
    </w:p>
    <w:p>
      <w:pPr>
        <w:spacing w:after="0" w:line="22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senior management and employees, which policies and procedures are reasonably designed to promote compliance with applicable insider trading laws, rules and regulations, and any listing standards applicable to us. We have filed our insider trading policies, as amended, as Exhibit 11.2 to this annual report on Form 20-F.</w:t>
      </w:r>
    </w:p>
    <w:p>
      <w:pPr>
        <w:spacing w:after="0" w:line="17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enterprise risk management system. Our cybersecurity risk management program is designed to align with major industry standards such as ISO/IEC 270001, ISO/IEC 27017, and ISO/IEC 27701, among others, as well as assist us in maintaining procedures for assessing, identifying and managing material risks from cybersecurity threats and incidents.</w:t>
      </w:r>
    </w:p>
    <w:p>
      <w:pPr>
        <w:spacing w:after="0" w:line="15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established a comprehensive cybersecurity threat defense system designed to mitigate both internal and external cybersecurity threats. This system spans various layers, including network, host, application and hardware security, and integrates a range of security capabilities such as web application firewalls (“WAFs”), message queuing telemetry transport (“MQTT”) application firewalls, intrusion detection, runtime application self-protection (“RASP”), host-based intrusion detection system (“HIDS”), protection measures against distributed denial-of-service (“DDoS”) attacks, threat defense, and real-time monitoring. We apply diverse methods to manage cybersecurity risks and protect sensitive data, including technical safeguards, procedural protocols, a monitoring program on our corporate network, regular evaluations of security measures both internally and with external service providers, an incident response program, and regular training sessions for our employees. For example, the implementation and effectiveness of our security measures are evaluated internally on an annual basis, and we require employees to complete certain cybersecurity awareness trainings at least once annually. We also engage third parties to assess and audit our cybersecurity programs and compliance with applicable practices and standards. For example, we have worked with leading privacy compliance and cybersecurity firms, such as TrustArc, ioXt Alliance and Palo Alto Networks, for privacy management and penetration testing.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are not aware of having experienced any material cybersecurity incidents or identified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or the cloud service providers or other third parties upon which we rely, have not experienced, or will not experience, an undetected cybersecurity incident. For more information about these risks, please see “Risk Factors—Unauthorized or improper disclosures of personal information, cyberattacks or other security incidents or data breaches that affect our networks or systems, or those of our cloud service providers or our customers, whether inadvertent or purposeful, could degrade our ability to conduct our business, compromise the integrity of our products and services, platform and data, result in significant data losses and the theft of our intellectual property, damage our reputation, expose us to liability to third parties and require us to incur significant additional costs to maintain the security of our networks and data which could adversely affect our business,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our senior management team is responsible for the day-to-day cybersecurity risk management oversight. Our board of directors shall maintain oversight of the disclosure (i) on Form 6-K for material cybersecurity incidents (if any) and (ii) related to cybersecurity matters in the periodic reports (including annual report on Form 20-F).</w:t>
      </w:r>
    </w:p>
    <w:p>
      <w:pPr>
        <w:spacing w:after="0" w:line="15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at the management level, we have established a Compliance committee, which is chaired by our Chief Executive Officer, to oversee and manage cybersecurity related matters. The Compliance committee consists of four executives, including our Chief Information Security Officer (“CISO”), who is in charge of our cybersecurity team and has over 10 years of experience in managing confidentiality-related cybersecurity issues. Our Compliance committee reports to our senior management team on a semi-annual basis regarding its assessment, identification and management on material cybersecurity incidents or material risks from cybersecurity threats to our company, if any. We have also established an incident response team that consists of our CISO, our Data Protection Officer (“DPO”) and our Chief Privacy Officer (“CPO”). If a cybersecurity incident occurs, our incident response team is responsible for organizing relevant personnel to conduct an internal assessment and report to our Compliance committee. If it is determined that the incident could potentially be material to our business, our Compliance committee will promptly report the assessment results to our senior management team and our general counsel to the extent appropriate and our Compliance committee would then prepare disclosure material on the cybersecurity incident for review and approval by our board of directors, in compliance with applicable cybersecurity and data privacy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of Tuya Inc. are included at the end of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19.</w:t>
        <w:tab/>
        <w:t>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25"/>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187"/>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6"/>
                <w:szCs w:val="16"/>
                <w:color w:val="auto"/>
              </w:rPr>
            </w:pPr>
          </w:p>
        </w:tc>
        <w:tc>
          <w:tcPr>
            <w:tcW w:w="858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Ninth Amended and Restated Memorandum and Articles of Association of the Registrant, as currently in effect (incorporated herein</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80" w:type="dxa"/>
            <w:vAlign w:val="bottom"/>
            <w:gridSpan w:val="31"/>
          </w:tcPr>
          <w:p>
            <w:pPr>
              <w:spacing w:after="0" w:line="183"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by reference to Exhibit 3.1 to the current report on Form 6-K furnished to the SEC on November 2, 2022)</w:t>
              </w:r>
            </w:hyperlink>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2.1</w:t>
            </w:r>
          </w:p>
        </w:tc>
        <w:tc>
          <w:tcPr>
            <w:tcW w:w="160" w:type="dxa"/>
            <w:vAlign w:val="bottom"/>
          </w:tcPr>
          <w:p>
            <w:pPr>
              <w:spacing w:after="0"/>
              <w:rPr>
                <w:sz w:val="24"/>
                <w:szCs w:val="24"/>
                <w:color w:val="auto"/>
              </w:rPr>
            </w:pPr>
          </w:p>
        </w:tc>
        <w:tc>
          <w:tcPr>
            <w:tcW w:w="41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Form of American Depositary Receipt (included in Exhibit 2.3)</w:t>
              </w:r>
            </w:hyperlink>
          </w:p>
        </w:tc>
        <w:tc>
          <w:tcPr>
            <w:tcW w:w="2720" w:type="dxa"/>
            <w:vAlign w:val="bottom"/>
            <w:tcBorders>
              <w:top w:val="single" w:sz="8" w:color="0000EE"/>
            </w:tcBorders>
          </w:tcPr>
          <w:p>
            <w:pPr>
              <w:spacing w:after="0"/>
              <w:rPr>
                <w:sz w:val="24"/>
                <w:szCs w:val="24"/>
                <w:color w:val="auto"/>
              </w:rPr>
            </w:pPr>
          </w:p>
        </w:tc>
        <w:tc>
          <w:tcPr>
            <w:tcW w:w="1740" w:type="dxa"/>
            <w:vAlign w:val="bottom"/>
            <w:gridSpan w:val="22"/>
          </w:tcPr>
          <w:p>
            <w:pPr>
              <w:spacing w:after="0"/>
              <w:rPr>
                <w:sz w:val="24"/>
                <w:szCs w:val="24"/>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tcPr>
          <w:p>
            <w:pPr>
              <w:spacing w:after="0"/>
              <w:rPr>
                <w:sz w:val="24"/>
                <w:szCs w:val="24"/>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Registrant’s Specimen Certificate for Class A Ordinary Shares (incorporated herein by reference to Exhibit 4.1 to the current report</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Borders>
              <w:top w:val="single" w:sz="8" w:color="0000EE"/>
              <w:bottom w:val="single" w:sz="8" w:color="0000EE"/>
            </w:tcBorders>
            <w:gridSpan w:val="6"/>
          </w:tcPr>
          <w:p>
            <w:pPr>
              <w:spacing w:after="0" w:line="183" w:lineRule="exact"/>
              <w:rPr>
                <w:rFonts w:ascii="Times New Roman" w:cs="Times New Roman" w:eastAsia="Times New Roman" w:hAnsi="Times New Roman"/>
                <w:sz w:val="16"/>
                <w:szCs w:val="16"/>
                <w:color w:val="0000EE"/>
              </w:rPr>
            </w:pPr>
            <w:hyperlink r:id="rId222">
              <w:r>
                <w:rPr>
                  <w:rFonts w:ascii="Times New Roman" w:cs="Times New Roman" w:eastAsia="Times New Roman" w:hAnsi="Times New Roman"/>
                  <w:sz w:val="16"/>
                  <w:szCs w:val="16"/>
                  <w:color w:val="0000EE"/>
                </w:rPr>
                <w:t>on Form 6-K furnished to the SEC on June 24, 2022)</w:t>
              </w:r>
            </w:hyperlink>
          </w:p>
        </w:tc>
        <w:tc>
          <w:tcPr>
            <w:tcW w:w="5060" w:type="dxa"/>
            <w:vAlign w:val="bottom"/>
            <w:tcBorders>
              <w:top w:val="single" w:sz="8" w:color="0000EE"/>
            </w:tcBorders>
            <w:gridSpan w:val="21"/>
          </w:tcPr>
          <w:p>
            <w:pPr>
              <w:spacing w:after="0"/>
              <w:rPr>
                <w:sz w:val="15"/>
                <w:szCs w:val="15"/>
                <w:color w:val="auto"/>
              </w:rPr>
            </w:pPr>
          </w:p>
        </w:tc>
        <w:tc>
          <w:tcPr>
            <w:tcW w:w="80" w:type="dxa"/>
            <w:vAlign w:val="bottom"/>
            <w:gridSpan w:val="4"/>
          </w:tcPr>
          <w:p>
            <w:pPr>
              <w:spacing w:after="0"/>
              <w:rPr>
                <w:sz w:val="15"/>
                <w:szCs w:val="15"/>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24"/>
                <w:szCs w:val="24"/>
                <w:color w:val="auto"/>
              </w:rPr>
            </w:pPr>
          </w:p>
        </w:tc>
        <w:tc>
          <w:tcPr>
            <w:tcW w:w="8280" w:type="dxa"/>
            <w:vAlign w:val="bottom"/>
            <w:tcBorders>
              <w:bottom w:val="single" w:sz="8" w:color="0000EE"/>
            </w:tcBorders>
            <w:gridSpan w:val="20"/>
          </w:tcPr>
          <w:p>
            <w:pPr>
              <w:spacing w:after="0"/>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Form of Deposit Agreement among the Registrant, the depositary and holders of the American Depositary Shares (incorporated</w:t>
              </w:r>
            </w:hyperlink>
          </w:p>
        </w:tc>
        <w:tc>
          <w:tcPr>
            <w:tcW w:w="300" w:type="dxa"/>
            <w:vAlign w:val="bottom"/>
            <w:gridSpan w:val="11"/>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60" w:type="dxa"/>
            <w:vAlign w:val="bottom"/>
            <w:tcBorders>
              <w:bottom w:val="single" w:sz="8" w:color="0000EE"/>
            </w:tcBorders>
            <w:gridSpan w:val="24"/>
          </w:tcPr>
          <w:p>
            <w:pPr>
              <w:spacing w:after="0" w:line="183" w:lineRule="exact"/>
              <w:rPr>
                <w:rFonts w:ascii="Times New Roman" w:cs="Times New Roman" w:eastAsia="Times New Roman" w:hAnsi="Times New Roman"/>
                <w:sz w:val="16"/>
                <w:szCs w:val="16"/>
                <w:color w:val="0000EE"/>
              </w:rPr>
            </w:pPr>
            <w:hyperlink r:id="rId221">
              <w:r>
                <w:rPr>
                  <w:rFonts w:ascii="Times New Roman" w:cs="Times New Roman" w:eastAsia="Times New Roman" w:hAnsi="Times New Roman"/>
                  <w:sz w:val="16"/>
                  <w:szCs w:val="16"/>
                  <w:color w:val="0000EE"/>
                </w:rPr>
                <w:t>herein by reference to Exhibit 1 to the registration statement on Form F-6 (File No. 333-254092), as amended, initially filed with</w:t>
              </w:r>
            </w:hyperlink>
          </w:p>
        </w:tc>
        <w:tc>
          <w:tcPr>
            <w:tcW w:w="220" w:type="dxa"/>
            <w:vAlign w:val="bottom"/>
            <w:gridSpan w:val="7"/>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Borders>
              <w:bottom w:val="single" w:sz="8" w:color="0000EE"/>
            </w:tcBorders>
            <w:gridSpan w:val="4"/>
          </w:tcPr>
          <w:p>
            <w:pPr>
              <w:spacing w:after="0" w:line="183" w:lineRule="exact"/>
              <w:rPr>
                <w:rFonts w:ascii="Times New Roman" w:cs="Times New Roman" w:eastAsia="Times New Roman" w:hAnsi="Times New Roman"/>
                <w:sz w:val="16"/>
                <w:szCs w:val="16"/>
                <w:color w:val="0000EE"/>
                <w:w w:val="99"/>
              </w:rPr>
            </w:pPr>
            <w:hyperlink r:id="rId221">
              <w:r>
                <w:rPr>
                  <w:rFonts w:ascii="Times New Roman" w:cs="Times New Roman" w:eastAsia="Times New Roman" w:hAnsi="Times New Roman"/>
                  <w:sz w:val="16"/>
                  <w:szCs w:val="16"/>
                  <w:color w:val="0000EE"/>
                  <w:w w:val="99"/>
                </w:rPr>
                <w:t>the SEC on March 10, 2021)</w:t>
              </w:r>
            </w:hyperlink>
          </w:p>
        </w:tc>
        <w:tc>
          <w:tcPr>
            <w:tcW w:w="6720" w:type="dxa"/>
            <w:vAlign w:val="bottom"/>
            <w:gridSpan w:val="27"/>
          </w:tcPr>
          <w:p>
            <w:pPr>
              <w:spacing w:after="0"/>
              <w:rPr>
                <w:sz w:val="15"/>
                <w:szCs w:val="15"/>
                <w:color w:val="auto"/>
              </w:rPr>
            </w:pPr>
          </w:p>
        </w:tc>
      </w:tr>
      <w:tr>
        <w:trPr>
          <w:trHeight w:val="3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24"/>
                <w:szCs w:val="24"/>
                <w:color w:val="auto"/>
              </w:rPr>
            </w:pPr>
          </w:p>
        </w:tc>
        <w:tc>
          <w:tcPr>
            <w:tcW w:w="8460" w:type="dxa"/>
            <w:vAlign w:val="bottom"/>
            <w:tcBorders>
              <w:bottom w:val="single" w:sz="8" w:color="0000EE"/>
            </w:tcBorders>
            <w:gridSpan w:val="25"/>
          </w:tcPr>
          <w:p>
            <w:pPr>
              <w:spacing w:after="0"/>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Description of Registrant’s Securities (incorporated herein by reference to Exhibit 2.4 to the annual report for the fiscal year ended</w:t>
              </w:r>
            </w:hyperlink>
          </w:p>
        </w:tc>
        <w:tc>
          <w:tcPr>
            <w:tcW w:w="120" w:type="dxa"/>
            <w:vAlign w:val="bottom"/>
            <w:gridSpan w:val="6"/>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60" w:type="dxa"/>
            <w:vAlign w:val="bottom"/>
            <w:tcBorders>
              <w:bottom w:val="single" w:sz="8" w:color="0000EE"/>
            </w:tcBorders>
            <w:gridSpan w:val="7"/>
          </w:tcPr>
          <w:p>
            <w:pPr>
              <w:spacing w:after="0" w:line="183" w:lineRule="exact"/>
              <w:rPr>
                <w:rFonts w:ascii="Times New Roman" w:cs="Times New Roman" w:eastAsia="Times New Roman" w:hAnsi="Times New Roman"/>
                <w:sz w:val="16"/>
                <w:szCs w:val="16"/>
                <w:color w:val="0000EE"/>
              </w:rPr>
            </w:pPr>
            <w:hyperlink r:id="rId223">
              <w:r>
                <w:rPr>
                  <w:rFonts w:ascii="Times New Roman" w:cs="Times New Roman" w:eastAsia="Times New Roman" w:hAnsi="Times New Roman"/>
                  <w:sz w:val="16"/>
                  <w:szCs w:val="16"/>
                  <w:color w:val="0000EE"/>
                </w:rPr>
                <w:t>December 31, 2023 filed with the SEC on April 24, 2024)</w:t>
              </w:r>
            </w:hyperlink>
          </w:p>
        </w:tc>
        <w:tc>
          <w:tcPr>
            <w:tcW w:w="4820" w:type="dxa"/>
            <w:vAlign w:val="bottom"/>
            <w:gridSpan w:val="24"/>
          </w:tcPr>
          <w:p>
            <w:pPr>
              <w:spacing w:after="0"/>
              <w:rPr>
                <w:sz w:val="15"/>
                <w:szCs w:val="15"/>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24"/>
                <w:szCs w:val="24"/>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2015 Equity Incentive Plan, as amended and restated on June 15, 2022 (incorporated herein by reference to Exhibit 4.1 to the</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00" w:type="dxa"/>
            <w:vAlign w:val="bottom"/>
            <w:tcBorders>
              <w:top w:val="single" w:sz="8" w:color="0000EE"/>
            </w:tcBorders>
            <w:gridSpan w:val="14"/>
          </w:tcPr>
          <w:p>
            <w:pPr>
              <w:spacing w:after="0" w:line="183" w:lineRule="exact"/>
              <w:rPr>
                <w:rFonts w:ascii="Times New Roman" w:cs="Times New Roman" w:eastAsia="Times New Roman" w:hAnsi="Times New Roman"/>
                <w:sz w:val="16"/>
                <w:szCs w:val="16"/>
                <w:color w:val="0000EE"/>
              </w:rPr>
            </w:pPr>
            <w:hyperlink r:id="rId224">
              <w:r>
                <w:rPr>
                  <w:rFonts w:ascii="Times New Roman" w:cs="Times New Roman" w:eastAsia="Times New Roman" w:hAnsi="Times New Roman"/>
                  <w:sz w:val="16"/>
                  <w:szCs w:val="16"/>
                  <w:color w:val="0000EE"/>
                </w:rPr>
                <w:t>registration statement on Form 20-F (File No. 001-40210), no amendment, initially filed with the SEC on April 26, 2023)</w:t>
              </w:r>
            </w:hyperlink>
          </w:p>
        </w:tc>
        <w:tc>
          <w:tcPr>
            <w:tcW w:w="480" w:type="dxa"/>
            <w:vAlign w:val="bottom"/>
            <w:gridSpan w:val="17"/>
          </w:tcPr>
          <w:p>
            <w:pPr>
              <w:spacing w:after="0"/>
              <w:rPr>
                <w:sz w:val="15"/>
                <w:szCs w:val="15"/>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2024 Share Scheme</w:t>
            </w:r>
          </w:p>
        </w:tc>
        <w:tc>
          <w:tcPr>
            <w:tcW w:w="6580" w:type="dxa"/>
            <w:vAlign w:val="bottom"/>
            <w:tcBorders>
              <w:top w:val="single" w:sz="8" w:color="0000EE"/>
            </w:tcBorders>
            <w:gridSpan w:val="9"/>
          </w:tcPr>
          <w:p>
            <w:pPr>
              <w:spacing w:after="0"/>
              <w:rPr>
                <w:sz w:val="24"/>
                <w:szCs w:val="24"/>
                <w:color w:val="auto"/>
              </w:rPr>
            </w:pPr>
          </w:p>
        </w:tc>
        <w:tc>
          <w:tcPr>
            <w:tcW w:w="720" w:type="dxa"/>
            <w:vAlign w:val="bottom"/>
            <w:gridSpan w:val="20"/>
          </w:tcPr>
          <w:p>
            <w:pPr>
              <w:spacing w:after="0"/>
              <w:rPr>
                <w:sz w:val="24"/>
                <w:szCs w:val="24"/>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24"/>
                <w:szCs w:val="24"/>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Form of Indemnification Agreement between the Registrant and its directors and executive officers (incorporated herein by</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tcBorders>
              <w:bottom w:val="single" w:sz="8" w:color="0000EE"/>
            </w:tcBorders>
            <w:gridSpan w:val="26"/>
          </w:tcPr>
          <w:p>
            <w:pPr>
              <w:spacing w:after="0" w:line="183" w:lineRule="exact"/>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reference to Exhibit 10.2 to the registration statement on Form F-1 (File No. 333-253575), as amended, initially filed with the SEC</w:t>
              </w:r>
            </w:hyperlink>
          </w:p>
        </w:tc>
        <w:tc>
          <w:tcPr>
            <w:tcW w:w="100" w:type="dxa"/>
            <w:vAlign w:val="bottom"/>
            <w:gridSpan w:val="5"/>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80" w:type="dxa"/>
            <w:vAlign w:val="bottom"/>
            <w:gridSpan w:val="31"/>
          </w:tcPr>
          <w:p>
            <w:pPr>
              <w:spacing w:after="0" w:line="183" w:lineRule="exact"/>
              <w:rPr>
                <w:rFonts w:ascii="Times New Roman" w:cs="Times New Roman" w:eastAsia="Times New Roman" w:hAnsi="Times New Roman"/>
                <w:sz w:val="16"/>
                <w:szCs w:val="16"/>
                <w:color w:val="0000EE"/>
              </w:rPr>
            </w:pPr>
            <w:hyperlink r:id="rId225">
              <w:r>
                <w:rPr>
                  <w:rFonts w:ascii="Times New Roman" w:cs="Times New Roman" w:eastAsia="Times New Roman" w:hAnsi="Times New Roman"/>
                  <w:sz w:val="16"/>
                  <w:szCs w:val="16"/>
                  <w:color w:val="0000EE"/>
                </w:rPr>
                <w:t>on February 26, 2021)</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160" w:type="dxa"/>
            <w:vAlign w:val="bottom"/>
          </w:tcPr>
          <w:p>
            <w:pPr>
              <w:spacing w:after="0"/>
              <w:rPr>
                <w:sz w:val="24"/>
                <w:szCs w:val="24"/>
                <w:color w:val="auto"/>
              </w:rPr>
            </w:pPr>
          </w:p>
        </w:tc>
        <w:tc>
          <w:tcPr>
            <w:tcW w:w="858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Form of Employment Agreement between the Registrant and its executive officers (incorporated herein by reference to Exhibit 10.3</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40" w:type="dxa"/>
            <w:vAlign w:val="bottom"/>
            <w:tcBorders>
              <w:bottom w:val="single" w:sz="8" w:color="0000EE"/>
            </w:tcBorders>
            <w:gridSpan w:val="23"/>
          </w:tcPr>
          <w:p>
            <w:pPr>
              <w:spacing w:after="0" w:line="183" w:lineRule="exact"/>
              <w:rPr>
                <w:rFonts w:ascii="Times New Roman" w:cs="Times New Roman" w:eastAsia="Times New Roman" w:hAnsi="Times New Roman"/>
                <w:sz w:val="16"/>
                <w:szCs w:val="16"/>
                <w:color w:val="0000EE"/>
              </w:rPr>
            </w:pPr>
            <w:hyperlink r:id="rId226">
              <w:r>
                <w:rPr>
                  <w:rFonts w:ascii="Times New Roman" w:cs="Times New Roman" w:eastAsia="Times New Roman" w:hAnsi="Times New Roman"/>
                  <w:sz w:val="16"/>
                  <w:szCs w:val="16"/>
                  <w:color w:val="0000EE"/>
                </w:rPr>
                <w:t>to the registration statement on Form F-1 (File No. 333-253575), as amended, initially filed with the SEC on February 26, 2021)</w:t>
              </w:r>
            </w:hyperlink>
          </w:p>
        </w:tc>
        <w:tc>
          <w:tcPr>
            <w:tcW w:w="240" w:type="dxa"/>
            <w:vAlign w:val="bottom"/>
            <w:gridSpan w:val="8"/>
          </w:tcPr>
          <w:p>
            <w:pPr>
              <w:spacing w:after="0"/>
              <w:rPr>
                <w:sz w:val="15"/>
                <w:szCs w:val="15"/>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24"/>
                <w:szCs w:val="24"/>
                <w:color w:val="auto"/>
              </w:rPr>
            </w:pPr>
          </w:p>
        </w:tc>
        <w:tc>
          <w:tcPr>
            <w:tcW w:w="8580" w:type="dxa"/>
            <w:vAlign w:val="bottom"/>
            <w:tcBorders>
              <w:bottom w:val="single" w:sz="8" w:color="0000EE"/>
            </w:tcBorders>
            <w:gridSpan w:val="31"/>
          </w:tcPr>
          <w:p>
            <w:pPr>
              <w:spacing w:after="0"/>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Fifth Amended and Restated Shareholders’ Agreement dated September 11, 2019 (incorporated herein by reference to Exhibit 4.4 to</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60" w:type="dxa"/>
            <w:vAlign w:val="bottom"/>
            <w:tcBorders>
              <w:bottom w:val="single" w:sz="8" w:color="0000EE"/>
            </w:tcBorders>
            <w:gridSpan w:val="15"/>
          </w:tcPr>
          <w:p>
            <w:pPr>
              <w:spacing w:after="0" w:line="183" w:lineRule="exact"/>
              <w:rPr>
                <w:rFonts w:ascii="Times New Roman" w:cs="Times New Roman" w:eastAsia="Times New Roman" w:hAnsi="Times New Roman"/>
                <w:sz w:val="16"/>
                <w:szCs w:val="16"/>
                <w:color w:val="0000EE"/>
              </w:rPr>
            </w:pPr>
            <w:hyperlink r:id="rId227">
              <w:r>
                <w:rPr>
                  <w:rFonts w:ascii="Times New Roman" w:cs="Times New Roman" w:eastAsia="Times New Roman" w:hAnsi="Times New Roman"/>
                  <w:sz w:val="16"/>
                  <w:szCs w:val="16"/>
                  <w:color w:val="0000EE"/>
                </w:rPr>
                <w:t>the registration statement on Form F-1 (File No. 333-253575), as amended, initially filed with the SEC on February 26, 2021)</w:t>
              </w:r>
            </w:hyperlink>
          </w:p>
        </w:tc>
        <w:tc>
          <w:tcPr>
            <w:tcW w:w="420" w:type="dxa"/>
            <w:vAlign w:val="bottom"/>
            <w:gridSpan w:val="16"/>
          </w:tcPr>
          <w:p>
            <w:pPr>
              <w:spacing w:after="0"/>
              <w:rPr>
                <w:sz w:val="15"/>
                <w:szCs w:val="15"/>
                <w:color w:val="auto"/>
              </w:rPr>
            </w:pPr>
          </w:p>
        </w:tc>
      </w:tr>
      <w:tr>
        <w:trPr>
          <w:trHeight w:val="37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24"/>
                <w:szCs w:val="24"/>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Amended and Restated Equity Interest Pledge Agreement among Hangzhou Tuya Information Technology Co., Ltd. (formerly</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20" w:type="dxa"/>
            <w:vAlign w:val="bottom"/>
            <w:tcBorders>
              <w:bottom w:val="single" w:sz="8" w:color="0000EE"/>
            </w:tcBorders>
            <w:gridSpan w:val="22"/>
          </w:tcPr>
          <w:p>
            <w:pPr>
              <w:spacing w:after="0" w:line="183" w:lineRule="exact"/>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known as Hangzhou Aixiangji Technology Co., Ltd.), Liaohan (Leo) Chen and Hangzhou Tuya Technology Co., Ltd., originally</w:t>
              </w:r>
            </w:hyperlink>
          </w:p>
        </w:tc>
        <w:tc>
          <w:tcPr>
            <w:tcW w:w="260" w:type="dxa"/>
            <w:vAlign w:val="bottom"/>
            <w:gridSpan w:val="9"/>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80" w:type="dxa"/>
            <w:vAlign w:val="bottom"/>
            <w:tcBorders>
              <w:bottom w:val="single" w:sz="8" w:color="0000EE"/>
            </w:tcBorders>
            <w:gridSpan w:val="20"/>
          </w:tcPr>
          <w:p>
            <w:pPr>
              <w:spacing w:after="0" w:line="183" w:lineRule="exact"/>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dated December 23, 2014, amended on August 23, 2019 and amended and restated on January 19, 2022 (incorporated herein by</w:t>
              </w:r>
            </w:hyperlink>
          </w:p>
        </w:tc>
        <w:tc>
          <w:tcPr>
            <w:tcW w:w="300" w:type="dxa"/>
            <w:vAlign w:val="bottom"/>
            <w:gridSpan w:val="11"/>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rPr>
            </w:pPr>
            <w:hyperlink r:id="rId228">
              <w:r>
                <w:rPr>
                  <w:rFonts w:ascii="Times New Roman" w:cs="Times New Roman" w:eastAsia="Times New Roman" w:hAnsi="Times New Roman"/>
                  <w:sz w:val="16"/>
                  <w:szCs w:val="16"/>
                  <w:color w:val="0000EE"/>
                </w:rPr>
                <w:t>reference to Exhibit 4.5 to our annual report on Form 20-F for the fiscal year ended December 31, 2021 filed with the SEC on April</w:t>
              </w:r>
            </w:hyperlink>
          </w:p>
        </w:tc>
        <w:tc>
          <w:tcPr>
            <w:tcW w:w="20" w:type="dxa"/>
            <w:vAlign w:val="bottom"/>
          </w:tcPr>
          <w:p>
            <w:pPr>
              <w:spacing w:after="0"/>
              <w:rPr>
                <w:sz w:val="17"/>
                <w:szCs w:val="17"/>
                <w:color w:val="auto"/>
              </w:rPr>
            </w:pPr>
          </w:p>
        </w:tc>
      </w:tr>
      <w:tr>
        <w:trPr>
          <w:trHeight w:val="182"/>
        </w:trPr>
        <w:tc>
          <w:tcPr>
            <w:tcW w:w="1180" w:type="dxa"/>
            <w:vAlign w:val="bottom"/>
          </w:tcPr>
          <w:p>
            <w:pPr>
              <w:spacing w:after="0"/>
              <w:rPr>
                <w:sz w:val="15"/>
                <w:szCs w:val="15"/>
                <w:color w:val="auto"/>
              </w:rPr>
            </w:pPr>
          </w:p>
        </w:tc>
        <w:tc>
          <w:tcPr>
            <w:tcW w:w="780" w:type="dxa"/>
            <w:vAlign w:val="bottom"/>
            <w:gridSpan w:val="2"/>
          </w:tcPr>
          <w:p>
            <w:pPr>
              <w:ind w:left="160"/>
              <w:spacing w:after="0" w:line="183" w:lineRule="exact"/>
              <w:rPr>
                <w:rFonts w:ascii="Times New Roman" w:cs="Times New Roman" w:eastAsia="Times New Roman" w:hAnsi="Times New Roman"/>
                <w:sz w:val="16"/>
                <w:szCs w:val="16"/>
                <w:color w:val="0000EE"/>
                <w:w w:val="97"/>
              </w:rPr>
            </w:pPr>
            <w:hyperlink r:id="rId228">
              <w:r>
                <w:rPr>
                  <w:rFonts w:ascii="Times New Roman" w:cs="Times New Roman" w:eastAsia="Times New Roman" w:hAnsi="Times New Roman"/>
                  <w:sz w:val="16"/>
                  <w:szCs w:val="16"/>
                  <w:color w:val="0000EE"/>
                  <w:w w:val="97"/>
                </w:rPr>
                <w:t>28, 2022)</w:t>
              </w:r>
            </w:hyperlink>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24"/>
                <w:szCs w:val="24"/>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Amended and Restated Equity Interest Pledge Agreement among Hangzhou Tuya Information Technology Co., Ltd. (formerly</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80" w:type="dxa"/>
            <w:vAlign w:val="bottom"/>
            <w:gridSpan w:val="31"/>
          </w:tcPr>
          <w:p>
            <w:pPr>
              <w:spacing w:after="0" w:line="183"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known as Hangzhou Aixiangji Technology Co., Ltd.), Peihong Chen and Hangzhou Tuya Technology Co., Ltd., originally dated</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80" w:type="dxa"/>
            <w:vAlign w:val="bottom"/>
            <w:gridSpan w:val="31"/>
          </w:tcPr>
          <w:p>
            <w:pPr>
              <w:spacing w:after="0" w:line="183" w:lineRule="exact"/>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December 23, 2014, amended on August 23, 2019 and amended and restated on January 19, 2022 (incorporated herein by reference</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rPr>
            </w:pPr>
            <w:hyperlink r:id="rId229">
              <w:r>
                <w:rPr>
                  <w:rFonts w:ascii="Times New Roman" w:cs="Times New Roman" w:eastAsia="Times New Roman" w:hAnsi="Times New Roman"/>
                  <w:sz w:val="16"/>
                  <w:szCs w:val="16"/>
                  <w:color w:val="0000EE"/>
                </w:rPr>
                <w:t>to Exhibit 4.6 to our annual report on Form 20-F for the fiscal year ended December 31, 2021 filed with the SEC on April 28, 2022)</w:t>
              </w:r>
            </w:hyperlink>
          </w:p>
        </w:tc>
        <w:tc>
          <w:tcPr>
            <w:tcW w:w="20" w:type="dxa"/>
            <w:vAlign w:val="bottom"/>
          </w:tcPr>
          <w:p>
            <w:pPr>
              <w:spacing w:after="0"/>
              <w:rPr>
                <w:sz w:val="17"/>
                <w:szCs w:val="17"/>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24"/>
                <w:szCs w:val="24"/>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Amended and Restated Equity Interest Pledge Agreement among Hangzhou Tuya Information Technology Co., Ltd. (formerly</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20" w:type="dxa"/>
            <w:vAlign w:val="bottom"/>
            <w:tcBorders>
              <w:bottom w:val="single" w:sz="8" w:color="0000EE"/>
            </w:tcBorders>
            <w:gridSpan w:val="17"/>
          </w:tcPr>
          <w:p>
            <w:pPr>
              <w:spacing w:after="0" w:line="183" w:lineRule="exact"/>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known as Hangzhou Aixiangji Technology Co., Ltd.), Ruixin Zhou and Hangzhou Tuya Technology Co., Ltd., originally dated</w:t>
              </w:r>
            </w:hyperlink>
          </w:p>
        </w:tc>
        <w:tc>
          <w:tcPr>
            <w:tcW w:w="360" w:type="dxa"/>
            <w:vAlign w:val="bottom"/>
            <w:gridSpan w:val="14"/>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40" w:type="dxa"/>
            <w:vAlign w:val="bottom"/>
            <w:tcBorders>
              <w:bottom w:val="single" w:sz="8" w:color="0000EE"/>
            </w:tcBorders>
            <w:gridSpan w:val="29"/>
          </w:tcPr>
          <w:p>
            <w:pPr>
              <w:spacing w:after="0"/>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December 23, 2014, amended on August 23, 2019 and amended and restated on January 19, 2022 (incorporated herein by reference</w:t>
              </w:r>
            </w:hyperlink>
          </w:p>
        </w:tc>
        <w:tc>
          <w:tcPr>
            <w:tcW w:w="4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bottom w:val="single" w:sz="8" w:color="0000EE"/>
            </w:tcBorders>
            <w:gridSpan w:val="30"/>
          </w:tcPr>
          <w:p>
            <w:pPr>
              <w:spacing w:after="0"/>
              <w:rPr>
                <w:rFonts w:ascii="Times New Roman" w:cs="Times New Roman" w:eastAsia="Times New Roman" w:hAnsi="Times New Roman"/>
                <w:sz w:val="16"/>
                <w:szCs w:val="16"/>
                <w:color w:val="0000EE"/>
              </w:rPr>
            </w:pPr>
            <w:hyperlink r:id="rId230">
              <w:r>
                <w:rPr>
                  <w:rFonts w:ascii="Times New Roman" w:cs="Times New Roman" w:eastAsia="Times New Roman" w:hAnsi="Times New Roman"/>
                  <w:sz w:val="16"/>
                  <w:szCs w:val="16"/>
                  <w:color w:val="0000EE"/>
                </w:rPr>
                <w:t>to Exhibit 4.7 to our annual report on Form 20-F for the fiscal year ended December 31, 2021 filed with the SEC on April 28, 2022)</w:t>
              </w:r>
            </w:hyperlink>
          </w:p>
        </w:tc>
        <w:tc>
          <w:tcPr>
            <w:tcW w:w="20" w:type="dxa"/>
            <w:vAlign w:val="bottom"/>
          </w:tcPr>
          <w:p>
            <w:pPr>
              <w:spacing w:after="0"/>
              <w:rPr>
                <w:sz w:val="17"/>
                <w:szCs w:val="17"/>
                <w:color w:val="auto"/>
              </w:rPr>
            </w:pPr>
          </w:p>
        </w:tc>
      </w:tr>
      <w:tr>
        <w:trPr>
          <w:trHeight w:val="3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24"/>
                <w:szCs w:val="24"/>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Second Amended and Restated Equity Interest Pledge Agreement among Hangzhou Tuya Information Technology Co., Ltd.</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26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40" w:type="dxa"/>
            <w:vAlign w:val="bottom"/>
            <w:tcBorders>
              <w:bottom w:val="single" w:sz="8" w:color="0000EE"/>
            </w:tcBorders>
            <w:gridSpan w:val="18"/>
          </w:tcPr>
          <w:p>
            <w:pPr>
              <w:spacing w:after="0" w:line="183" w:lineRule="exact"/>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(formerly known as Hangzhou Aixiangji Technology Co., Ltd.), Xueji (Jerry) Wang and Hangzhou Tuya Technology Co., Ltd.,</w:t>
              </w:r>
            </w:hyperlink>
          </w:p>
        </w:tc>
        <w:tc>
          <w:tcPr>
            <w:tcW w:w="340" w:type="dxa"/>
            <w:vAlign w:val="bottom"/>
            <w:gridSpan w:val="13"/>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00" w:type="dxa"/>
            <w:vAlign w:val="bottom"/>
            <w:tcBorders>
              <w:bottom w:val="single" w:sz="8" w:color="0000EE"/>
            </w:tcBorders>
            <w:gridSpan w:val="10"/>
          </w:tcPr>
          <w:p>
            <w:pPr>
              <w:spacing w:after="0" w:line="183" w:lineRule="exact"/>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originally dated December 23, 2014 and, amended and restated on August 23, 2019 and January 19, 2022, respectively</w:t>
              </w:r>
            </w:hyperlink>
          </w:p>
        </w:tc>
        <w:tc>
          <w:tcPr>
            <w:tcW w:w="880" w:type="dxa"/>
            <w:vAlign w:val="bottom"/>
            <w:gridSpan w:val="21"/>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80" w:type="dxa"/>
            <w:vAlign w:val="bottom"/>
            <w:gridSpan w:val="31"/>
          </w:tcPr>
          <w:p>
            <w:pPr>
              <w:spacing w:after="0"/>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(incorporated herein by reference to Exhibit 4.8 to our annual report on Form 20-F for the fiscal year ended December 31, 2021</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60" w:type="dxa"/>
            <w:vAlign w:val="bottom"/>
            <w:tcBorders>
              <w:top w:val="single" w:sz="8" w:color="0000EE"/>
            </w:tcBorders>
            <w:gridSpan w:val="19"/>
          </w:tcPr>
          <w:p>
            <w:pPr>
              <w:spacing w:after="0" w:line="183" w:lineRule="exact"/>
              <w:rPr>
                <w:rFonts w:ascii="Times New Roman" w:cs="Times New Roman" w:eastAsia="Times New Roman" w:hAnsi="Times New Roman"/>
                <w:sz w:val="16"/>
                <w:szCs w:val="16"/>
                <w:color w:val="0000EE"/>
              </w:rPr>
            </w:pPr>
            <w:hyperlink r:id="rId231">
              <w:r>
                <w:rPr>
                  <w:rFonts w:ascii="Times New Roman" w:cs="Times New Roman" w:eastAsia="Times New Roman" w:hAnsi="Times New Roman"/>
                  <w:sz w:val="16"/>
                  <w:szCs w:val="16"/>
                  <w:color w:val="0000EE"/>
                </w:rPr>
                <w:t>filed with the SEC on April 28, 2022)</w:t>
              </w:r>
            </w:hyperlink>
          </w:p>
        </w:tc>
        <w:tc>
          <w:tcPr>
            <w:tcW w:w="320" w:type="dxa"/>
            <w:vAlign w:val="bottom"/>
            <w:gridSpan w:val="12"/>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60" w:type="dxa"/>
            <w:vAlign w:val="bottom"/>
          </w:tcPr>
          <w:p>
            <w:pPr>
              <w:spacing w:after="0"/>
              <w:rPr>
                <w:sz w:val="16"/>
                <w:szCs w:val="16"/>
                <w:color w:val="auto"/>
              </w:rPr>
            </w:pPr>
          </w:p>
        </w:tc>
        <w:tc>
          <w:tcPr>
            <w:tcW w:w="8580" w:type="dxa"/>
            <w:vAlign w:val="bottom"/>
            <w:tcBorders>
              <w:bottom w:val="single" w:sz="8" w:color="auto"/>
            </w:tcBorders>
            <w:gridSpan w:val="12"/>
          </w:tcPr>
          <w:p>
            <w:pPr>
              <w:ind w:left="35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188"/>
        </w:trPr>
        <w:tc>
          <w:tcPr>
            <w:tcW w:w="11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4.10</w:t>
            </w:r>
          </w:p>
        </w:tc>
        <w:tc>
          <w:tcPr>
            <w:tcW w:w="160" w:type="dxa"/>
            <w:vAlign w:val="bottom"/>
          </w:tcPr>
          <w:p>
            <w:pPr>
              <w:spacing w:after="0"/>
              <w:rPr>
                <w:sz w:val="16"/>
                <w:szCs w:val="16"/>
                <w:color w:val="auto"/>
              </w:rPr>
            </w:pPr>
          </w:p>
        </w:tc>
        <w:tc>
          <w:tcPr>
            <w:tcW w:w="8580" w:type="dxa"/>
            <w:vAlign w:val="bottom"/>
            <w:gridSpan w:val="12"/>
          </w:tcPr>
          <w:p>
            <w:pPr>
              <w:spacing w:after="0"/>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Amended and Restated Equity Interest Pledge Agreement among Hangzhou Tuya Information Technology Co., Ltd. (formerly</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80" w:type="dxa"/>
            <w:vAlign w:val="bottom"/>
            <w:tcBorders>
              <w:top w:val="single" w:sz="8" w:color="0000EE"/>
            </w:tcBorders>
            <w:gridSpan w:val="5"/>
          </w:tcPr>
          <w:p>
            <w:pPr>
              <w:spacing w:after="0" w:line="183" w:lineRule="exact"/>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known as Hangzhou Aixiangji Technology Co., Ltd.), Yaona Lin and Hangzhou Tuya Technology Co., Ltd., originally dated</w:t>
              </w:r>
            </w:hyperlink>
          </w:p>
        </w:tc>
        <w:tc>
          <w:tcPr>
            <w:tcW w:w="400" w:type="dxa"/>
            <w:vAlign w:val="bottom"/>
            <w:gridSpan w:val="7"/>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4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December 23, 2014, amended on August 23, 2019 and amended and restated on January 19, 2022 (incorporated herein by reference</w:t>
              </w:r>
            </w:hyperlink>
          </w:p>
        </w:tc>
        <w:tc>
          <w:tcPr>
            <w:tcW w:w="4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233">
              <w:r>
                <w:rPr>
                  <w:rFonts w:ascii="Times New Roman" w:cs="Times New Roman" w:eastAsia="Times New Roman" w:hAnsi="Times New Roman"/>
                  <w:sz w:val="16"/>
                  <w:szCs w:val="16"/>
                  <w:color w:val="0000EE"/>
                </w:rPr>
                <w:t>to Exhibit 4.9 to our annual report on Form 20-F for the fiscal year ended December 31, 2021 filed with the SEC on April 28, 2022)</w:t>
              </w:r>
            </w:hyperlink>
          </w:p>
        </w:tc>
        <w:tc>
          <w:tcPr>
            <w:tcW w:w="20" w:type="dxa"/>
            <w:vAlign w:val="bottom"/>
          </w:tcPr>
          <w:p>
            <w:pPr>
              <w:spacing w:after="0"/>
              <w:rPr>
                <w:sz w:val="17"/>
                <w:szCs w:val="17"/>
                <w:color w:val="auto"/>
              </w:rPr>
            </w:pPr>
          </w:p>
        </w:tc>
      </w:tr>
      <w:tr>
        <w:trPr>
          <w:trHeight w:val="385"/>
        </w:trPr>
        <w:tc>
          <w:tcPr>
            <w:tcW w:w="11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2"/>
              </w:rPr>
              <w:t>4.11</w:t>
            </w:r>
          </w:p>
        </w:tc>
        <w:tc>
          <w:tcPr>
            <w:tcW w:w="160" w:type="dxa"/>
            <w:vAlign w:val="bottom"/>
          </w:tcPr>
          <w:p>
            <w:pPr>
              <w:spacing w:after="0"/>
              <w:rPr>
                <w:sz w:val="24"/>
                <w:szCs w:val="24"/>
                <w:color w:val="auto"/>
              </w:rPr>
            </w:pPr>
          </w:p>
        </w:tc>
        <w:tc>
          <w:tcPr>
            <w:tcW w:w="8580" w:type="dxa"/>
            <w:vAlign w:val="bottom"/>
            <w:gridSpan w:val="12"/>
          </w:tcPr>
          <w:p>
            <w:pPr>
              <w:spacing w:after="0"/>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Amended and Restated Exclusive Business Cooperation Agreement between Hangzhou Tuya Information Technology Co., Ltd.</w:t>
              </w:r>
            </w:hyperlink>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40" w:type="dxa"/>
            <w:vAlign w:val="bottom"/>
            <w:tcBorders>
              <w:top w:val="single" w:sz="8" w:color="0000EE"/>
              <w:bottom w:val="single" w:sz="8" w:color="0000EE"/>
            </w:tcBorders>
            <w:gridSpan w:val="3"/>
          </w:tcPr>
          <w:p>
            <w:pPr>
              <w:spacing w:after="0" w:line="183" w:lineRule="exact"/>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(formerly known as Hangzhou Aixiangji Technology Co., Ltd.) and Hangzhou Tuya Technology Co., Ltd. originally dated</w:t>
              </w:r>
            </w:hyperlink>
          </w:p>
        </w:tc>
        <w:tc>
          <w:tcPr>
            <w:tcW w:w="340" w:type="dxa"/>
            <w:vAlign w:val="bottom"/>
            <w:tcBorders>
              <w:top w:val="single" w:sz="8" w:color="0000EE"/>
            </w:tcBorders>
            <w:gridSpan w:val="3"/>
          </w:tcPr>
          <w:p>
            <w:pPr>
              <w:spacing w:after="0"/>
              <w:rPr>
                <w:sz w:val="15"/>
                <w:szCs w:val="15"/>
                <w:color w:val="auto"/>
              </w:rPr>
            </w:pPr>
          </w:p>
        </w:tc>
        <w:tc>
          <w:tcPr>
            <w:tcW w:w="300" w:type="dxa"/>
            <w:vAlign w:val="bottom"/>
            <w:gridSpan w:val="6"/>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6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December 23, 2014 and amended and restated on January 19, 2022 (incorporated herein by reference to Exhibit 4.10 to our annual</w:t>
              </w:r>
            </w:hyperlink>
          </w:p>
        </w:tc>
        <w:tc>
          <w:tcPr>
            <w:tcW w:w="12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80" w:type="dxa"/>
            <w:vAlign w:val="bottom"/>
            <w:gridSpan w:val="12"/>
          </w:tcPr>
          <w:p>
            <w:pPr>
              <w:spacing w:after="0"/>
              <w:rPr>
                <w:rFonts w:ascii="Times New Roman" w:cs="Times New Roman" w:eastAsia="Times New Roman" w:hAnsi="Times New Roman"/>
                <w:sz w:val="16"/>
                <w:szCs w:val="16"/>
                <w:color w:val="0000EE"/>
              </w:rPr>
            </w:pPr>
            <w:hyperlink r:id="rId234">
              <w:r>
                <w:rPr>
                  <w:rFonts w:ascii="Times New Roman" w:cs="Times New Roman" w:eastAsia="Times New Roman" w:hAnsi="Times New Roman"/>
                  <w:sz w:val="16"/>
                  <w:szCs w:val="16"/>
                  <w:color w:val="0000EE"/>
                </w:rPr>
                <w:t>report on Form 20-F for the fiscal year ended December 31, 2021 filed with the SEC on April 28, 2022)</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4.12</w:t>
            </w:r>
          </w:p>
        </w:tc>
        <w:tc>
          <w:tcPr>
            <w:tcW w:w="160" w:type="dxa"/>
            <w:vAlign w:val="bottom"/>
          </w:tcPr>
          <w:p>
            <w:pPr>
              <w:spacing w:after="0"/>
              <w:rPr>
                <w:sz w:val="24"/>
                <w:szCs w:val="24"/>
                <w:color w:val="auto"/>
              </w:rPr>
            </w:pPr>
          </w:p>
        </w:tc>
        <w:tc>
          <w:tcPr>
            <w:tcW w:w="854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235">
              <w:r>
                <w:rPr>
                  <w:rFonts w:ascii="Times New Roman" w:cs="Times New Roman" w:eastAsia="Times New Roman" w:hAnsi="Times New Roman"/>
                  <w:sz w:val="16"/>
                  <w:szCs w:val="16"/>
                  <w:color w:val="0000EE"/>
                </w:rPr>
                <w:t>Amended and Restated Exclusive Option Agreement among Hangzhou Tuya Information Technology Co., Ltd. (formerly known as</w:t>
              </w:r>
            </w:hyperlink>
          </w:p>
        </w:tc>
        <w:tc>
          <w:tcPr>
            <w:tcW w:w="40" w:type="dxa"/>
            <w:vAlign w:val="bottom"/>
            <w:gridSpan w:val="2"/>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80" w:type="dxa"/>
            <w:vAlign w:val="bottom"/>
            <w:gridSpan w:val="12"/>
          </w:tcPr>
          <w:p>
            <w:pPr>
              <w:spacing w:after="0" w:line="183" w:lineRule="exact"/>
              <w:rPr>
                <w:rFonts w:ascii="Times New Roman" w:cs="Times New Roman" w:eastAsia="Times New Roman" w:hAnsi="Times New Roman"/>
                <w:sz w:val="16"/>
                <w:szCs w:val="16"/>
                <w:color w:val="0000EE"/>
              </w:rPr>
            </w:pPr>
            <w:hyperlink r:id="rId235">
              <w:r>
                <w:rPr>
                  <w:rFonts w:ascii="Times New Roman" w:cs="Times New Roman" w:eastAsia="Times New Roman" w:hAnsi="Times New Roman"/>
                  <w:sz w:val="16"/>
                  <w:szCs w:val="16"/>
                  <w:color w:val="0000EE"/>
                </w:rPr>
                <w:t>Hangzhou Aixiangji Technology Co., Ltd.), Liaohan (Leo) Chen and Hangzhou Tuya Technology Co., Ltd. originally dated</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80" w:type="dxa"/>
            <w:vAlign w:val="bottom"/>
            <w:gridSpan w:val="12"/>
          </w:tcPr>
          <w:p>
            <w:pPr>
              <w:spacing w:after="0"/>
              <w:rPr>
                <w:rFonts w:ascii="Times New Roman" w:cs="Times New Roman" w:eastAsia="Times New Roman" w:hAnsi="Times New Roman"/>
                <w:sz w:val="16"/>
                <w:szCs w:val="16"/>
                <w:color w:val="0000EE"/>
              </w:rPr>
            </w:pPr>
            <w:hyperlink r:id="rId235">
              <w:r>
                <w:rPr>
                  <w:rFonts w:ascii="Times New Roman" w:cs="Times New Roman" w:eastAsia="Times New Roman" w:hAnsi="Times New Roman"/>
                  <w:sz w:val="16"/>
                  <w:szCs w:val="16"/>
                  <w:color w:val="0000EE"/>
                </w:rPr>
                <w:t>December 23, 2014 and amended and restated on January 19, 2022 (incorporated herein by reference to Exhibit 4.11 to our annual</w:t>
              </w:r>
            </w:hyperlink>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top w:val="single" w:sz="8" w:color="0000EE"/>
            </w:tcBorders>
            <w:gridSpan w:val="7"/>
          </w:tcPr>
          <w:p>
            <w:pPr>
              <w:spacing w:after="0"/>
              <w:rPr>
                <w:rFonts w:ascii="Times New Roman" w:cs="Times New Roman" w:eastAsia="Times New Roman" w:hAnsi="Times New Roman"/>
                <w:sz w:val="16"/>
                <w:szCs w:val="16"/>
                <w:color w:val="0000EE"/>
              </w:rPr>
            </w:pPr>
            <w:hyperlink r:id="rId235">
              <w:r>
                <w:rPr>
                  <w:rFonts w:ascii="Times New Roman" w:cs="Times New Roman" w:eastAsia="Times New Roman" w:hAnsi="Times New Roman"/>
                  <w:sz w:val="16"/>
                  <w:szCs w:val="16"/>
                  <w:color w:val="0000EE"/>
                </w:rPr>
                <w:t>report on Form 20-F for the fiscal year ended December 31, 2021 filed with the SEC on April 28, 2022)</w:t>
              </w:r>
            </w:hyperlink>
          </w:p>
        </w:tc>
        <w:tc>
          <w:tcPr>
            <w:tcW w:w="140" w:type="dxa"/>
            <w:vAlign w:val="bottom"/>
            <w:gridSpan w:val="5"/>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4.13</w:t>
            </w:r>
          </w:p>
        </w:tc>
        <w:tc>
          <w:tcPr>
            <w:tcW w:w="160" w:type="dxa"/>
            <w:vAlign w:val="bottom"/>
          </w:tcPr>
          <w:p>
            <w:pPr>
              <w:spacing w:after="0"/>
              <w:rPr>
                <w:sz w:val="24"/>
                <w:szCs w:val="24"/>
                <w:color w:val="auto"/>
              </w:rPr>
            </w:pPr>
          </w:p>
        </w:tc>
        <w:tc>
          <w:tcPr>
            <w:tcW w:w="8560" w:type="dxa"/>
            <w:vAlign w:val="bottom"/>
            <w:tcBorders>
              <w:bottom w:val="single" w:sz="8" w:color="0000EE"/>
            </w:tcBorders>
            <w:gridSpan w:val="11"/>
          </w:tcPr>
          <w:p>
            <w:pPr>
              <w:spacing w:after="0"/>
              <w:rPr>
                <w:rFonts w:ascii="Times New Roman" w:cs="Times New Roman" w:eastAsia="Times New Roman" w:hAnsi="Times New Roman"/>
                <w:sz w:val="16"/>
                <w:szCs w:val="16"/>
                <w:color w:val="0000EE"/>
              </w:rPr>
            </w:pPr>
            <w:hyperlink r:id="rId236">
              <w:r>
                <w:rPr>
                  <w:rFonts w:ascii="Times New Roman" w:cs="Times New Roman" w:eastAsia="Times New Roman" w:hAnsi="Times New Roman"/>
                  <w:sz w:val="16"/>
                  <w:szCs w:val="16"/>
                  <w:color w:val="0000EE"/>
                </w:rPr>
                <w:t>Amended and Restated Exclusive Option Agreement among Hangzhou Tuya Information Technology Co., Ltd. (formerly known as</w:t>
              </w:r>
            </w:hyperlink>
          </w:p>
        </w:tc>
        <w:tc>
          <w:tcPr>
            <w:tcW w:w="2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60" w:type="dxa"/>
            <w:vAlign w:val="bottom"/>
            <w:tcBorders>
              <w:bottom w:val="single" w:sz="8" w:color="0000EE"/>
            </w:tcBorders>
            <w:gridSpan w:val="11"/>
          </w:tcPr>
          <w:p>
            <w:pPr>
              <w:spacing w:after="0" w:line="183" w:lineRule="exact"/>
              <w:rPr>
                <w:rFonts w:ascii="Times New Roman" w:cs="Times New Roman" w:eastAsia="Times New Roman" w:hAnsi="Times New Roman"/>
                <w:sz w:val="16"/>
                <w:szCs w:val="16"/>
                <w:color w:val="0000EE"/>
              </w:rPr>
            </w:pPr>
            <w:hyperlink r:id="rId236">
              <w:r>
                <w:rPr>
                  <w:rFonts w:ascii="Times New Roman" w:cs="Times New Roman" w:eastAsia="Times New Roman" w:hAnsi="Times New Roman"/>
                  <w:sz w:val="16"/>
                  <w:szCs w:val="16"/>
                  <w:color w:val="0000EE"/>
                </w:rPr>
                <w:t>Hangzhou Aixiangji Technology Co., Ltd.), Peihong Chen and Hangzhou Tuya Technology Co., Ltd. originally dated December 23,</w:t>
              </w:r>
            </w:hyperlink>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80" w:type="dxa"/>
            <w:vAlign w:val="bottom"/>
            <w:gridSpan w:val="12"/>
          </w:tcPr>
          <w:p>
            <w:pPr>
              <w:spacing w:after="0"/>
              <w:rPr>
                <w:rFonts w:ascii="Times New Roman" w:cs="Times New Roman" w:eastAsia="Times New Roman" w:hAnsi="Times New Roman"/>
                <w:sz w:val="16"/>
                <w:szCs w:val="16"/>
                <w:color w:val="0000EE"/>
              </w:rPr>
            </w:pPr>
            <w:hyperlink r:id="rId236">
              <w:r>
                <w:rPr>
                  <w:rFonts w:ascii="Times New Roman" w:cs="Times New Roman" w:eastAsia="Times New Roman" w:hAnsi="Times New Roman"/>
                  <w:sz w:val="16"/>
                  <w:szCs w:val="16"/>
                  <w:color w:val="0000EE"/>
                </w:rPr>
                <w:t>2014 and amended and restated on January 19, 2022 (incorporated herein by reference to Exhibit 4.12 to our annual report on Form</w:t>
              </w:r>
            </w:hyperlink>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20" w:type="dxa"/>
            <w:vAlign w:val="bottom"/>
            <w:tcBorders>
              <w:top w:val="single" w:sz="8" w:color="0000EE"/>
            </w:tcBorders>
            <w:gridSpan w:val="9"/>
          </w:tcPr>
          <w:p>
            <w:pPr>
              <w:spacing w:after="0"/>
              <w:rPr>
                <w:rFonts w:ascii="Times New Roman" w:cs="Times New Roman" w:eastAsia="Times New Roman" w:hAnsi="Times New Roman"/>
                <w:sz w:val="16"/>
                <w:szCs w:val="16"/>
                <w:color w:val="0000EE"/>
              </w:rPr>
            </w:pPr>
            <w:hyperlink r:id="rId236">
              <w:r>
                <w:rPr>
                  <w:rFonts w:ascii="Times New Roman" w:cs="Times New Roman" w:eastAsia="Times New Roman" w:hAnsi="Times New Roman"/>
                  <w:sz w:val="16"/>
                  <w:szCs w:val="16"/>
                  <w:color w:val="0000EE"/>
                </w:rPr>
                <w:t>20-F for the fiscal year ended December 31, 2021 filed with the SEC on April 28, 2022)</w:t>
              </w:r>
            </w:hyperlink>
          </w:p>
        </w:tc>
        <w:tc>
          <w:tcPr>
            <w:tcW w:w="60" w:type="dxa"/>
            <w:vAlign w:val="bottom"/>
            <w:gridSpan w:val="3"/>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EE"/>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85"/>
        </w:trPr>
        <w:tc>
          <w:tcPr>
            <w:tcW w:w="11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4.14</w:t>
            </w:r>
          </w:p>
        </w:tc>
        <w:tc>
          <w:tcPr>
            <w:tcW w:w="160" w:type="dxa"/>
            <w:vAlign w:val="bottom"/>
          </w:tcPr>
          <w:p>
            <w:pPr>
              <w:spacing w:after="0"/>
              <w:rPr>
                <w:sz w:val="24"/>
                <w:szCs w:val="24"/>
                <w:color w:val="auto"/>
              </w:rPr>
            </w:pPr>
          </w:p>
        </w:tc>
        <w:tc>
          <w:tcPr>
            <w:tcW w:w="854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Amended and Restated Exclusive Option Agreement among Hangzhou Tuya Information Technology Co., Ltd. (formerly known as</w:t>
              </w:r>
            </w:hyperlink>
          </w:p>
        </w:tc>
        <w:tc>
          <w:tcPr>
            <w:tcW w:w="40" w:type="dxa"/>
            <w:vAlign w:val="bottom"/>
            <w:gridSpan w:val="2"/>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580" w:type="dxa"/>
            <w:vAlign w:val="bottom"/>
            <w:gridSpan w:val="12"/>
          </w:tcPr>
          <w:p>
            <w:pPr>
              <w:spacing w:after="0" w:line="183" w:lineRule="exact"/>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Hangzhou Aixiangji Technology Co., Ltd.), Ruixin Zhou and Hangzhou Tuya Technology Co., Ltd. originally dated December 23,</w:t>
              </w:r>
            </w:hyperlink>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60" w:type="dxa"/>
            <w:vAlign w:val="bottom"/>
            <w:gridSpan w:val="8"/>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80" w:type="dxa"/>
            <w:vAlign w:val="bottom"/>
            <w:gridSpan w:val="12"/>
          </w:tcPr>
          <w:p>
            <w:pPr>
              <w:spacing w:after="0"/>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2014 and amended and restated on January 19, 2022 (incorporated herein by reference to Exhibit 4.13 to our annual report on Form</w:t>
              </w:r>
            </w:hyperlink>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20" w:type="dxa"/>
            <w:vAlign w:val="bottom"/>
            <w:tcBorders>
              <w:top w:val="single" w:sz="8" w:color="0000EE"/>
            </w:tcBorders>
            <w:gridSpan w:val="9"/>
          </w:tcPr>
          <w:p>
            <w:pPr>
              <w:spacing w:after="0"/>
              <w:rPr>
                <w:rFonts w:ascii="Times New Roman" w:cs="Times New Roman" w:eastAsia="Times New Roman" w:hAnsi="Times New Roman"/>
                <w:sz w:val="16"/>
                <w:szCs w:val="16"/>
                <w:color w:val="0000EE"/>
              </w:rPr>
            </w:pPr>
            <w:hyperlink r:id="rId237">
              <w:r>
                <w:rPr>
                  <w:rFonts w:ascii="Times New Roman" w:cs="Times New Roman" w:eastAsia="Times New Roman" w:hAnsi="Times New Roman"/>
                  <w:sz w:val="16"/>
                  <w:szCs w:val="16"/>
                  <w:color w:val="0000EE"/>
                </w:rPr>
                <w:t>20-F for the fiscal year ended December 31, 2021 filed with the SEC on April 28, 2022)</w:t>
              </w:r>
            </w:hyperlink>
          </w:p>
        </w:tc>
        <w:tc>
          <w:tcPr>
            <w:tcW w:w="60" w:type="dxa"/>
            <w:vAlign w:val="bottom"/>
            <w:gridSpan w:val="3"/>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4.23</w:t>
      </w:r>
    </w:p>
    <w:p>
      <w:pPr>
        <w:spacing w:after="0" w:line="20" w:lineRule="exact"/>
        <w:rPr>
          <w:sz w:val="20"/>
          <w:szCs w:val="20"/>
          <w:color w:val="auto"/>
        </w:rPr>
      </w:pPr>
      <w:r>
        <w:rPr>
          <w:sz w:val="20"/>
          <w:szCs w:val="20"/>
          <w:color w:val="auto"/>
        </w:rPr>
        <w:br w:type="column"/>
      </w:r>
    </w:p>
    <w:p>
      <w:pPr>
        <w:ind w:right="40"/>
        <w:spacing w:after="0" w:line="285" w:lineRule="auto"/>
        <w:rPr>
          <w:rFonts w:ascii="Times New Roman" w:cs="Times New Roman" w:eastAsia="Times New Roman" w:hAnsi="Times New Roman"/>
          <w:sz w:val="16"/>
          <w:szCs w:val="16"/>
          <w:u w:val="single" w:color="auto"/>
          <w:color w:val="0000EE"/>
        </w:rPr>
      </w:pPr>
      <w:hyperlink r:id="rId238">
        <w:r>
          <w:rPr>
            <w:rFonts w:ascii="Times New Roman" w:cs="Times New Roman" w:eastAsia="Times New Roman" w:hAnsi="Times New Roman"/>
            <w:sz w:val="16"/>
            <w:szCs w:val="16"/>
            <w:u w:val="single" w:color="auto"/>
            <w:color w:val="0000EE"/>
          </w:rPr>
          <w:t>Second Amended and Restated Exclusive Option Agreement among Hangzhou Tuya Information Technology Co., Ltd. (formerly</w:t>
        </w:r>
      </w:hyperlink>
      <w:r>
        <w:rPr>
          <w:rFonts w:ascii="Times New Roman" w:cs="Times New Roman" w:eastAsia="Times New Roman" w:hAnsi="Times New Roman"/>
          <w:sz w:val="16"/>
          <w:szCs w:val="16"/>
          <w:u w:val="single" w:color="auto"/>
          <w:color w:val="0000EE"/>
        </w:rPr>
        <w:t xml:space="preserve"> </w:t>
      </w:r>
      <w:hyperlink r:id="rId238">
        <w:r>
          <w:rPr>
            <w:rFonts w:ascii="Times New Roman" w:cs="Times New Roman" w:eastAsia="Times New Roman" w:hAnsi="Times New Roman"/>
            <w:sz w:val="16"/>
            <w:szCs w:val="16"/>
            <w:u w:val="single" w:color="auto"/>
            <w:color w:val="0000EE"/>
          </w:rPr>
          <w:t>known as Hangzhou Aixiangji Technology Co., Ltd.), Xueji (Jerry) Wang and Hangzhou Tuya Technology Co., Ltd., originally</w:t>
        </w:r>
      </w:hyperlink>
      <w:r>
        <w:rPr>
          <w:rFonts w:ascii="Times New Roman" w:cs="Times New Roman" w:eastAsia="Times New Roman" w:hAnsi="Times New Roman"/>
          <w:sz w:val="16"/>
          <w:szCs w:val="16"/>
          <w:u w:val="single" w:color="auto"/>
          <w:color w:val="0000EE"/>
        </w:rPr>
        <w:t xml:space="preserve"> </w:t>
      </w:r>
      <w:hyperlink r:id="rId238">
        <w:r>
          <w:rPr>
            <w:rFonts w:ascii="Times New Roman" w:cs="Times New Roman" w:eastAsia="Times New Roman" w:hAnsi="Times New Roman"/>
            <w:sz w:val="16"/>
            <w:szCs w:val="16"/>
            <w:u w:val="single" w:color="auto"/>
            <w:color w:val="0000EE"/>
          </w:rPr>
          <w:t>dated December 23, 2014 and amended and restated on August 23, 2019 and January 19, 2022, respectively (incorporated herein by</w:t>
        </w:r>
      </w:hyperlink>
      <w:r>
        <w:rPr>
          <w:rFonts w:ascii="Times New Roman" w:cs="Times New Roman" w:eastAsia="Times New Roman" w:hAnsi="Times New Roman"/>
          <w:sz w:val="16"/>
          <w:szCs w:val="16"/>
          <w:u w:val="single" w:color="auto"/>
          <w:color w:val="0000EE"/>
        </w:rPr>
        <w:t xml:space="preserve"> </w:t>
      </w:r>
      <w:hyperlink r:id="rId238">
        <w:r>
          <w:rPr>
            <w:rFonts w:ascii="Times New Roman" w:cs="Times New Roman" w:eastAsia="Times New Roman" w:hAnsi="Times New Roman"/>
            <w:sz w:val="16"/>
            <w:szCs w:val="16"/>
            <w:u w:val="single" w:color="auto"/>
            <w:color w:val="0000EE"/>
          </w:rPr>
          <w:t>reference to Exhibit 4.14 to our annual report on Form 20-F for the fiscal year ended December 31, 2021 filed with the SEC on</w:t>
        </w:r>
      </w:hyperlink>
      <w:r>
        <w:rPr>
          <w:rFonts w:ascii="Times New Roman" w:cs="Times New Roman" w:eastAsia="Times New Roman" w:hAnsi="Times New Roman"/>
          <w:sz w:val="16"/>
          <w:szCs w:val="16"/>
          <w:u w:val="single" w:color="auto"/>
          <w:color w:val="0000EE"/>
        </w:rPr>
        <w:t xml:space="preserve"> </w:t>
      </w:r>
      <w:hyperlink r:id="rId238">
        <w:r>
          <w:rPr>
            <w:rFonts w:ascii="Times New Roman" w:cs="Times New Roman" w:eastAsia="Times New Roman" w:hAnsi="Times New Roman"/>
            <w:sz w:val="16"/>
            <w:szCs w:val="16"/>
            <w:u w:val="single" w:color="auto"/>
            <w:color w:val="0000EE"/>
          </w:rPr>
          <w:t>April 28, 2022)</w:t>
        </w:r>
      </w:hyperlink>
    </w:p>
    <w:p>
      <w:pPr>
        <w:spacing w:after="0" w:line="150" w:lineRule="exact"/>
        <w:rPr>
          <w:rFonts w:ascii="Times New Roman" w:cs="Times New Roman" w:eastAsia="Times New Roman" w:hAnsi="Times New Roman"/>
          <w:sz w:val="16"/>
          <w:szCs w:val="16"/>
          <w:u w:val="single" w:color="auto"/>
          <w:color w:val="0000EE"/>
        </w:rPr>
      </w:pPr>
    </w:p>
    <w:p>
      <w:pPr>
        <w:ind w:right="40"/>
        <w:spacing w:after="0" w:line="281" w:lineRule="auto"/>
        <w:rPr>
          <w:rFonts w:ascii="Times New Roman" w:cs="Times New Roman" w:eastAsia="Times New Roman" w:hAnsi="Times New Roman"/>
          <w:sz w:val="16"/>
          <w:szCs w:val="16"/>
          <w:u w:val="single" w:color="auto"/>
          <w:color w:val="0000EE"/>
        </w:rPr>
      </w:pPr>
      <w:hyperlink r:id="rId239">
        <w:r>
          <w:rPr>
            <w:rFonts w:ascii="Times New Roman" w:cs="Times New Roman" w:eastAsia="Times New Roman" w:hAnsi="Times New Roman"/>
            <w:sz w:val="16"/>
            <w:szCs w:val="16"/>
            <w:u w:val="single" w:color="auto"/>
            <w:color w:val="0000EE"/>
          </w:rPr>
          <w:t>Amended and Restated Exclusive Option Agreement among Hangzhou Tuya Information Technology Co., Ltd. (formerly known as</w:t>
        </w:r>
      </w:hyperlink>
      <w:r>
        <w:rPr>
          <w:rFonts w:ascii="Times New Roman" w:cs="Times New Roman" w:eastAsia="Times New Roman" w:hAnsi="Times New Roman"/>
          <w:sz w:val="16"/>
          <w:szCs w:val="16"/>
          <w:u w:val="single" w:color="auto"/>
          <w:color w:val="0000EE"/>
        </w:rPr>
        <w:t xml:space="preserve"> </w:t>
      </w:r>
      <w:hyperlink r:id="rId239">
        <w:r>
          <w:rPr>
            <w:rFonts w:ascii="Times New Roman" w:cs="Times New Roman" w:eastAsia="Times New Roman" w:hAnsi="Times New Roman"/>
            <w:sz w:val="16"/>
            <w:szCs w:val="16"/>
            <w:u w:val="single" w:color="auto"/>
            <w:color w:val="0000EE"/>
          </w:rPr>
          <w:t>Hangzhou Aixiangji Technology Co., Ltd.), Yaona Lin and Hangzhou Tuya Technology Co., Ltd. originally dated December 23,</w:t>
        </w:r>
      </w:hyperlink>
      <w:r>
        <w:rPr>
          <w:rFonts w:ascii="Times New Roman" w:cs="Times New Roman" w:eastAsia="Times New Roman" w:hAnsi="Times New Roman"/>
          <w:sz w:val="16"/>
          <w:szCs w:val="16"/>
          <w:u w:val="single" w:color="auto"/>
          <w:color w:val="0000EE"/>
        </w:rPr>
        <w:t xml:space="preserve"> </w:t>
      </w:r>
      <w:hyperlink r:id="rId239">
        <w:r>
          <w:rPr>
            <w:rFonts w:ascii="Times New Roman" w:cs="Times New Roman" w:eastAsia="Times New Roman" w:hAnsi="Times New Roman"/>
            <w:sz w:val="16"/>
            <w:szCs w:val="16"/>
            <w:u w:val="single" w:color="auto"/>
            <w:color w:val="0000EE"/>
          </w:rPr>
          <w:t>2014 and amended and restated on January 19, 2022 (incorporated herein by reference to Exhibit 4.15 to our annual report on Form</w:t>
        </w:r>
      </w:hyperlink>
      <w:r>
        <w:rPr>
          <w:rFonts w:ascii="Times New Roman" w:cs="Times New Roman" w:eastAsia="Times New Roman" w:hAnsi="Times New Roman"/>
          <w:sz w:val="16"/>
          <w:szCs w:val="16"/>
          <w:u w:val="single" w:color="auto"/>
          <w:color w:val="0000EE"/>
        </w:rPr>
        <w:t xml:space="preserve"> </w:t>
      </w:r>
      <w:hyperlink r:id="rId239">
        <w:r>
          <w:rPr>
            <w:rFonts w:ascii="Times New Roman" w:cs="Times New Roman" w:eastAsia="Times New Roman" w:hAnsi="Times New Roman"/>
            <w:sz w:val="16"/>
            <w:szCs w:val="16"/>
            <w:u w:val="single" w:color="auto"/>
            <w:color w:val="0000EE"/>
          </w:rPr>
          <w:t>20-F for the fiscal year ended December 31, 2021 filed with the SEC on April 28, 2022)</w:t>
        </w:r>
      </w:hyperlink>
    </w:p>
    <w:p>
      <w:pPr>
        <w:spacing w:after="0" w:line="164" w:lineRule="exact"/>
        <w:rPr>
          <w:rFonts w:ascii="Times New Roman" w:cs="Times New Roman" w:eastAsia="Times New Roman" w:hAnsi="Times New Roman"/>
          <w:sz w:val="16"/>
          <w:szCs w:val="16"/>
          <w:u w:val="single" w:color="auto"/>
          <w:color w:val="0000EE"/>
        </w:rPr>
      </w:pPr>
    </w:p>
    <w:p>
      <w:pPr>
        <w:ind w:right="20"/>
        <w:spacing w:after="0" w:line="316" w:lineRule="auto"/>
        <w:rPr>
          <w:rFonts w:ascii="Times New Roman" w:cs="Times New Roman" w:eastAsia="Times New Roman" w:hAnsi="Times New Roman"/>
          <w:sz w:val="16"/>
          <w:szCs w:val="16"/>
          <w:u w:val="single" w:color="auto"/>
          <w:color w:val="0000EE"/>
        </w:rPr>
      </w:pPr>
      <w:hyperlink r:id="rId240">
        <w:r>
          <w:rPr>
            <w:rFonts w:ascii="Times New Roman" w:cs="Times New Roman" w:eastAsia="Times New Roman" w:hAnsi="Times New Roman"/>
            <w:sz w:val="16"/>
            <w:szCs w:val="16"/>
            <w:u w:val="single" w:color="auto"/>
            <w:color w:val="0000EE"/>
          </w:rPr>
          <w:t>Power of Attorney executed by Liaohan (Leo) Chen dated January 19, 2022 (incorporated herein by reference to Exhibit 4.16 to our</w:t>
        </w:r>
      </w:hyperlink>
      <w:r>
        <w:rPr>
          <w:rFonts w:ascii="Times New Roman" w:cs="Times New Roman" w:eastAsia="Times New Roman" w:hAnsi="Times New Roman"/>
          <w:sz w:val="16"/>
          <w:szCs w:val="16"/>
          <w:u w:val="single" w:color="auto"/>
          <w:color w:val="0000EE"/>
        </w:rPr>
        <w:t xml:space="preserve"> </w:t>
      </w:r>
      <w:hyperlink r:id="rId240">
        <w:r>
          <w:rPr>
            <w:rFonts w:ascii="Times New Roman" w:cs="Times New Roman" w:eastAsia="Times New Roman" w:hAnsi="Times New Roman"/>
            <w:sz w:val="16"/>
            <w:szCs w:val="16"/>
            <w:u w:val="single" w:color="auto"/>
            <w:color w:val="0000EE"/>
          </w:rPr>
          <w:t>annual report on Form 20-F for the fiscal year ended December 31, 2021 filed with the SEC on April 28, 2022)</w:t>
        </w:r>
      </w:hyperlink>
    </w:p>
    <w:p>
      <w:pPr>
        <w:spacing w:after="0" w:line="137" w:lineRule="exact"/>
        <w:rPr>
          <w:sz w:val="20"/>
          <w:szCs w:val="20"/>
          <w:color w:val="auto"/>
        </w:rPr>
      </w:pPr>
    </w:p>
    <w:p>
      <w:pPr>
        <w:ind w:right="420"/>
        <w:spacing w:after="0" w:line="316" w:lineRule="auto"/>
        <w:rPr>
          <w:rFonts w:ascii="Times New Roman" w:cs="Times New Roman" w:eastAsia="Times New Roman" w:hAnsi="Times New Roman"/>
          <w:sz w:val="16"/>
          <w:szCs w:val="16"/>
          <w:u w:val="single" w:color="auto"/>
          <w:color w:val="0000EE"/>
        </w:rPr>
      </w:pPr>
      <w:hyperlink r:id="rId241">
        <w:r>
          <w:rPr>
            <w:rFonts w:ascii="Times New Roman" w:cs="Times New Roman" w:eastAsia="Times New Roman" w:hAnsi="Times New Roman"/>
            <w:sz w:val="16"/>
            <w:szCs w:val="16"/>
            <w:u w:val="single" w:color="auto"/>
            <w:color w:val="0000EE"/>
          </w:rPr>
          <w:t>Power of Attorney executed by Peihong Chen dated January 19, 2022 (incorporated herein by reference to Exhibit 4.17 to our</w:t>
        </w:r>
      </w:hyperlink>
      <w:r>
        <w:rPr>
          <w:rFonts w:ascii="Times New Roman" w:cs="Times New Roman" w:eastAsia="Times New Roman" w:hAnsi="Times New Roman"/>
          <w:sz w:val="16"/>
          <w:szCs w:val="16"/>
          <w:u w:val="single" w:color="auto"/>
          <w:color w:val="0000EE"/>
        </w:rPr>
        <w:t xml:space="preserve"> </w:t>
      </w:r>
      <w:hyperlink r:id="rId241">
        <w:r>
          <w:rPr>
            <w:rFonts w:ascii="Times New Roman" w:cs="Times New Roman" w:eastAsia="Times New Roman" w:hAnsi="Times New Roman"/>
            <w:sz w:val="16"/>
            <w:szCs w:val="16"/>
            <w:u w:val="single" w:color="auto"/>
            <w:color w:val="0000EE"/>
          </w:rPr>
          <w:t>annual report on Form 20-F for the fiscal year ended December 31, 2021 filed with the SEC on April 28, 2022)</w:t>
        </w:r>
      </w:hyperlink>
    </w:p>
    <w:p>
      <w:pPr>
        <w:spacing w:after="0" w:line="137" w:lineRule="exact"/>
        <w:rPr>
          <w:sz w:val="20"/>
          <w:szCs w:val="20"/>
          <w:color w:val="auto"/>
        </w:rPr>
      </w:pPr>
    </w:p>
    <w:p>
      <w:pPr>
        <w:ind w:right="40"/>
        <w:spacing w:after="0" w:line="316" w:lineRule="auto"/>
        <w:rPr>
          <w:rFonts w:ascii="Times New Roman" w:cs="Times New Roman" w:eastAsia="Times New Roman" w:hAnsi="Times New Roman"/>
          <w:sz w:val="16"/>
          <w:szCs w:val="16"/>
          <w:u w:val="single" w:color="auto"/>
          <w:color w:val="0000EE"/>
        </w:rPr>
      </w:pPr>
      <w:hyperlink r:id="rId242">
        <w:r>
          <w:rPr>
            <w:rFonts w:ascii="Times New Roman" w:cs="Times New Roman" w:eastAsia="Times New Roman" w:hAnsi="Times New Roman"/>
            <w:sz w:val="16"/>
            <w:szCs w:val="16"/>
            <w:u w:val="single" w:color="auto"/>
            <w:color w:val="0000EE"/>
          </w:rPr>
          <w:t>Power of Attorney executed by Ruixin Zhou dated January 19, 2022 (incorporated herein by reference to Exhibit 4.18 to our annual</w:t>
        </w:r>
      </w:hyperlink>
      <w:r>
        <w:rPr>
          <w:rFonts w:ascii="Times New Roman" w:cs="Times New Roman" w:eastAsia="Times New Roman" w:hAnsi="Times New Roman"/>
          <w:sz w:val="16"/>
          <w:szCs w:val="16"/>
          <w:u w:val="single" w:color="auto"/>
          <w:color w:val="0000EE"/>
        </w:rPr>
        <w:t xml:space="preserve"> </w:t>
      </w:r>
      <w:hyperlink r:id="rId242">
        <w:r>
          <w:rPr>
            <w:rFonts w:ascii="Times New Roman" w:cs="Times New Roman" w:eastAsia="Times New Roman" w:hAnsi="Times New Roman"/>
            <w:sz w:val="16"/>
            <w:szCs w:val="16"/>
            <w:u w:val="single" w:color="auto"/>
            <w:color w:val="0000EE"/>
          </w:rPr>
          <w:t>report on Form 20-F for the fiscal year ended December 31, 2021 filed with the SEC on April 28, 2022)</w:t>
        </w:r>
      </w:hyperlink>
    </w:p>
    <w:p>
      <w:pPr>
        <w:spacing w:after="0" w:line="137" w:lineRule="exact"/>
        <w:rPr>
          <w:sz w:val="20"/>
          <w:szCs w:val="20"/>
          <w:color w:val="auto"/>
        </w:rPr>
      </w:pPr>
    </w:p>
    <w:p>
      <w:pPr>
        <w:ind w:right="100"/>
        <w:spacing w:after="0" w:line="316" w:lineRule="auto"/>
        <w:rPr>
          <w:rFonts w:ascii="Times New Roman" w:cs="Times New Roman" w:eastAsia="Times New Roman" w:hAnsi="Times New Roman"/>
          <w:sz w:val="16"/>
          <w:szCs w:val="16"/>
          <w:u w:val="single" w:color="auto"/>
          <w:color w:val="0000EE"/>
        </w:rPr>
      </w:pPr>
      <w:hyperlink r:id="rId243">
        <w:r>
          <w:rPr>
            <w:rFonts w:ascii="Times New Roman" w:cs="Times New Roman" w:eastAsia="Times New Roman" w:hAnsi="Times New Roman"/>
            <w:sz w:val="16"/>
            <w:szCs w:val="16"/>
            <w:u w:val="single" w:color="auto"/>
            <w:color w:val="0000EE"/>
          </w:rPr>
          <w:t>Power of Attorney executed by Xueji (Jerry) Wang dated January 19, 2022 (incorporated herein by reference to Exhibit 4.19 to our</w:t>
        </w:r>
      </w:hyperlink>
      <w:r>
        <w:rPr>
          <w:rFonts w:ascii="Times New Roman" w:cs="Times New Roman" w:eastAsia="Times New Roman" w:hAnsi="Times New Roman"/>
          <w:sz w:val="16"/>
          <w:szCs w:val="16"/>
          <w:u w:val="single" w:color="auto"/>
          <w:color w:val="0000EE"/>
        </w:rPr>
        <w:t xml:space="preserve"> </w:t>
      </w:r>
      <w:hyperlink r:id="rId243">
        <w:r>
          <w:rPr>
            <w:rFonts w:ascii="Times New Roman" w:cs="Times New Roman" w:eastAsia="Times New Roman" w:hAnsi="Times New Roman"/>
            <w:sz w:val="16"/>
            <w:szCs w:val="16"/>
            <w:u w:val="single" w:color="auto"/>
            <w:color w:val="0000EE"/>
          </w:rPr>
          <w:t>annual report on Form 20-F for the fiscal year ended December 31, 2021 filed with the SEC on April 28, 2022)</w:t>
        </w:r>
      </w:hyperlink>
    </w:p>
    <w:p>
      <w:pPr>
        <w:spacing w:after="0" w:line="137" w:lineRule="exact"/>
        <w:rPr>
          <w:sz w:val="20"/>
          <w:szCs w:val="20"/>
          <w:color w:val="auto"/>
        </w:rPr>
      </w:pPr>
    </w:p>
    <w:p>
      <w:pPr>
        <w:ind w:right="200"/>
        <w:spacing w:after="0" w:line="316" w:lineRule="auto"/>
        <w:rPr>
          <w:rFonts w:ascii="Times New Roman" w:cs="Times New Roman" w:eastAsia="Times New Roman" w:hAnsi="Times New Roman"/>
          <w:sz w:val="16"/>
          <w:szCs w:val="16"/>
          <w:u w:val="single" w:color="auto"/>
          <w:color w:val="0000EE"/>
        </w:rPr>
      </w:pPr>
      <w:hyperlink r:id="rId244">
        <w:r>
          <w:rPr>
            <w:rFonts w:ascii="Times New Roman" w:cs="Times New Roman" w:eastAsia="Times New Roman" w:hAnsi="Times New Roman"/>
            <w:sz w:val="16"/>
            <w:szCs w:val="16"/>
            <w:u w:val="single" w:color="auto"/>
            <w:color w:val="0000EE"/>
          </w:rPr>
          <w:t>Power of Attorney executed by Yaona Lin dated January 19, 2022 (incorporated herein by reference to Exhibit 4.20 to our annual</w:t>
        </w:r>
      </w:hyperlink>
      <w:r>
        <w:rPr>
          <w:rFonts w:ascii="Times New Roman" w:cs="Times New Roman" w:eastAsia="Times New Roman" w:hAnsi="Times New Roman"/>
          <w:sz w:val="16"/>
          <w:szCs w:val="16"/>
          <w:u w:val="single" w:color="auto"/>
          <w:color w:val="0000EE"/>
        </w:rPr>
        <w:t xml:space="preserve"> </w:t>
      </w:r>
      <w:hyperlink r:id="rId244">
        <w:r>
          <w:rPr>
            <w:rFonts w:ascii="Times New Roman" w:cs="Times New Roman" w:eastAsia="Times New Roman" w:hAnsi="Times New Roman"/>
            <w:sz w:val="16"/>
            <w:szCs w:val="16"/>
            <w:u w:val="single" w:color="auto"/>
            <w:color w:val="0000EE"/>
          </w:rPr>
          <w:t>report on Form 20-F for the fiscal year ended December 31, 2021 filed with the SEC on April 28, 2022)</w:t>
        </w:r>
      </w:hyperlink>
    </w:p>
    <w:p>
      <w:pPr>
        <w:spacing w:after="0" w:line="137" w:lineRule="exact"/>
        <w:rPr>
          <w:sz w:val="20"/>
          <w:szCs w:val="20"/>
          <w:color w:val="auto"/>
        </w:rPr>
      </w:pPr>
    </w:p>
    <w:p>
      <w:pPr>
        <w:ind w:right="240"/>
        <w:spacing w:after="0" w:line="316" w:lineRule="auto"/>
        <w:rPr>
          <w:rFonts w:ascii="Times New Roman" w:cs="Times New Roman" w:eastAsia="Times New Roman" w:hAnsi="Times New Roman"/>
          <w:sz w:val="16"/>
          <w:szCs w:val="16"/>
          <w:u w:val="single" w:color="auto"/>
          <w:color w:val="0000EE"/>
        </w:rPr>
      </w:pPr>
      <w:hyperlink r:id="rId245">
        <w:r>
          <w:rPr>
            <w:rFonts w:ascii="Times New Roman" w:cs="Times New Roman" w:eastAsia="Times New Roman" w:hAnsi="Times New Roman"/>
            <w:sz w:val="16"/>
            <w:szCs w:val="16"/>
            <w:u w:val="single" w:color="auto"/>
            <w:color w:val="0000EE"/>
          </w:rPr>
          <w:t>Spousal Consent executed by spouse of Liaohan (Leo) Chen dated January 19, 2022 (incorporated herein by reference to Exhibit</w:t>
        </w:r>
      </w:hyperlink>
      <w:r>
        <w:rPr>
          <w:rFonts w:ascii="Times New Roman" w:cs="Times New Roman" w:eastAsia="Times New Roman" w:hAnsi="Times New Roman"/>
          <w:sz w:val="16"/>
          <w:szCs w:val="16"/>
          <w:u w:val="single" w:color="auto"/>
          <w:color w:val="0000EE"/>
        </w:rPr>
        <w:t xml:space="preserve"> </w:t>
      </w:r>
      <w:hyperlink r:id="rId245">
        <w:r>
          <w:rPr>
            <w:rFonts w:ascii="Times New Roman" w:cs="Times New Roman" w:eastAsia="Times New Roman" w:hAnsi="Times New Roman"/>
            <w:sz w:val="16"/>
            <w:szCs w:val="16"/>
            <w:u w:val="single" w:color="auto"/>
            <w:color w:val="0000EE"/>
          </w:rPr>
          <w:t>4.21 to our annual report on Form 20-F for the fiscal year ended December 31, 2021 filed with the SEC on April 28, 2022)</w:t>
        </w:r>
      </w:hyperlink>
    </w:p>
    <w:p>
      <w:pPr>
        <w:spacing w:after="0" w:line="137" w:lineRule="exact"/>
        <w:rPr>
          <w:sz w:val="20"/>
          <w:szCs w:val="20"/>
          <w:color w:val="auto"/>
        </w:rPr>
      </w:pPr>
    </w:p>
    <w:p>
      <w:pPr>
        <w:ind w:right="140"/>
        <w:spacing w:after="0" w:line="316" w:lineRule="auto"/>
        <w:rPr>
          <w:rFonts w:ascii="Times New Roman" w:cs="Times New Roman" w:eastAsia="Times New Roman" w:hAnsi="Times New Roman"/>
          <w:sz w:val="16"/>
          <w:szCs w:val="16"/>
          <w:u w:val="single" w:color="auto"/>
          <w:color w:val="0000EE"/>
        </w:rPr>
      </w:pPr>
      <w:hyperlink r:id="rId246">
        <w:r>
          <w:rPr>
            <w:rFonts w:ascii="Times New Roman" w:cs="Times New Roman" w:eastAsia="Times New Roman" w:hAnsi="Times New Roman"/>
            <w:sz w:val="16"/>
            <w:szCs w:val="16"/>
            <w:u w:val="single" w:color="auto"/>
            <w:color w:val="0000EE"/>
          </w:rPr>
          <w:t>Spousal Consent executed by spouse of Peihong Chen dated January 19, 2022 (incorporated herein by reference to Exhibit 4.22 to</w:t>
        </w:r>
      </w:hyperlink>
      <w:r>
        <w:rPr>
          <w:rFonts w:ascii="Times New Roman" w:cs="Times New Roman" w:eastAsia="Times New Roman" w:hAnsi="Times New Roman"/>
          <w:sz w:val="16"/>
          <w:szCs w:val="16"/>
          <w:u w:val="single" w:color="auto"/>
          <w:color w:val="0000EE"/>
        </w:rPr>
        <w:t xml:space="preserve"> </w:t>
      </w:r>
      <w:hyperlink r:id="rId246">
        <w:r>
          <w:rPr>
            <w:rFonts w:ascii="Times New Roman" w:cs="Times New Roman" w:eastAsia="Times New Roman" w:hAnsi="Times New Roman"/>
            <w:sz w:val="16"/>
            <w:szCs w:val="16"/>
            <w:u w:val="single" w:color="auto"/>
            <w:color w:val="0000EE"/>
          </w:rPr>
          <w:t>our annual report on Form 20-F for the fiscal year ended December 31, 2021 filed with the SEC on April 28, 2022)</w:t>
        </w:r>
      </w:hyperlink>
    </w:p>
    <w:p>
      <w:pPr>
        <w:spacing w:after="0" w:line="200" w:lineRule="exact"/>
        <w:rPr>
          <w:sz w:val="20"/>
          <w:szCs w:val="20"/>
          <w:color w:val="auto"/>
        </w:rPr>
      </w:pPr>
    </w:p>
    <w:p>
      <w:pPr>
        <w:sectPr>
          <w:pgSz w:w="11900" w:h="16838" w:orient="portrait"/>
          <w:cols w:equalWidth="0" w:num="2">
            <w:col w:w="620" w:space="720"/>
            <w:col w:w="8580"/>
          </w:cols>
          <w:pgMar w:left="980" w:top="661" w:right="999"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14"/>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201"/>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4.24</w:t>
            </w:r>
          </w:p>
        </w:tc>
        <w:tc>
          <w:tcPr>
            <w:tcW w:w="160" w:type="dxa"/>
            <w:vAlign w:val="bottom"/>
          </w:tcPr>
          <w:p>
            <w:pPr>
              <w:spacing w:after="0"/>
              <w:rPr>
                <w:sz w:val="17"/>
                <w:szCs w:val="17"/>
                <w:color w:val="auto"/>
              </w:rPr>
            </w:pPr>
          </w:p>
        </w:tc>
        <w:tc>
          <w:tcPr>
            <w:tcW w:w="8580" w:type="dxa"/>
            <w:vAlign w:val="bottom"/>
            <w:gridSpan w:val="17"/>
          </w:tcPr>
          <w:p>
            <w:pPr>
              <w:spacing w:after="0"/>
              <w:rPr>
                <w:rFonts w:ascii="Times New Roman" w:cs="Times New Roman" w:eastAsia="Times New Roman" w:hAnsi="Times New Roman"/>
                <w:sz w:val="16"/>
                <w:szCs w:val="16"/>
                <w:color w:val="0000EE"/>
              </w:rPr>
            </w:pPr>
            <w:hyperlink r:id="rId248">
              <w:r>
                <w:rPr>
                  <w:rFonts w:ascii="Times New Roman" w:cs="Times New Roman" w:eastAsia="Times New Roman" w:hAnsi="Times New Roman"/>
                  <w:sz w:val="16"/>
                  <w:szCs w:val="16"/>
                  <w:color w:val="0000EE"/>
                </w:rPr>
                <w:t>Spousal Consent executed by spouse of Ruixin Zhou dated January 19, 2022 (incorporated herein by reference to Exhibit 4.23 to</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6"/>
                <w:szCs w:val="16"/>
                <w:color w:val="0000EE"/>
              </w:rPr>
            </w:pPr>
            <w:hyperlink r:id="rId248">
              <w:r>
                <w:rPr>
                  <w:rFonts w:ascii="Times New Roman" w:cs="Times New Roman" w:eastAsia="Times New Roman" w:hAnsi="Times New Roman"/>
                  <w:sz w:val="16"/>
                  <w:szCs w:val="16"/>
                  <w:color w:val="0000EE"/>
                </w:rPr>
                <w:t>our annual report on Form 20-F for the fiscal year ended December 31, 2021 filed with the SEC on April 28, 2022)</w:t>
              </w:r>
            </w:hyperlink>
          </w:p>
        </w:tc>
        <w:tc>
          <w:tcPr>
            <w:tcW w:w="88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4.25</w:t>
            </w:r>
          </w:p>
        </w:tc>
        <w:tc>
          <w:tcPr>
            <w:tcW w:w="160" w:type="dxa"/>
            <w:vAlign w:val="bottom"/>
          </w:tcPr>
          <w:p>
            <w:pPr>
              <w:spacing w:after="0"/>
              <w:rPr>
                <w:sz w:val="24"/>
                <w:szCs w:val="24"/>
                <w:color w:val="auto"/>
              </w:rPr>
            </w:pPr>
          </w:p>
        </w:tc>
        <w:tc>
          <w:tcPr>
            <w:tcW w:w="8280" w:type="dxa"/>
            <w:vAlign w:val="bottom"/>
            <w:tcBorders>
              <w:bottom w:val="single" w:sz="8" w:color="0000EE"/>
            </w:tcBorders>
            <w:gridSpan w:val="14"/>
          </w:tcPr>
          <w:p>
            <w:pPr>
              <w:spacing w:after="0"/>
              <w:rPr>
                <w:rFonts w:ascii="Times New Roman" w:cs="Times New Roman" w:eastAsia="Times New Roman" w:hAnsi="Times New Roman"/>
                <w:sz w:val="16"/>
                <w:szCs w:val="16"/>
                <w:color w:val="0000EE"/>
              </w:rPr>
            </w:pPr>
            <w:hyperlink r:id="rId249">
              <w:r>
                <w:rPr>
                  <w:rFonts w:ascii="Times New Roman" w:cs="Times New Roman" w:eastAsia="Times New Roman" w:hAnsi="Times New Roman"/>
                  <w:sz w:val="16"/>
                  <w:szCs w:val="16"/>
                  <w:color w:val="0000EE"/>
                </w:rPr>
                <w:t>Spousal Consent executed by spouse of Xueji (Jerry) Wang dated January 19, 2022 (incorporated herein by reference to Exhibit</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580" w:type="dxa"/>
            <w:vAlign w:val="bottom"/>
            <w:gridSpan w:val="17"/>
          </w:tcPr>
          <w:p>
            <w:pPr>
              <w:spacing w:after="0"/>
              <w:rPr>
                <w:rFonts w:ascii="Times New Roman" w:cs="Times New Roman" w:eastAsia="Times New Roman" w:hAnsi="Times New Roman"/>
                <w:sz w:val="16"/>
                <w:szCs w:val="16"/>
                <w:color w:val="0000EE"/>
              </w:rPr>
            </w:pPr>
            <w:hyperlink r:id="rId249">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24</w:t>
              </w:r>
              <w:r>
                <w:rPr>
                  <w:rFonts w:ascii="Times New Roman" w:cs="Times New Roman" w:eastAsia="Times New Roman" w:hAnsi="Times New Roman"/>
                  <w:sz w:val="16"/>
                  <w:szCs w:val="16"/>
                  <w:color w:val="0000EE"/>
                </w:rPr>
                <w:t xml:space="preserve"> to our annual report on Form 20-F for the fiscal year ended December 31, 2021 filed with the SEC on April 28, 2022)</w:t>
              </w:r>
            </w:hyperlink>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4.26</w:t>
            </w: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580" w:type="dxa"/>
            <w:vAlign w:val="bottom"/>
            <w:gridSpan w:val="17"/>
          </w:tcPr>
          <w:p>
            <w:pPr>
              <w:spacing w:after="0"/>
              <w:rPr>
                <w:rFonts w:ascii="Times New Roman" w:cs="Times New Roman" w:eastAsia="Times New Roman" w:hAnsi="Times New Roman"/>
                <w:sz w:val="16"/>
                <w:szCs w:val="16"/>
                <w:color w:val="0000EE"/>
              </w:rPr>
            </w:pPr>
            <w:hyperlink r:id="rId250">
              <w:r>
                <w:rPr>
                  <w:rFonts w:ascii="Times New Roman" w:cs="Times New Roman" w:eastAsia="Times New Roman" w:hAnsi="Times New Roman"/>
                  <w:sz w:val="16"/>
                  <w:szCs w:val="16"/>
                  <w:color w:val="0000EE"/>
                </w:rPr>
                <w:t>Spousal Consent executed by spouse of Yaona Lin dated January 19, 2022 (incorporated herein by reference to Exhibit 4.25 to our</w:t>
              </w:r>
            </w:hyperlink>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top w:val="single" w:sz="8" w:color="0000EE"/>
            </w:tcBorders>
            <w:gridSpan w:val="16"/>
          </w:tcPr>
          <w:p>
            <w:pPr>
              <w:spacing w:after="0"/>
              <w:rPr>
                <w:rFonts w:ascii="Times New Roman" w:cs="Times New Roman" w:eastAsia="Times New Roman" w:hAnsi="Times New Roman"/>
                <w:sz w:val="16"/>
                <w:szCs w:val="16"/>
                <w:color w:val="0000EE"/>
              </w:rPr>
            </w:pPr>
            <w:hyperlink r:id="rId250">
              <w:r>
                <w:rPr>
                  <w:rFonts w:ascii="Times New Roman" w:cs="Times New Roman" w:eastAsia="Times New Roman" w:hAnsi="Times New Roman"/>
                  <w:sz w:val="16"/>
                  <w:szCs w:val="16"/>
                  <w:color w:val="0000EE"/>
                </w:rPr>
                <w:t>annual report on Form 20-F for the fiscal year ended December 31, 2021 filed with the SEC on April 28, 2022)</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Pr>
          <w:p>
            <w:pPr>
              <w:spacing w:after="0"/>
              <w:rPr>
                <w:sz w:val="24"/>
                <w:szCs w:val="24"/>
                <w:color w:val="auto"/>
              </w:rPr>
            </w:pPr>
          </w:p>
        </w:tc>
        <w:tc>
          <w:tcPr>
            <w:tcW w:w="72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6"/>
                <w:szCs w:val="16"/>
                <w:color w:val="0000EE"/>
              </w:rPr>
              <w:t>Principal Subsidiaries and Variable Interest Entity of the Registrant</w:t>
            </w:r>
          </w:p>
        </w:tc>
        <w:tc>
          <w:tcPr>
            <w:tcW w:w="1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24"/>
                <w:szCs w:val="24"/>
                <w:color w:val="auto"/>
              </w:rPr>
            </w:pPr>
          </w:p>
        </w:tc>
        <w:tc>
          <w:tcPr>
            <w:tcW w:w="7960" w:type="dxa"/>
            <w:vAlign w:val="bottom"/>
            <w:tcBorders>
              <w:bottom w:val="single" w:sz="8" w:color="0000EE"/>
            </w:tcBorders>
            <w:gridSpan w:val="13"/>
          </w:tcPr>
          <w:p>
            <w:pPr>
              <w:spacing w:after="0"/>
              <w:rPr>
                <w:rFonts w:ascii="Times New Roman" w:cs="Times New Roman" w:eastAsia="Times New Roman" w:hAnsi="Times New Roman"/>
                <w:sz w:val="16"/>
                <w:szCs w:val="16"/>
                <w:color w:val="0000EE"/>
              </w:rPr>
            </w:pPr>
            <w:hyperlink r:id="rId251">
              <w:r>
                <w:rPr>
                  <w:rFonts w:ascii="Times New Roman" w:cs="Times New Roman" w:eastAsia="Times New Roman" w:hAnsi="Times New Roman"/>
                  <w:sz w:val="16"/>
                  <w:szCs w:val="16"/>
                  <w:color w:val="0000EE"/>
                </w:rPr>
                <w:t>Code of Business Conduct and Ethics of the Registrant (incorporated herein by reference to Exhibit 99.1 to the registration</w:t>
              </w:r>
            </w:hyperlink>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40" w:type="dxa"/>
            <w:vAlign w:val="bottom"/>
            <w:tcBorders>
              <w:bottom w:val="single" w:sz="8" w:color="0000EE"/>
            </w:tcBorders>
            <w:gridSpan w:val="9"/>
          </w:tcPr>
          <w:p>
            <w:pPr>
              <w:spacing w:after="0" w:line="183" w:lineRule="exact"/>
              <w:rPr>
                <w:rFonts w:ascii="Times New Roman" w:cs="Times New Roman" w:eastAsia="Times New Roman" w:hAnsi="Times New Roman"/>
                <w:sz w:val="16"/>
                <w:szCs w:val="16"/>
                <w:color w:val="0000EE"/>
              </w:rPr>
            </w:pPr>
            <w:hyperlink r:id="rId251">
              <w:r>
                <w:rPr>
                  <w:rFonts w:ascii="Times New Roman" w:cs="Times New Roman" w:eastAsia="Times New Roman" w:hAnsi="Times New Roman"/>
                  <w:sz w:val="16"/>
                  <w:szCs w:val="16"/>
                  <w:color w:val="0000EE"/>
                </w:rPr>
                <w:t>statement on Form F-1 (File No. 333-253575), as amended, initially filed with the SEC on February 26, 2021)</w:t>
              </w:r>
            </w:hyperlink>
          </w:p>
        </w:tc>
        <w:tc>
          <w:tcPr>
            <w:tcW w:w="14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Statement of Policies Concerning Trading in Company Securities</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rPr>
                <w:sz w:val="24"/>
                <w:szCs w:val="24"/>
                <w:color w:val="auto"/>
              </w:rPr>
            </w:pPr>
          </w:p>
        </w:tc>
        <w:tc>
          <w:tcPr>
            <w:tcW w:w="6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Certification by Principal Executive Officer Pursuant to Section 302 of the Sarbanes-Oxley Act of 2002</w:t>
            </w:r>
          </w:p>
        </w:tc>
        <w:tc>
          <w:tcPr>
            <w:tcW w:w="18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Certification by Principal Accounting Officer Pursuant to Section 302 of the Sarbanes-Oxley Act of 2002</w:t>
            </w:r>
          </w:p>
        </w:tc>
        <w:tc>
          <w:tcPr>
            <w:tcW w:w="0" w:type="dxa"/>
            <w:vAlign w:val="bottom"/>
          </w:tcPr>
          <w:p>
            <w:pPr>
              <w:spacing w:after="0"/>
              <w:rPr>
                <w:sz w:val="1"/>
                <w:szCs w:val="1"/>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13.1**</w:t>
            </w:r>
          </w:p>
        </w:tc>
        <w:tc>
          <w:tcPr>
            <w:tcW w:w="160" w:type="dxa"/>
            <w:vAlign w:val="bottom"/>
          </w:tcPr>
          <w:p>
            <w:pPr>
              <w:spacing w:after="0"/>
              <w:rPr>
                <w:sz w:val="24"/>
                <w:szCs w:val="24"/>
                <w:color w:val="auto"/>
              </w:rPr>
            </w:pPr>
          </w:p>
        </w:tc>
        <w:tc>
          <w:tcPr>
            <w:tcW w:w="67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Certification by Principal Executive Officer Pursuant to Section 906 of the Sarbanes-Oxley Act of 2002</w:t>
            </w:r>
          </w:p>
        </w:tc>
        <w:tc>
          <w:tcPr>
            <w:tcW w:w="100" w:type="dxa"/>
            <w:vAlign w:val="bottom"/>
            <w:tcBorders>
              <w:top w:val="single" w:sz="8" w:color="0000EE"/>
            </w:tcBorders>
          </w:tcPr>
          <w:p>
            <w:pPr>
              <w:spacing w:after="0"/>
              <w:rPr>
                <w:sz w:val="24"/>
                <w:szCs w:val="24"/>
                <w:color w:val="auto"/>
              </w:rPr>
            </w:pPr>
          </w:p>
        </w:tc>
        <w:tc>
          <w:tcPr>
            <w:tcW w:w="1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Certification by Principal Accounting Officer Pursuant to Section 906 of the Sarbanes-Oxley Act of 2002</w:t>
            </w:r>
          </w:p>
        </w:tc>
        <w:tc>
          <w:tcPr>
            <w:tcW w:w="0" w:type="dxa"/>
            <w:vAlign w:val="bottom"/>
          </w:tcPr>
          <w:p>
            <w:pPr>
              <w:spacing w:after="0"/>
              <w:rPr>
                <w:sz w:val="1"/>
                <w:szCs w:val="1"/>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15.1*</w:t>
            </w:r>
          </w:p>
        </w:tc>
        <w:tc>
          <w:tcPr>
            <w:tcW w:w="160" w:type="dxa"/>
            <w:vAlign w:val="bottom"/>
          </w:tcPr>
          <w:p>
            <w:pPr>
              <w:spacing w:after="0"/>
              <w:rPr>
                <w:sz w:val="24"/>
                <w:szCs w:val="24"/>
                <w:color w:val="auto"/>
              </w:rPr>
            </w:pPr>
          </w:p>
        </w:tc>
        <w:tc>
          <w:tcPr>
            <w:tcW w:w="21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Consent of Jia Yuan Law Offices</w:t>
            </w:r>
          </w:p>
        </w:tc>
        <w:tc>
          <w:tcPr>
            <w:tcW w:w="4680" w:type="dxa"/>
            <w:vAlign w:val="bottom"/>
            <w:tcBorders>
              <w:top w:val="single" w:sz="8" w:color="0000EE"/>
            </w:tcBorders>
            <w:gridSpan w:val="6"/>
          </w:tcPr>
          <w:p>
            <w:pPr>
              <w:spacing w:after="0"/>
              <w:rPr>
                <w:sz w:val="24"/>
                <w:szCs w:val="24"/>
                <w:color w:val="auto"/>
              </w:rPr>
            </w:pPr>
          </w:p>
        </w:tc>
        <w:tc>
          <w:tcPr>
            <w:tcW w:w="17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15.2*</w:t>
            </w:r>
          </w:p>
        </w:tc>
        <w:tc>
          <w:tcPr>
            <w:tcW w:w="16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Consent of Maples and Calder (Hong Kong) LLP</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15.3*</w:t>
            </w:r>
          </w:p>
        </w:tc>
        <w:tc>
          <w:tcPr>
            <w:tcW w:w="160" w:type="dxa"/>
            <w:vAlign w:val="bottom"/>
          </w:tcPr>
          <w:p>
            <w:pPr>
              <w:spacing w:after="0"/>
              <w:rPr>
                <w:sz w:val="24"/>
                <w:szCs w:val="24"/>
                <w:color w:val="auto"/>
              </w:rPr>
            </w:pPr>
          </w:p>
        </w:tc>
        <w:tc>
          <w:tcPr>
            <w:tcW w:w="6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rPr>
              <w:t>Consent of PricewaterhouseCoopers Zhong Tian LLP, Independent Registered Public Accounting Firm</w:t>
            </w:r>
          </w:p>
        </w:tc>
        <w:tc>
          <w:tcPr>
            <w:tcW w:w="1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Consent of CIC</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1340" w:right="100" w:hanging="1331"/>
        <w:spacing w:after="0" w:line="298" w:lineRule="auto"/>
        <w:tabs>
          <w:tab w:leader="none" w:pos="1340" w:val="left"/>
        </w:tabs>
        <w:numPr>
          <w:ilvl w:val="0"/>
          <w:numId w:val="94"/>
        </w:numPr>
        <w:rPr>
          <w:rFonts w:ascii="Times New Roman" w:cs="Times New Roman" w:eastAsia="Times New Roman" w:hAnsi="Times New Roman"/>
          <w:sz w:val="16"/>
          <w:szCs w:val="16"/>
          <w:u w:val="single" w:color="auto"/>
          <w:color w:val="0000EE"/>
        </w:rPr>
      </w:pPr>
      <w:hyperlink r:id="rId252">
        <w:r>
          <w:rPr>
            <w:rFonts w:ascii="Times New Roman" w:cs="Times New Roman" w:eastAsia="Times New Roman" w:hAnsi="Times New Roman"/>
            <w:sz w:val="16"/>
            <w:szCs w:val="16"/>
            <w:u w:val="single" w:color="auto"/>
            <w:color w:val="0000EE"/>
          </w:rPr>
          <w:t>Tuya Inc. Compensation Recoupment Policy (incorporated herein by reference to Exhibit 97 to the annual report for the fiscal year</w:t>
        </w:r>
      </w:hyperlink>
      <w:r>
        <w:rPr>
          <w:rFonts w:ascii="Times New Roman" w:cs="Times New Roman" w:eastAsia="Times New Roman" w:hAnsi="Times New Roman"/>
          <w:sz w:val="16"/>
          <w:szCs w:val="16"/>
          <w:u w:val="single" w:color="auto"/>
          <w:color w:val="0000EE"/>
        </w:rPr>
        <w:t xml:space="preserve"> </w:t>
      </w:r>
      <w:hyperlink r:id="rId252">
        <w:r>
          <w:rPr>
            <w:rFonts w:ascii="Times New Roman" w:cs="Times New Roman" w:eastAsia="Times New Roman" w:hAnsi="Times New Roman"/>
            <w:sz w:val="16"/>
            <w:szCs w:val="16"/>
            <w:u w:val="single" w:color="auto"/>
            <w:color w:val="0000EE"/>
          </w:rPr>
          <w:t>ended December 31, 2023 filed with the SEC on April 24, 2024)</w:t>
        </w:r>
      </w:hyperlink>
    </w:p>
    <w:p>
      <w:pPr>
        <w:sectPr>
          <w:pgSz w:w="11900" w:h="16838" w:orient="portrait"/>
          <w:cols w:equalWidth="0" w:num="1">
            <w:col w:w="9920"/>
          </w:cols>
          <w:pgMar w:left="980" w:top="661" w:right="999" w:bottom="1440" w:gutter="0" w:footer="0" w:header="0"/>
        </w:sectPr>
      </w:pPr>
    </w:p>
    <w:p>
      <w:pPr>
        <w:spacing w:after="0" w:line="137"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101.INS*</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line="117"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w:t>
      </w:r>
    </w:p>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2">
            <w:col w:w="640" w:space="700"/>
            <w:col w:w="8580"/>
          </w:cols>
          <w:pgMar w:left="980" w:top="661" w:right="999" w:bottom="1440" w:gutter="0" w:footer="0" w:header="0"/>
          <w:type w:val="continuous"/>
        </w:sectPr>
      </w:pPr>
    </w:p>
    <w:p>
      <w:pPr>
        <w:spacing w:after="0" w:line="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101.SCH*</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2">
            <w:col w:w="680" w:space="660"/>
            <w:col w:w="8580"/>
          </w:cols>
          <w:pgMar w:left="980" w:top="661" w:right="999" w:bottom="1440" w:gutter="0" w:footer="0" w:header="0"/>
          <w:type w:val="continuous"/>
        </w:sectPr>
      </w:pPr>
    </w:p>
    <w:p>
      <w:pPr>
        <w:spacing w:after="0" w:line="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101.CAL*</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2">
            <w:col w:w="700" w:space="640"/>
            <w:col w:w="8580"/>
          </w:cols>
          <w:pgMar w:left="980" w:top="661" w:right="999" w:bottom="1440" w:gutter="0" w:footer="0" w:header="0"/>
          <w:type w:val="continuous"/>
        </w:sectPr>
      </w:pPr>
    </w:p>
    <w:p>
      <w:pPr>
        <w:spacing w:after="0" w:line="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101.DEF*</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2">
            <w:col w:w="680" w:space="660"/>
            <w:col w:w="8580"/>
          </w:cols>
          <w:pgMar w:left="980" w:top="661" w:right="999" w:bottom="1440" w:gutter="0" w:footer="0" w:header="0"/>
          <w:type w:val="continuous"/>
        </w:sectPr>
      </w:pPr>
    </w:p>
    <w:p>
      <w:pPr>
        <w:spacing w:after="0" w:line="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101.LAB*</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2">
            <w:col w:w="700" w:space="640"/>
            <w:col w:w="8580"/>
          </w:cols>
          <w:pgMar w:left="980" w:top="661" w:right="999" w:bottom="1440" w:gutter="0" w:footer="0" w:header="0"/>
          <w:type w:val="continuous"/>
        </w:sectPr>
      </w:pPr>
    </w:p>
    <w:p>
      <w:pPr>
        <w:spacing w:after="0" w:line="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p>
      <w:pPr>
        <w:spacing w:after="0" w:line="200" w:lineRule="exact"/>
        <w:rPr>
          <w:rFonts w:ascii="Times New Roman" w:cs="Times New Roman" w:eastAsia="Times New Roman" w:hAnsi="Times New Roman"/>
          <w:sz w:val="16"/>
          <w:szCs w:val="16"/>
          <w:color w:val="auto"/>
        </w:rPr>
      </w:pPr>
    </w:p>
    <w:p>
      <w:pPr>
        <w:sectPr>
          <w:pgSz w:w="11900" w:h="16838" w:orient="portrait"/>
          <w:cols w:equalWidth="0" w:num="2">
            <w:col w:w="680" w:space="660"/>
            <w:col w:w="8580"/>
          </w:cols>
          <w:pgMar w:left="980" w:top="661" w:right="999" w:bottom="1440" w:gutter="0" w:footer="0" w:header="0"/>
          <w:type w:val="continuous"/>
        </w:sectPr>
      </w:pPr>
    </w:p>
    <w:p>
      <w:pPr>
        <w:spacing w:after="0" w:line="8"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br w:type="column"/>
      </w:r>
    </w:p>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-844550</wp:posOffset>
            </wp:positionH>
            <wp:positionV relativeFrom="paragraph">
              <wp:posOffset>71755</wp:posOffset>
            </wp:positionV>
            <wp:extent cx="15684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90" w:lineRule="exact"/>
        <w:rPr>
          <w:rFonts w:ascii="Times New Roman" w:cs="Times New Roman" w:eastAsia="Times New Roman" w:hAnsi="Times New Roman"/>
          <w:sz w:val="16"/>
          <w:szCs w:val="16"/>
          <w:color w:val="auto"/>
        </w:rPr>
      </w:pPr>
    </w:p>
    <w:p>
      <w:pPr>
        <w:sectPr>
          <w:pgSz w:w="11900" w:h="16838" w:orient="portrait"/>
          <w:cols w:equalWidth="0" w:num="2">
            <w:col w:w="620" w:space="720"/>
            <w:col w:w="8580"/>
          </w:cols>
          <w:pgMar w:left="980" w:top="661" w:right="999" w:bottom="1440" w:gutter="0" w:footer="0" w:header="0"/>
          <w:type w:val="continuous"/>
        </w:sectPr>
      </w:pP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rFonts w:ascii="Times New Roman" w:cs="Times New Roman" w:eastAsia="Times New Roman" w:hAnsi="Times New Roman"/>
          <w:sz w:val="16"/>
          <w:szCs w:val="16"/>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68"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9"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6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Tuya Inc.</w:t>
      </w:r>
    </w:p>
    <w:p>
      <w:pPr>
        <w:spacing w:after="0" w:line="225" w:lineRule="exact"/>
        <w:rPr>
          <w:sz w:val="20"/>
          <w:szCs w:val="20"/>
          <w:color w:val="auto"/>
        </w:rPr>
      </w:pPr>
    </w:p>
    <w:p>
      <w:pPr>
        <w:ind w:left="5160"/>
        <w:spacing w:after="0"/>
        <w:tabs>
          <w:tab w:leader="none" w:pos="5600" w:val="left"/>
        </w:tabs>
        <w:rPr>
          <w:sz w:val="20"/>
          <w:szCs w:val="20"/>
          <w:color w:val="auto"/>
        </w:rPr>
      </w:pPr>
      <w:r>
        <w:rPr>
          <w:rFonts w:ascii="Times New Roman" w:cs="Times New Roman" w:eastAsia="Times New Roman" w:hAnsi="Times New Roman"/>
          <w:sz w:val="18"/>
          <w:szCs w:val="18"/>
          <w:color w:val="auto"/>
        </w:rPr>
        <w:t>By:</w:t>
        <w:tab/>
        <w:t>/s/ Xueji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17145</wp:posOffset>
            </wp:positionV>
            <wp:extent cx="27343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Name:Xueji (Jerry) Wang</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89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620" w:type="dxa"/>
            <w:vAlign w:val="bottom"/>
            <w:gridSpan w:val="7"/>
          </w:tcPr>
          <w:p>
            <w:pPr>
              <w:ind w:left="13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40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(PCAOB ID 1424)</w:t>
            </w:r>
          </w:p>
        </w:tc>
        <w:tc>
          <w:tcPr>
            <w:tcW w:w="1020" w:type="dxa"/>
            <w:vAlign w:val="bottom"/>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2024</w:t>
            </w:r>
          </w:p>
        </w:tc>
        <w:tc>
          <w:tcPr>
            <w:tcW w:w="102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(Loss)/Income for the years ended December 31, 2022, 2023 and 2024</w:t>
            </w:r>
          </w:p>
        </w:tc>
        <w:tc>
          <w:tcPr>
            <w:tcW w:w="600" w:type="dxa"/>
            <w:vAlign w:val="bottom"/>
            <w:tcBorders>
              <w:bottom w:val="single" w:sz="8" w:color="CCEEFF"/>
            </w:tcBorders>
            <w:gridSpan w:val="2"/>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8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2022, 2023 and 2024</w:t>
            </w:r>
          </w:p>
        </w:tc>
        <w:tc>
          <w:tcPr>
            <w:tcW w:w="102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2022, 2023 and 2024</w:t>
            </w:r>
          </w:p>
        </w:tc>
        <w:tc>
          <w:tcPr>
            <w:tcW w:w="198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02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F-11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Tuya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Tuya Inc. and its subsidiaries (the “Company”) as of December 31, 2024 and 2023, and the related consolidated statements of comprehensive (loss)/income, of changes in shareholders’ equity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Zhong Tian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i w:val="1"/>
                <w:iCs w:val="1"/>
                <w:color w:val="auto"/>
              </w:rPr>
              <w:t>Note</w:t>
            </w:r>
          </w:p>
        </w:tc>
        <w:tc>
          <w:tcPr>
            <w:tcW w:w="194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9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9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653,334</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2(e),4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291,023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194,536</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receivable, net</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847,798</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903,016</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use rights, net</w:t>
            </w:r>
          </w:p>
        </w:tc>
        <w:tc>
          <w:tcPr>
            <w:tcW w:w="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investments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2(e),9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180,092</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218,602</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200,764</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1,066,400</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1,103,780</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1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Current liabilities (including amounts of the consolidated VIE without recourse to the</w:t>
            </w: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beneficiary of 1,679 and 1,968, as of December 31, 2023 and 2024, respectively):</w:t>
            </w: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from customers</w:t>
            </w:r>
          </w:p>
        </w:tc>
        <w:tc>
          <w:tcPr>
            <w:tcW w:w="8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2(r),12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payables</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87,534</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94,337</w:t>
            </w:r>
          </w:p>
        </w:tc>
        <w:tc>
          <w:tcPr>
            <w:tcW w:w="0" w:type="dxa"/>
            <w:vAlign w:val="bottom"/>
          </w:tcPr>
          <w:p>
            <w:pPr>
              <w:spacing w:after="0"/>
              <w:rPr>
                <w:sz w:val="1"/>
                <w:szCs w:val="1"/>
                <w:color w:val="auto"/>
              </w:rPr>
            </w:pPr>
          </w:p>
        </w:tc>
      </w:tr>
      <w:tr>
        <w:trPr>
          <w:trHeight w:val="174"/>
        </w:trPr>
        <w:tc>
          <w:tcPr>
            <w:tcW w:w="71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Non-current liabilities (including amounts of the consolidated VIE without recourse to the</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beneficiary of nil and nil as of December 31, 2023 and 2024, respectively):</w:t>
            </w: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2(r),12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11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09"/>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95,835</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7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i w:val="1"/>
                <w:iCs w:val="1"/>
                <w:color w:val="auto"/>
                <w:w w:val="98"/>
              </w:rPr>
              <w:t>Note</w:t>
            </w:r>
          </w:p>
        </w:tc>
        <w:tc>
          <w:tcPr>
            <w:tcW w:w="20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90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(US$0.00005 par value; nil shares authorized, issued and outstanding as of</w:t>
            </w:r>
          </w:p>
        </w:tc>
        <w:tc>
          <w:tcPr>
            <w:tcW w:w="700" w:type="dxa"/>
            <w:vAlign w:val="bottom"/>
            <w:vMerge w:val="restart"/>
          </w:tcPr>
          <w:p>
            <w:pPr>
              <w:jc w:val="center"/>
              <w:ind w:right="35"/>
              <w:spacing w:after="0"/>
              <w:rPr>
                <w:sz w:val="20"/>
                <w:szCs w:val="20"/>
                <w:color w:val="auto"/>
              </w:rPr>
            </w:pPr>
            <w:r>
              <w:rPr>
                <w:rFonts w:ascii="Times New Roman" w:cs="Times New Roman" w:eastAsia="Times New Roman" w:hAnsi="Times New Roman"/>
                <w:sz w:val="18"/>
                <w:szCs w:val="18"/>
                <w:i w:val="1"/>
                <w:iCs w:val="1"/>
                <w:color w:val="auto"/>
                <w:w w:val="99"/>
              </w:rPr>
              <w:t>14</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 and 2024, respectively)</w:t>
            </w:r>
          </w:p>
        </w:tc>
        <w:tc>
          <w:tcPr>
            <w:tcW w:w="700" w:type="dxa"/>
            <w:vAlign w:val="bottom"/>
            <w:vMerge w:val="continue"/>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2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ordinary shares (US$0.00005 par value; 800,000,000 and 800,000,000 shares authorized</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of December 31, 2023 and 2024, respectively; 504,387,299 and 504,387,299 shares issued</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of December 31, 2023 and 2024, respectively; 487,591,968 and 495,601,588 shares</w:t>
            </w:r>
          </w:p>
        </w:tc>
        <w:tc>
          <w:tcPr>
            <w:tcW w:w="700" w:type="dxa"/>
            <w:vAlign w:val="bottom"/>
            <w:vMerge w:val="restart"/>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i w:val="1"/>
                <w:iCs w:val="1"/>
                <w:color w:val="auto"/>
                <w:w w:val="99"/>
              </w:rPr>
              <w:t>14</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as of December 31, 2023 and 2024, respectively)</w:t>
            </w:r>
          </w:p>
        </w:tc>
        <w:tc>
          <w:tcPr>
            <w:tcW w:w="70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ordinary shares (US$0.00005 par value; 200,000,000 and 200,000,000 shares authorized</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of December 31, 2023 and 2024, respectively; 70,205,300 and 70,205,300 shares issued and</w:t>
            </w:r>
          </w:p>
        </w:tc>
        <w:tc>
          <w:tcPr>
            <w:tcW w:w="700" w:type="dxa"/>
            <w:vAlign w:val="bottom"/>
            <w:vMerge w:val="restart"/>
          </w:tcPr>
          <w:p>
            <w:pPr>
              <w:jc w:val="center"/>
              <w:ind w:right="35"/>
              <w:spacing w:after="0"/>
              <w:rPr>
                <w:sz w:val="20"/>
                <w:szCs w:val="20"/>
                <w:color w:val="auto"/>
              </w:rPr>
            </w:pPr>
            <w:r>
              <w:rPr>
                <w:rFonts w:ascii="Times New Roman" w:cs="Times New Roman" w:eastAsia="Times New Roman" w:hAnsi="Times New Roman"/>
                <w:sz w:val="18"/>
                <w:szCs w:val="18"/>
                <w:i w:val="1"/>
                <w:iCs w:val="1"/>
                <w:color w:val="auto"/>
                <w:w w:val="99"/>
              </w:rPr>
              <w:t>14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as of December 31, 2023 and 2024, respectively)</w:t>
            </w:r>
          </w:p>
        </w:tc>
        <w:tc>
          <w:tcPr>
            <w:tcW w:w="70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(US$0.00005 par value; 16,795,331 and 8,785,711 shares as of December 31,</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and 2024, respectively)</w:t>
            </w:r>
          </w:p>
        </w:tc>
        <w:tc>
          <w:tcPr>
            <w:tcW w:w="7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1,616,105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(574,848)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970,565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1,066,400</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1,103,780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i w:val="1"/>
                <w:iCs w:val="1"/>
                <w:color w:val="auto"/>
              </w:rPr>
              <w:t>Note</w:t>
            </w:r>
          </w:p>
        </w:tc>
        <w:tc>
          <w:tcPr>
            <w:tcW w:w="336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2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(118,749)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(123,335)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89,423</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106,655</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(144,942)</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(102,277)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(55,662)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(40,440)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(67,513)</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(80,663)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operating incomes, net</w:t>
            </w:r>
          </w:p>
        </w:tc>
        <w:tc>
          <w:tcPr>
            <w:tcW w:w="6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(257,609)</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(212,479)</w:t>
            </w:r>
          </w:p>
        </w:tc>
        <w:tc>
          <w:tcPr>
            <w:tcW w:w="1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6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(168,186)</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(105,824)</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incomes, net</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income, net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6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before income tax expense</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(144,295)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(loss)/profit attributable to Tuya Inc.</w:t>
            </w: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(146,175)</w:t>
            </w:r>
          </w:p>
        </w:tc>
        <w:tc>
          <w:tcPr>
            <w:tcW w:w="140" w:type="dxa"/>
            <w:vAlign w:val="bottom"/>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(60,315)</w:t>
            </w:r>
          </w:p>
        </w:tc>
        <w:tc>
          <w:tcPr>
            <w:tcW w:w="140" w:type="dxa"/>
            <w:vAlign w:val="bottom"/>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(loss)/profit attributable to ordinary shareholders</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(146,175)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(60,315)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gridSpan w:val="2"/>
            <w:vMerge w:val="continue"/>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(146,175)</w:t>
            </w:r>
          </w:p>
        </w:tc>
        <w:tc>
          <w:tcPr>
            <w:tcW w:w="140" w:type="dxa"/>
            <w:vAlign w:val="bottom"/>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(60,315)</w:t>
            </w:r>
          </w:p>
        </w:tc>
        <w:tc>
          <w:tcPr>
            <w:tcW w:w="140" w:type="dxa"/>
            <w:vAlign w:val="bottom"/>
            <w:vMerge w:val="continue"/>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(loss)/income</w:t>
            </w:r>
          </w:p>
        </w:tc>
        <w:tc>
          <w:tcPr>
            <w:tcW w:w="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long-term investments</w:t>
            </w:r>
          </w:p>
        </w:tc>
        <w:tc>
          <w:tcPr>
            <w:tcW w:w="6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 out of fair value changes of long-term investments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(14,942)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 attributable to Tuya Inc.</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(loss)/profit attributable to Tuya Inc.</w:t>
            </w: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(146,175)</w:t>
            </w:r>
          </w:p>
        </w:tc>
        <w:tc>
          <w:tcPr>
            <w:tcW w:w="1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(60,315)</w:t>
            </w:r>
          </w:p>
        </w:tc>
        <w:tc>
          <w:tcPr>
            <w:tcW w:w="14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 attributable to ordinary shareholders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ordinary shares used in computing net (loss)/profit</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62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553,527,529</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555,466,061</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573,782,783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553,527,529</w:t>
            </w:r>
          </w:p>
        </w:tc>
        <w:tc>
          <w:tcPr>
            <w:tcW w:w="1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555,466,061</w:t>
            </w:r>
          </w:p>
        </w:tc>
        <w:tc>
          <w:tcPr>
            <w:tcW w:w="1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591,006,801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(loss)/profit per share attributable to ordinary shareholders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17</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 were included in:</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(US$0.00005 par value)</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60" w:type="dxa"/>
            <w:vAlign w:val="bottom"/>
            <w:tcBorders>
              <w:top w:val="single" w:sz="8" w:color="auto"/>
            </w:tcBorders>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Number</w:t>
            </w:r>
          </w:p>
        </w:tc>
        <w:tc>
          <w:tcPr>
            <w:tcW w:w="5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40"/>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w w:val="89"/>
              </w:rPr>
              <w:t>Note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shares issued</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shares issued</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income/(loss)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2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571,246,560</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9"/>
              </w:rPr>
              <w:t>1,526,140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(11,604,808)</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(46,930)</w:t>
            </w: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2,320</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(367,898)</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1,113,661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ordinary shares</w:t>
            </w:r>
          </w:p>
        </w:tc>
        <w:tc>
          <w:tcPr>
            <w:tcW w:w="4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rPr>
              <w:t>14</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(18,839,849)</w:t>
            </w: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(59,631)</w:t>
            </w: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(59,631)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share option and vested restricted share unit</w:t>
            </w:r>
          </w:p>
        </w:tc>
        <w:tc>
          <w:tcPr>
            <w:tcW w:w="4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(19,084)</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4,848,326</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20,123</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8"/>
              </w:rPr>
              <w:t>Issuance of ordinary shares upon the Dual Primary Listing,</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rPr>
              <w:t>14</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of cost of issuance</w:t>
            </w:r>
          </w:p>
        </w:tc>
        <w:tc>
          <w:tcPr>
            <w:tcW w:w="44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7,300,000</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8,689</w:t>
            </w:r>
          </w:p>
        </w:tc>
        <w:tc>
          <w:tcPr>
            <w:tcW w:w="1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4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(146,175)</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(146,175)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Fair value change of long-term investment</w:t>
            </w:r>
          </w:p>
        </w:tc>
        <w:tc>
          <w:tcPr>
            <w:tcW w:w="4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(9,493)</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4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(14,942)</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(14,942)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4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69,019</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578,546,560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9"/>
              </w:rPr>
              <w:t>1,584,764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(25,596,331)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(86,438)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(22,115)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(514,073)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962,167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u w:val="single" w:color="auto"/>
                <w:color w:val="auto"/>
                <w:w w:val="98"/>
              </w:rPr>
              <w:t>(US$</w:t>
            </w:r>
            <w:r>
              <w:rPr>
                <w:rFonts w:ascii="Times New Roman" w:cs="Times New Roman" w:eastAsia="Times New Roman" w:hAnsi="Times New Roman"/>
                <w:sz w:val="13"/>
                <w:szCs w:val="13"/>
                <w:b w:val="1"/>
                <w:bCs w:val="1"/>
                <w:color w:val="auto"/>
                <w:w w:val="98"/>
              </w:rPr>
              <w:t>0.00005 par value)</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8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0" w:type="dxa"/>
            <w:vAlign w:val="bottom"/>
          </w:tcPr>
          <w:p>
            <w:pPr>
              <w:spacing w:after="0"/>
              <w:rPr>
                <w:sz w:val="1"/>
                <w:szCs w:val="1"/>
                <w:color w:val="auto"/>
              </w:rPr>
            </w:pPr>
          </w:p>
        </w:tc>
      </w:tr>
      <w:tr>
        <w:trPr>
          <w:trHeight w:val="155"/>
        </w:trPr>
        <w:tc>
          <w:tcPr>
            <w:tcW w:w="3100" w:type="dxa"/>
            <w:vAlign w:val="bottom"/>
          </w:tcPr>
          <w:p>
            <w:pPr>
              <w:spacing w:after="0"/>
              <w:rPr>
                <w:sz w:val="13"/>
                <w:szCs w:val="13"/>
                <w:color w:val="auto"/>
              </w:rPr>
            </w:pP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i w:val="1"/>
                <w:iCs w:val="1"/>
                <w:color w:val="auto"/>
              </w:rPr>
              <w:t>Note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shares issued</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shares issued</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578,546,560</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1,584,764</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(25,596,331)</w:t>
            </w: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(86,438)</w:t>
            </w:r>
          </w:p>
        </w:tc>
        <w:tc>
          <w:tcPr>
            <w:tcW w:w="9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(22,115)</w:t>
            </w:r>
          </w:p>
        </w:tc>
        <w:tc>
          <w:tcPr>
            <w:tcW w:w="8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(514,073)</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962,167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Cumulative effect of accounting change</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5"/>
              </w:rPr>
              <w:t>2(i)</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(460)</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January 1, 2023</w:t>
            </w: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578,546,560</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1,584,764</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(25,596,331)</w:t>
            </w: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(86,438)</w:t>
            </w:r>
          </w:p>
        </w:tc>
        <w:tc>
          <w:tcPr>
            <w:tcW w:w="9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(22,115)</w:t>
            </w:r>
          </w:p>
        </w:tc>
        <w:tc>
          <w:tcPr>
            <w:tcW w:w="8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(514,533)</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961,707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ordinary shares</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1"/>
              </w:rPr>
              <w:t>14</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(1,200,794)</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(2,254)</w:t>
            </w: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share option and vested restricted share unit</w:t>
            </w:r>
          </w:p>
        </w:tc>
        <w:tc>
          <w:tcPr>
            <w:tcW w:w="4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(27,361)</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6,047,833</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28,548</w:t>
            </w: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Cancellation of Treasury stock</w:t>
            </w: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1"/>
              </w:rPr>
              <w:t>14</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(3,953,961)</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(6,514)</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3,953,961</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6,514</w:t>
            </w:r>
          </w:p>
        </w:tc>
        <w:tc>
          <w:tcPr>
            <w:tcW w:w="14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4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(60,315)</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(60,315)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Fair value change of long-term investment</w:t>
            </w:r>
          </w:p>
        </w:tc>
        <w:tc>
          <w:tcPr>
            <w:tcW w:w="4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(7,791)</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9"/>
              </w:rPr>
              <w:t>Transfer out of fair value changes of long-term investments</w:t>
            </w:r>
          </w:p>
        </w:tc>
        <w:tc>
          <w:tcPr>
            <w:tcW w:w="4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15,537</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4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(2,722)</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4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65,216</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65,216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4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574,592,599</w:t>
            </w:r>
          </w:p>
        </w:tc>
        <w:tc>
          <w:tcPr>
            <w:tcW w:w="14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1,616,105</w:t>
            </w:r>
          </w:p>
        </w:tc>
        <w:tc>
          <w:tcPr>
            <w:tcW w:w="14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(16,795,331)</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(53,630)</w:t>
            </w:r>
          </w:p>
        </w:tc>
        <w:tc>
          <w:tcPr>
            <w:tcW w:w="140" w:type="dxa"/>
            <w:vAlign w:val="bottom"/>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(17,091)</w:t>
            </w:r>
          </w:p>
        </w:tc>
        <w:tc>
          <w:tcPr>
            <w:tcW w:w="1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(574,848)</w:t>
            </w:r>
          </w:p>
        </w:tc>
        <w:tc>
          <w:tcPr>
            <w:tcW w:w="12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970,565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(US$0.00005 par value)</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76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Note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shares issued</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shares issued</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8"/>
              </w:rPr>
              <w:t>loss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574,592,599</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1,616,105</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(16,795,331)</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(53,630)</w:t>
            </w:r>
          </w:p>
        </w:tc>
        <w:tc>
          <w:tcPr>
            <w:tcW w:w="10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(17,091)</w:t>
            </w:r>
          </w:p>
        </w:tc>
        <w:tc>
          <w:tcPr>
            <w:tcW w:w="9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(574,848)</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970,565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ordinary shares</w:t>
            </w:r>
          </w:p>
        </w:tc>
        <w:tc>
          <w:tcPr>
            <w:tcW w:w="5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i w:val="1"/>
                <w:iCs w:val="1"/>
                <w:color w:val="auto"/>
              </w:rPr>
              <w:t>14</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(223,773)</w:t>
            </w: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(385)</w:t>
            </w:r>
          </w:p>
        </w:tc>
        <w:tc>
          <w:tcPr>
            <w:tcW w:w="10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share option and vested restricted share unit</w:t>
            </w:r>
          </w:p>
        </w:tc>
        <w:tc>
          <w:tcPr>
            <w:tcW w:w="5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(38,121)</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8,233,393</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38,289</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profit</w:t>
            </w:r>
          </w:p>
        </w:tc>
        <w:tc>
          <w:tcPr>
            <w:tcW w:w="54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4,997</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Fair value change of long-term investment</w:t>
            </w:r>
          </w:p>
        </w:tc>
        <w:tc>
          <w:tcPr>
            <w:tcW w:w="5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Transfer out of fair value changes of long-term</w:t>
            </w: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w:t>
            </w:r>
          </w:p>
        </w:tc>
        <w:tc>
          <w:tcPr>
            <w:tcW w:w="5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5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(2,574)</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54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67,750</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67,750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Dividend</w:t>
            </w:r>
          </w:p>
        </w:tc>
        <w:tc>
          <w:tcPr>
            <w:tcW w:w="5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(33,022)</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5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574,592,599</w:t>
            </w:r>
          </w:p>
        </w:tc>
        <w:tc>
          <w:tcPr>
            <w:tcW w:w="1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1,612,712</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(8,785,711)</w:t>
            </w:r>
          </w:p>
        </w:tc>
        <w:tc>
          <w:tcPr>
            <w:tcW w:w="14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(15,726)</w:t>
            </w:r>
          </w:p>
        </w:tc>
        <w:tc>
          <w:tcPr>
            <w:tcW w:w="14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(19,716)</w:t>
            </w:r>
          </w:p>
        </w:tc>
        <w:tc>
          <w:tcPr>
            <w:tcW w:w="14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(569,851)</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1,007,448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i w:val="1"/>
                <w:iCs w:val="1"/>
                <w:color w:val="auto"/>
              </w:rPr>
              <w:t>Note</w:t>
            </w:r>
          </w:p>
        </w:tc>
        <w:tc>
          <w:tcPr>
            <w:tcW w:w="28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78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0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(loss)/profit</w:t>
            </w:r>
          </w:p>
        </w:tc>
        <w:tc>
          <w:tcPr>
            <w:tcW w:w="7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(146,175)</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(60,315)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(loss)/profit to net cash generated from operating</w:t>
            </w:r>
          </w:p>
        </w:tc>
        <w:tc>
          <w:tcPr>
            <w:tcW w:w="7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7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of property, equipment and software</w:t>
            </w:r>
          </w:p>
        </w:tc>
        <w:tc>
          <w:tcPr>
            <w:tcW w:w="7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i w:val="1"/>
                <w:iCs w:val="1"/>
                <w:color w:val="auto"/>
                <w:w w:val="88"/>
              </w:rPr>
              <w:t>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Allowance for doubtful receivables/allowance for credit losses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write-downs</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(Gain)/loss on disposal of property, equipment and software</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disposal of long-term investment</w:t>
            </w:r>
          </w:p>
        </w:tc>
        <w:tc>
          <w:tcPr>
            <w:tcW w:w="7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(Gain)/loss on foreign currency exchange rates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(2,441)</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unrealized investment income</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change on short-term and long-term investments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13</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(7,449)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loss of long-term investments</w:t>
            </w:r>
          </w:p>
        </w:tc>
        <w:tc>
          <w:tcPr>
            <w:tcW w:w="780" w:type="dxa"/>
            <w:vAlign w:val="bottom"/>
          </w:tcPr>
          <w:p>
            <w:pPr>
              <w:jc w:val="center"/>
              <w:ind w:left="14"/>
              <w:spacing w:after="0"/>
              <w:rPr>
                <w:sz w:val="20"/>
                <w:szCs w:val="20"/>
                <w:color w:val="auto"/>
              </w:rPr>
            </w:pPr>
            <w:r>
              <w:rPr>
                <w:rFonts w:ascii="Times New Roman" w:cs="Times New Roman" w:eastAsia="Times New Roman" w:hAnsi="Times New Roman"/>
                <w:sz w:val="18"/>
                <w:szCs w:val="18"/>
                <w:i w:val="1"/>
                <w:iCs w:val="1"/>
                <w:color w:val="auto"/>
                <w:w w:val="88"/>
              </w:rPr>
              <w:t>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receivable</w:t>
            </w:r>
          </w:p>
        </w:tc>
        <w:tc>
          <w:tcPr>
            <w:tcW w:w="7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(1,374)</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Advances from customers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7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payables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7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(24,280)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(4,924)</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operating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(70,654)</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36,443</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for short-term investments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(1,257,697)</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(327,244)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disposal of short-term investments</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543,790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853,703</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disposal in long-term investments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property, equipment and software</w:t>
            </w:r>
          </w:p>
        </w:tc>
        <w:tc>
          <w:tcPr>
            <w:tcW w:w="7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land use rights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disposal of property, equipment and software</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for long-term investments</w:t>
            </w:r>
          </w:p>
        </w:tc>
        <w:tc>
          <w:tcPr>
            <w:tcW w:w="7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(1,575)</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(193,014)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of third party loans</w:t>
            </w:r>
          </w:p>
        </w:tc>
        <w:tc>
          <w:tcPr>
            <w:tcW w:w="7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other investing activities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investing activities</w:t>
            </w:r>
          </w:p>
        </w:tc>
        <w:tc>
          <w:tcPr>
            <w:tcW w:w="7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(714,225)</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332,455</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2023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Note</w:t>
            </w:r>
          </w:p>
        </w:tc>
        <w:tc>
          <w:tcPr>
            <w:tcW w:w="278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for repurchase of ordinary shares</w:t>
            </w:r>
          </w:p>
        </w:tc>
        <w:tc>
          <w:tcPr>
            <w:tcW w:w="6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(48,678)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from issuance of Class A ordinary shares upon the Dual Primary Listing, net</w:t>
            </w: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cost of issuance</w:t>
            </w:r>
          </w:p>
        </w:tc>
        <w:tc>
          <w:tcPr>
            <w:tcW w:w="6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80" w:type="dxa"/>
            <w:vAlign w:val="bottom"/>
          </w:tcPr>
          <w:p>
            <w:pPr>
              <w:spacing w:after="0"/>
              <w:rPr>
                <w:sz w:val="20"/>
                <w:szCs w:val="20"/>
                <w:color w:val="auto"/>
              </w:rPr>
            </w:pP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of dividend</w:t>
            </w:r>
          </w:p>
        </w:tc>
        <w:tc>
          <w:tcPr>
            <w:tcW w:w="6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(38,582)</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 restricted cash</w:t>
            </w:r>
          </w:p>
        </w:tc>
        <w:tc>
          <w:tcPr>
            <w:tcW w:w="6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 restricted cash</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(831,415)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Cash and cash equivalents, restricted cash at the beginning of year</w:t>
            </w:r>
          </w:p>
        </w:tc>
        <w:tc>
          <w:tcPr>
            <w:tcW w:w="6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964,576</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restricted cash at the end of year</w:t>
            </w:r>
          </w:p>
        </w:tc>
        <w:tc>
          <w:tcPr>
            <w:tcW w:w="6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income tax</w:t>
            </w:r>
          </w:p>
        </w:tc>
        <w:tc>
          <w:tcPr>
            <w:tcW w:w="6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tcBorders>
              <w:bottom w:val="single" w:sz="8" w:color="auto"/>
            </w:tcBorders>
            <w:gridSpan w:val="5"/>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2(f)</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2(g)</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cash, cash equivalents and restricted cash shown in the statements of cash</w:t>
            </w:r>
          </w:p>
        </w:tc>
        <w:tc>
          <w:tcPr>
            <w:tcW w:w="6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133,161</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498,688</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flows</w:t>
            </w:r>
          </w:p>
        </w:tc>
        <w:tc>
          <w:tcPr>
            <w:tcW w:w="6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F-10</w:t>
            </w:r>
          </w:p>
        </w:tc>
        <w:tc>
          <w:tcPr>
            <w:tcW w:w="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US$ thousands (“US$”), except for share and per share data, unless otherwise noted)</w:t>
      </w:r>
    </w:p>
    <w:p>
      <w:pPr>
        <w:spacing w:after="0" w:line="203" w:lineRule="exact"/>
        <w:rPr>
          <w:sz w:val="20"/>
          <w:szCs w:val="20"/>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5" w:lineRule="exact"/>
        <w:rPr>
          <w:rFonts w:ascii="Times New Roman" w:cs="Times New Roman" w:eastAsia="Times New Roman" w:hAnsi="Times New Roman"/>
          <w:sz w:val="18"/>
          <w:szCs w:val="18"/>
          <w:b w:val="1"/>
          <w:bCs w:val="1"/>
          <w:color w:val="auto"/>
        </w:rPr>
      </w:pPr>
    </w:p>
    <w:p>
      <w:pPr>
        <w:ind w:left="720" w:hanging="388"/>
        <w:spacing w:after="0"/>
        <w:tabs>
          <w:tab w:leader="none" w:pos="720" w:val="left"/>
        </w:tabs>
        <w:numPr>
          <w:ilvl w:val="1"/>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Principal Activities</w:t>
      </w:r>
    </w:p>
    <w:p>
      <w:pPr>
        <w:spacing w:after="0" w:line="229"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Tuya Inc. (the “Company”) was incorporated under the laws of the Cayman Islands on August 28, 2014, as an exempted company with limited liability. The Company and its subsidiaries and consolidated variable interest entity (“VIE”) (collectively referred to as the “Group”) are principally engaged in offering PaaS (Platform-as-a-Service) to business customers developing IoT (Internet of Things) devices, including brands and their OEMs (original equipment manufacturer). And, the Group offers SaaS (Software-as-a-Service), including industry SaaS and cloud-based value-added services to its customers. The Group also sells finished smart devices powered by Tuya purchased from qualified OEMs (the “Smart solution”).</w:t>
      </w:r>
    </w:p>
    <w:p>
      <w:pPr>
        <w:spacing w:after="0" w:line="183" w:lineRule="exact"/>
        <w:rPr>
          <w:sz w:val="20"/>
          <w:szCs w:val="20"/>
          <w:color w:val="auto"/>
        </w:rPr>
      </w:pPr>
    </w:p>
    <w:p>
      <w:pPr>
        <w:ind w:left="720" w:hanging="388"/>
        <w:spacing w:after="0"/>
        <w:tabs>
          <w:tab w:leader="none" w:pos="720"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History of the Group</w:t>
      </w:r>
    </w:p>
    <w:p>
      <w:pPr>
        <w:spacing w:after="0" w:line="229" w:lineRule="exact"/>
        <w:rPr>
          <w:sz w:val="20"/>
          <w:szCs w:val="20"/>
          <w:color w:val="auto"/>
        </w:rPr>
      </w:pPr>
    </w:p>
    <w:p>
      <w:pPr>
        <w:ind w:left="340" w:right="20"/>
        <w:spacing w:after="0" w:line="253" w:lineRule="auto"/>
        <w:rPr>
          <w:sz w:val="20"/>
          <w:szCs w:val="20"/>
          <w:color w:val="auto"/>
        </w:rPr>
      </w:pPr>
      <w:r>
        <w:rPr>
          <w:rFonts w:ascii="Times New Roman" w:cs="Times New Roman" w:eastAsia="Times New Roman" w:hAnsi="Times New Roman"/>
          <w:sz w:val="18"/>
          <w:szCs w:val="18"/>
          <w:color w:val="auto"/>
        </w:rPr>
        <w:t>Prior to the incorporation of Tuya Inc. in August 2014, the Group commenced its initial operations through Hangzhou Tuya Technology Co., Ltd. (“Hangzhou Tuya Technology”), which was established on June 16, 2014 by Wang Xueji and another individual. After a series of agreements, Hangzhou Tuya Technology was owned by Wang Xueji and other four individuals (collectively, the “Registered Shareholders”) together with two unrelated investors of Series Angel financing (the “Non-Registered Shareholders VIE Investors”) by August 2014. In December 2014, Hangzhou Tuya Information Technology Co., Ltd. (the “WFOE”) was established after the incorporation of Tuya Inc. The Group then entered into a series of contractual arrangements among the WFOE, Hangzhou Tuya Technology and Hangzhou Tuya Technology’s shareholders in December 2014, and thereafter Hangzhou Tuya Technology (the “VIE”) became the variable interest entity of the Group. After the completion of this transaction, the Group’s consolidated financial statements include the financial statements of the Company, its subsidiaries and the consolidated VIE. In 2019, the VIE agreements were amended to modify the VIE’s shareholders list and equity interest of each shareholder as a result of the change in registered share capital of the VIE and the exit of Non-Registered Shareholders VIE Investors as the VIE’s shareholders. The contractual arrangements were further amended in January 2022. The amendments discussed herein did not impact the VIE accounting treatment discussed further in Note 2(b).</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2024, the Company’s principal subsidiaries and consolidated VIE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7"/>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Percentage of direct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99"/>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subsidiaries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1540" w:type="dxa"/>
            <w:vAlign w:val="bottom"/>
            <w:gridSpan w:val="7"/>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or indirect ownership</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r>
      <w:tr>
        <w:trPr>
          <w:trHeight w:val="142"/>
        </w:trPr>
        <w:tc>
          <w:tcPr>
            <w:tcW w:w="2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r>
      <w:tr>
        <w:trPr>
          <w:trHeight w:val="142"/>
        </w:trPr>
        <w:tc>
          <w:tcPr>
            <w:tcW w:w="27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r>
      <w:tr>
        <w:trPr>
          <w:trHeight w:val="178"/>
        </w:trPr>
        <w:tc>
          <w:tcPr>
            <w:tcW w:w="292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Tuya (HK) Limited</w:t>
            </w:r>
          </w:p>
        </w:tc>
        <w:tc>
          <w:tcPr>
            <w:tcW w:w="156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September 12, 2014</w:t>
            </w:r>
          </w:p>
        </w:tc>
        <w:tc>
          <w:tcPr>
            <w:tcW w:w="2180" w:type="dxa"/>
            <w:vAlign w:val="bottom"/>
            <w:gridSpan w:val="4"/>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Hong Kong, China</w:t>
            </w:r>
          </w:p>
        </w:tc>
        <w:tc>
          <w:tcPr>
            <w:tcW w:w="540" w:type="dxa"/>
            <w:vAlign w:val="bottom"/>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240" w:type="dxa"/>
            <w:vAlign w:val="bottom"/>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gridSpan w:val="2"/>
            <w:shd w:val="clear" w:color="auto" w:fill="CCEEFF"/>
          </w:tcPr>
          <w:p>
            <w:pPr>
              <w:ind w:left="240"/>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1920" w:type="dxa"/>
            <w:vAlign w:val="bottom"/>
            <w:gridSpan w:val="5"/>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 Investment holding</w:t>
            </w:r>
          </w:p>
        </w:tc>
      </w:tr>
      <w:tr>
        <w:trPr>
          <w:trHeight w:val="216"/>
        </w:trPr>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business</w:t>
            </w:r>
          </w:p>
        </w:tc>
      </w:tr>
      <w:tr>
        <w:trPr>
          <w:trHeight w:val="234"/>
        </w:trPr>
        <w:tc>
          <w:tcPr>
            <w:tcW w:w="2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w:t>
            </w:r>
          </w:p>
        </w:tc>
      </w:tr>
      <w:tr>
        <w:trPr>
          <w:trHeight w:val="198"/>
        </w:trPr>
        <w:tc>
          <w:tcPr>
            <w:tcW w:w="2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Hangzhou Tuya Information</w:t>
            </w:r>
          </w:p>
        </w:tc>
        <w:tc>
          <w:tcPr>
            <w:tcW w:w="15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December 5, 2014</w:t>
            </w:r>
          </w:p>
        </w:tc>
        <w:tc>
          <w:tcPr>
            <w:tcW w:w="2180" w:type="dxa"/>
            <w:vAlign w:val="bottom"/>
            <w:gridSpan w:val="4"/>
          </w:tcPr>
          <w:p>
            <w:pPr>
              <w:ind w:left="100"/>
              <w:spacing w:after="0" w:line="198" w:lineRule="exact"/>
              <w:rPr>
                <w:sz w:val="20"/>
                <w:szCs w:val="20"/>
                <w:color w:val="auto"/>
              </w:rPr>
            </w:pPr>
            <w:r>
              <w:rPr>
                <w:rFonts w:ascii="Times New Roman" w:cs="Times New Roman" w:eastAsia="Times New Roman" w:hAnsi="Times New Roman"/>
                <w:sz w:val="18"/>
                <w:szCs w:val="18"/>
                <w:color w:val="auto"/>
              </w:rPr>
              <w:t>Hangzhou, China</w:t>
            </w:r>
          </w:p>
        </w:tc>
        <w:tc>
          <w:tcPr>
            <w:tcW w:w="7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7"/>
                <w:szCs w:val="17"/>
                <w:color w:val="auto"/>
              </w:rPr>
            </w:pPr>
          </w:p>
        </w:tc>
        <w:tc>
          <w:tcPr>
            <w:tcW w:w="2460" w:type="dxa"/>
            <w:vAlign w:val="bottom"/>
            <w:gridSpan w:val="6"/>
          </w:tcPr>
          <w:p>
            <w:pPr>
              <w:ind w:left="220"/>
              <w:spacing w:after="0" w:line="198" w:lineRule="exact"/>
              <w:rPr>
                <w:sz w:val="20"/>
                <w:szCs w:val="20"/>
                <w:color w:val="auto"/>
              </w:rPr>
            </w:pPr>
            <w:r>
              <w:rPr>
                <w:rFonts w:ascii="Times New Roman" w:cs="Times New Roman" w:eastAsia="Times New Roman" w:hAnsi="Times New Roman"/>
                <w:sz w:val="18"/>
                <w:szCs w:val="18"/>
                <w:color w:val="auto"/>
              </w:rPr>
              <w:t>100 % Sales of IoT PaaS,</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Smart devices, SaaS</w:t>
            </w: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and Others and</w:t>
            </w:r>
          </w:p>
        </w:tc>
      </w:tr>
      <w:tr>
        <w:trPr>
          <w:trHeight w:val="216"/>
        </w:trPr>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research and</w:t>
            </w:r>
          </w:p>
        </w:tc>
      </w:tr>
      <w:tr>
        <w:trPr>
          <w:trHeight w:val="234"/>
        </w:trPr>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development</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Tuya Smart Inc.</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19, 2019</w:t>
            </w:r>
          </w:p>
        </w:tc>
        <w:tc>
          <w:tcPr>
            <w:tcW w:w="2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Delaware, United States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w:t>
            </w:r>
          </w:p>
        </w:tc>
        <w:tc>
          <w:tcPr>
            <w:tcW w:w="1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Global Inc.</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22, 2015</w:t>
            </w: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California, United States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100 %</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Tuya smart (India) Private Limited</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2019</w:t>
            </w:r>
          </w:p>
        </w:tc>
        <w:tc>
          <w:tcPr>
            <w:tcW w:w="2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Gurgaon, India</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w:t>
            </w:r>
          </w:p>
        </w:tc>
        <w:tc>
          <w:tcPr>
            <w:tcW w:w="1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smart (Colombia) S.A.S</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2, 2019</w:t>
            </w: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Medellin, Colombia</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8"/>
                <w:szCs w:val="18"/>
                <w:color w:val="auto"/>
              </w:rPr>
            </w:pPr>
          </w:p>
        </w:tc>
        <w:tc>
          <w:tcPr>
            <w:tcW w:w="24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100 % Business development</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Tuya GmbH</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13, 2019</w:t>
            </w:r>
          </w:p>
        </w:tc>
        <w:tc>
          <w:tcPr>
            <w:tcW w:w="2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Hamburg, Germany</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8"/>
                <w:szCs w:val="18"/>
                <w:color w:val="auto"/>
              </w:rPr>
            </w:pPr>
          </w:p>
        </w:tc>
        <w:tc>
          <w:tcPr>
            <w:tcW w:w="246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100 % Business development</w:t>
            </w: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Japan Co., Ltd.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January 23, 2019</w:t>
            </w: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Tokyo, Japan</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100 %</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198"/>
        </w:trPr>
        <w:tc>
          <w:tcPr>
            <w:tcW w:w="2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Zhejiang Tuya Smart Electronics</w:t>
            </w:r>
          </w:p>
        </w:tc>
        <w:tc>
          <w:tcPr>
            <w:tcW w:w="15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May 9, 2020</w:t>
            </w:r>
          </w:p>
        </w:tc>
        <w:tc>
          <w:tcPr>
            <w:tcW w:w="2180" w:type="dxa"/>
            <w:vAlign w:val="bottom"/>
            <w:gridSpan w:val="4"/>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Hangzhou, China</w:t>
            </w:r>
          </w:p>
        </w:tc>
        <w:tc>
          <w:tcPr>
            <w:tcW w:w="780" w:type="dxa"/>
            <w:vAlign w:val="bottom"/>
            <w:gridSpan w:val="3"/>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7"/>
                <w:szCs w:val="17"/>
                <w:color w:val="auto"/>
              </w:rPr>
            </w:pPr>
          </w:p>
        </w:tc>
        <w:tc>
          <w:tcPr>
            <w:tcW w:w="2460" w:type="dxa"/>
            <w:vAlign w:val="bottom"/>
            <w:gridSpan w:val="6"/>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100 % Sales of Smart devices</w:t>
            </w:r>
          </w:p>
        </w:tc>
      </w:tr>
      <w:tr>
        <w:trPr>
          <w:trHeight w:val="234"/>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 Ltd.</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Smart Australia Pty Ltd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19, 2020</w:t>
            </w: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Melbourne, Australia</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100 %</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Tuya France</w:t>
            </w:r>
          </w:p>
        </w:tc>
        <w:tc>
          <w:tcPr>
            <w:tcW w:w="1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07, 2023</w:t>
            </w:r>
          </w:p>
        </w:tc>
        <w:tc>
          <w:tcPr>
            <w:tcW w:w="21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Paris, France</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6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100 %</w:t>
            </w:r>
          </w:p>
        </w:tc>
        <w:tc>
          <w:tcPr>
            <w:tcW w:w="1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Tuya UK Limited</w:t>
            </w: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28, 2022</w:t>
            </w:r>
          </w:p>
        </w:tc>
        <w:tc>
          <w:tcPr>
            <w:tcW w:w="2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London, United Kingdom</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20"/>
                <w:szCs w:val="20"/>
                <w:color w:val="auto"/>
              </w:rPr>
            </w:pPr>
          </w:p>
        </w:tc>
        <w:tc>
          <w:tcPr>
            <w:tcW w:w="246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100 % Business development</w:t>
            </w:r>
          </w:p>
        </w:tc>
      </w:tr>
      <w:tr>
        <w:trPr>
          <w:trHeight w:val="377"/>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99"/>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VIE</w:t>
            </w:r>
          </w:p>
        </w:tc>
        <w:tc>
          <w:tcPr>
            <w:tcW w:w="1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1540" w:type="dxa"/>
            <w:vAlign w:val="bottom"/>
            <w:gridSpan w:val="7"/>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interest held</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r>
      <w:tr>
        <w:trPr>
          <w:trHeight w:val="142"/>
        </w:trPr>
        <w:tc>
          <w:tcPr>
            <w:tcW w:w="2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r>
      <w:tr>
        <w:trPr>
          <w:trHeight w:val="142"/>
        </w:trPr>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78"/>
        </w:trPr>
        <w:tc>
          <w:tcPr>
            <w:tcW w:w="292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Hangzhou Tuya Technology Co., Ltd.</w:t>
            </w:r>
          </w:p>
        </w:tc>
        <w:tc>
          <w:tcPr>
            <w:tcW w:w="1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June 16, 2014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Hangzhou, China</w:t>
            </w:r>
          </w:p>
        </w:tc>
        <w:tc>
          <w:tcPr>
            <w:tcW w:w="560" w:type="dxa"/>
            <w:vAlign w:val="bottom"/>
            <w:tcBorders>
              <w:top w:val="single" w:sz="8" w:color="auto"/>
            </w:tcBorders>
            <w:gridSpan w:val="2"/>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ind w:left="240"/>
              <w:spacing w:after="0" w:line="177" w:lineRule="exact"/>
              <w:rPr>
                <w:sz w:val="20"/>
                <w:szCs w:val="20"/>
                <w:color w:val="auto"/>
              </w:rPr>
            </w:pPr>
            <w:r>
              <w:rPr>
                <w:rFonts w:ascii="Times New Roman" w:cs="Times New Roman" w:eastAsia="Times New Roman" w:hAnsi="Times New Roman"/>
                <w:sz w:val="18"/>
                <w:szCs w:val="18"/>
                <w:color w:val="auto"/>
              </w:rPr>
              <w:t>100</w:t>
            </w:r>
          </w:p>
        </w:tc>
        <w:tc>
          <w:tcPr>
            <w:tcW w:w="1900" w:type="dxa"/>
            <w:vAlign w:val="bottom"/>
            <w:tcBorders>
              <w:top w:val="single" w:sz="8" w:color="CCEEFF"/>
            </w:tcBorders>
            <w:gridSpan w:val="4"/>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 No substantial</w:t>
            </w:r>
          </w:p>
        </w:tc>
      </w:tr>
      <w:tr>
        <w:trPr>
          <w:trHeight w:val="234"/>
        </w:trPr>
        <w:tc>
          <w:tcPr>
            <w:tcW w:w="2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w:t>
            </w:r>
          </w:p>
        </w:tc>
      </w:tr>
    </w:tbl>
    <w:p>
      <w:pPr>
        <w:spacing w:after="0" w:line="198" w:lineRule="exact"/>
        <w:rPr>
          <w:sz w:val="20"/>
          <w:szCs w:val="20"/>
          <w:color w:val="auto"/>
        </w:rPr>
      </w:pPr>
    </w:p>
    <w:p>
      <w:pPr>
        <w:ind w:left="340" w:right="680"/>
        <w:spacing w:after="0" w:line="282" w:lineRule="auto"/>
        <w:rPr>
          <w:sz w:val="20"/>
          <w:szCs w:val="20"/>
          <w:color w:val="auto"/>
        </w:rPr>
      </w:pPr>
      <w:r>
        <w:rPr>
          <w:rFonts w:ascii="Times New Roman" w:cs="Times New Roman" w:eastAsia="Times New Roman" w:hAnsi="Times New Roman"/>
          <w:sz w:val="18"/>
          <w:szCs w:val="18"/>
          <w:color w:val="auto"/>
        </w:rPr>
        <w:t>The VIE operated de minimis business activities and had no material impact on the Company’s financial position, results of operations or cash flows for the years ended December 31, 2022,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225" w:lineRule="exact"/>
        <w:rPr>
          <w:sz w:val="20"/>
          <w:szCs w:val="20"/>
          <w:color w:val="auto"/>
        </w:rPr>
      </w:pPr>
    </w:p>
    <w:p>
      <w:pPr>
        <w:ind w:left="720" w:hanging="388"/>
        <w:spacing w:after="0"/>
        <w:tabs>
          <w:tab w:leader="none" w:pos="720" w:val="left"/>
        </w:tabs>
        <w:numPr>
          <w:ilvl w:val="0"/>
          <w:numId w:val="9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62"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Principal accounting policies followed by the Group in the preparation of the accompanying consolidated financial statements are summarized below.</w:t>
      </w:r>
    </w:p>
    <w:p>
      <w:pPr>
        <w:spacing w:after="0" w:line="158" w:lineRule="exact"/>
        <w:rPr>
          <w:sz w:val="20"/>
          <w:szCs w:val="20"/>
          <w:color w:val="auto"/>
        </w:rPr>
      </w:pPr>
    </w:p>
    <w:p>
      <w:pPr>
        <w:ind w:left="720" w:hanging="388"/>
        <w:spacing w:after="0"/>
        <w:tabs>
          <w:tab w:leader="none" w:pos="720" w:val="left"/>
        </w:tabs>
        <w:numPr>
          <w:ilvl w:val="0"/>
          <w:numId w:val="10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17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180"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The Company applies the guidance codified in Accounting Standard Codification 810, Consolidations (“ASC 810”) on accounting for the VIE, which requires certain variable interest entities to be consolidated by the primary beneficiary of the entity in which it has a controlling financial interest.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w:t>
      </w:r>
    </w:p>
    <w:p>
      <w:pPr>
        <w:spacing w:after="0" w:line="185"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Use of Estimates</w:t>
      </w:r>
    </w:p>
    <w:p>
      <w:pPr>
        <w:spacing w:after="0" w:line="229"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18"/>
          <w:szCs w:val="18"/>
          <w:color w:val="auto"/>
        </w:rPr>
        <w:t>The preparation of the Group’s consolidated financial statements in conformity with U.S. GAAP requires management to make estimates and assumptions that affect the reported amounts of assets and liabilities, long-lived assets and liabilities at the balance sheet date, and the reported revenues and expenses during the reporting periods in the consolidated financial statements and accompanying notes. Accounting estimates reflected in the Group’s consolidated financial statements include, but are not limited to impairment provision for inventories, valuation allowance for deferred tax assets, stand-alone selling prices (SSP) for each distinct performance obligation, share-based compensation, long-term investments, and the determination of allowance for current expected credit losses. Estimates are based on historical experiences and on various assumptions that the Group believes are reasonable under current circumstances. Given the changes in circumstances, facts and experience may cause the Group to revise its estimates, actual results could differ materially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720" w:hanging="388"/>
        <w:spacing w:after="0"/>
        <w:tabs>
          <w:tab w:leader="none" w:pos="720" w:val="left"/>
        </w:tabs>
        <w:numPr>
          <w:ilvl w:val="0"/>
          <w:numId w:val="10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Functional Currency and Foreign Currency Translation</w:t>
      </w:r>
    </w:p>
    <w:p>
      <w:pPr>
        <w:spacing w:after="0" w:line="229" w:lineRule="exact"/>
        <w:rPr>
          <w:sz w:val="20"/>
          <w:szCs w:val="20"/>
          <w:color w:val="auto"/>
        </w:rPr>
      </w:pPr>
    </w:p>
    <w:p>
      <w:pPr>
        <w:ind w:left="340" w:right="220"/>
        <w:spacing w:after="0" w:line="289" w:lineRule="auto"/>
        <w:rPr>
          <w:sz w:val="20"/>
          <w:szCs w:val="20"/>
          <w:color w:val="auto"/>
        </w:rPr>
      </w:pPr>
      <w:r>
        <w:rPr>
          <w:rFonts w:ascii="Times New Roman" w:cs="Times New Roman" w:eastAsia="Times New Roman" w:hAnsi="Times New Roman"/>
          <w:sz w:val="17"/>
          <w:szCs w:val="17"/>
          <w:color w:val="auto"/>
        </w:rPr>
        <w:t xml:space="preserve">The Group uses United States dollar as its reporting currency. The functional currency of the Company and its subsidiaries incorporated in Cayman Islands and Hong Kong is the United States dollar, while the functional currency of the Group’s other subsidiaries and VIE is their respective local currency as determined based on the criteria of ASC 830, </w:t>
      </w:r>
      <w:r>
        <w:rPr>
          <w:rFonts w:ascii="Times New Roman" w:cs="Times New Roman" w:eastAsia="Times New Roman" w:hAnsi="Times New Roman"/>
          <w:sz w:val="17"/>
          <w:szCs w:val="17"/>
          <w:i w:val="1"/>
          <w:iCs w:val="1"/>
          <w:color w:val="auto"/>
        </w:rPr>
        <w:t>Foreign Currency Matters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included in the consolidated statements of comprehensive (loss)/income as foreign exchange related gains or loss.</w:t>
      </w:r>
    </w:p>
    <w:p>
      <w:pPr>
        <w:spacing w:after="0" w:line="180"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financial statements of the Group’s entities using functional currency other than US$ are translated from the functional currency to the reporting currency, US$. Assets and liabilities of the Group’s subsidiaries incorporated in PRC are translated into US$ at fiscal year-end exchange rates, while income and expense items are translated at average exchange rates prevailing during each period presented, representing the index rates stipulated by the People’s Bank of China. Translation adjustments arising from these are reported as foreign currency translation adjustments and are shown as a separate component of shareholders’ equity on the consolidated financial statements.</w:t>
      </w:r>
    </w:p>
    <w:p>
      <w:pPr>
        <w:spacing w:after="0" w:line="183"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229"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spacing w:after="0" w:line="180" w:lineRule="exact"/>
        <w:rPr>
          <w:sz w:val="20"/>
          <w:szCs w:val="20"/>
          <w:color w:val="auto"/>
        </w:rPr>
      </w:pPr>
    </w:p>
    <w:p>
      <w:pPr>
        <w:ind w:left="680" w:hanging="321"/>
        <w:spacing w:after="0"/>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market-based inputs, other than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to the valuation methodology that are significant to the measurement of the fair value of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w:t>
      </w:r>
    </w:p>
    <w:p>
      <w:pPr>
        <w:spacing w:after="0" w:line="27" w:lineRule="exact"/>
        <w:rPr>
          <w:sz w:val="20"/>
          <w:szCs w:val="20"/>
          <w:color w:val="auto"/>
        </w:rPr>
      </w:pPr>
    </w:p>
    <w:p>
      <w:pPr>
        <w:jc w:val="both"/>
        <w:ind w:left="340" w:right="100" w:hanging="8"/>
        <w:spacing w:after="0" w:line="253" w:lineRule="auto"/>
        <w:tabs>
          <w:tab w:leader="none" w:pos="5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9" w:lineRule="exact"/>
        <w:rPr>
          <w:sz w:val="20"/>
          <w:szCs w:val="20"/>
          <w:color w:val="auto"/>
        </w:rPr>
      </w:pPr>
    </w:p>
    <w:p>
      <w:pPr>
        <w:ind w:left="340" w:right="160"/>
        <w:spacing w:after="0" w:line="254" w:lineRule="auto"/>
        <w:rPr>
          <w:sz w:val="20"/>
          <w:szCs w:val="20"/>
          <w:color w:val="auto"/>
        </w:rPr>
      </w:pPr>
      <w:r>
        <w:rPr>
          <w:rFonts w:ascii="Times New Roman" w:cs="Times New Roman" w:eastAsia="Times New Roman" w:hAnsi="Times New Roman"/>
          <w:sz w:val="18"/>
          <w:szCs w:val="18"/>
          <w:color w:val="auto"/>
        </w:rPr>
        <w:t>Financial assets and liabilities of the Group mainly consist of cash and cash equivalents, time deposits, equity securities, accounts receivable, notes receivable, derivative instruments, certain other current assets, U.S. treasury securities, available-for-sale debt securities, account payables and certain accruals and other liabilities. As of December 31, 2023 and 2024, except for time deposits, equity securities and available-for-sale debt securities, the carrying values of these financial instruments approximated their fair values due to their short-term maturity. The Group reports equity securities with readily determinable fair values included in short-term investments at fair value and discloses the fair value of these investments based on level 1 measurement. The Group reports time deposits included in short-term investments and equity securities with readily determinable fair value included in long-term investments at fair value, and discloses their fair value based on level 2 measurement. The Group reports available-for-sale debt securities at fair value and discloses the fair value of these investments based on level 3 measurement.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8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Group’s assets and liabilities that are measured at fair value on a recurring basis and are categorized using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9"/>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62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40" w:type="dxa"/>
            <w:vAlign w:val="bottom"/>
          </w:tcPr>
          <w:p>
            <w:pPr>
              <w:spacing w:after="0"/>
              <w:rPr>
                <w:sz w:val="10"/>
                <w:szCs w:val="10"/>
                <w:color w:val="auto"/>
              </w:rPr>
            </w:pPr>
          </w:p>
        </w:tc>
        <w:tc>
          <w:tcPr>
            <w:tcW w:w="1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15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40" w:type="dxa"/>
            <w:vAlign w:val="bottom"/>
            <w:gridSpan w:val="2"/>
            <w:vMerge w:val="continue"/>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291,023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288,758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301,133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288,994</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24"/>
                <w:szCs w:val="24"/>
                <w:color w:val="auto"/>
              </w:rPr>
            </w:pPr>
          </w:p>
        </w:tc>
        <w:tc>
          <w:tcPr>
            <w:tcW w:w="3800" w:type="dxa"/>
            <w:vAlign w:val="bottom"/>
            <w:tcBorders>
              <w:bottom w:val="single" w:sz="8" w:color="auto"/>
            </w:tcBorders>
            <w:gridSpan w:val="9"/>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58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40" w:type="dxa"/>
            <w:vAlign w:val="bottom"/>
          </w:tcPr>
          <w:p>
            <w:pPr>
              <w:spacing w:after="0"/>
              <w:rPr>
                <w:sz w:val="10"/>
                <w:szCs w:val="10"/>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040" w:type="dxa"/>
            <w:vAlign w:val="bottom"/>
            <w:gridSpan w:val="2"/>
            <w:vMerge w:val="continue"/>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55,408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55,603</w:t>
            </w: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roll forward of major Level 3 investments are as follows:</w:t>
            </w: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Level 3 investments as of December 31, 2022</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change in fair value of the investments</w:t>
            </w:r>
          </w:p>
        </w:tc>
        <w:tc>
          <w:tcPr>
            <w:tcW w:w="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Level 3 investments as of December 31, 2023</w:t>
            </w:r>
          </w:p>
        </w:tc>
        <w:tc>
          <w:tcPr>
            <w:tcW w:w="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Disposal</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(2,706)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change in fair value of the investments</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Fair value of Level 3 investments as of December 31, 2024</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Management determined the fair value of these Level 3 investments based on market approach using various unobservable inputs. The determination of the fair value required significant judgement by management with respect to the assumptions and estimates for the lack of marketability discounts, expected volatility and probability in equity allocation. The significant unobservable inputs adopted in the valuation as of December 31, 2023 and 2024 are as follows: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90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2200" w:type="dxa"/>
            <w:vAlign w:val="bottom"/>
            <w:tcBorders>
              <w:bottom w:val="single" w:sz="8" w:color="auto"/>
            </w:tcBorders>
          </w:tcPr>
          <w:p>
            <w:pPr>
              <w:jc w:val="right"/>
              <w:ind w:right="8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8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Unobservable Inputs</w:t>
            </w:r>
          </w:p>
        </w:tc>
        <w:tc>
          <w:tcPr>
            <w:tcW w:w="2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vMerge w:val="restart"/>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40%-59 %</w:t>
            </w:r>
          </w:p>
        </w:tc>
        <w:tc>
          <w:tcPr>
            <w:tcW w:w="5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Probability</w:t>
            </w:r>
          </w:p>
        </w:tc>
        <w:tc>
          <w:tcPr>
            <w:tcW w:w="4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Liquidation scenario:38%-40 % Liquidation scenario:38%-45 %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7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Redemption scenario:38%-40 %Redemption scenario:38%-45 %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9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IPO scenario:20%-25 %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IPO scenario:10%-25 %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00" w:hanging="368"/>
        <w:spacing w:after="0"/>
        <w:tabs>
          <w:tab w:leader="none" w:pos="700" w:val="left"/>
        </w:tabs>
        <w:numPr>
          <w:ilvl w:val="0"/>
          <w:numId w:val="10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340" w:right="52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in bank and time deposits placed with banks or other financial institutions which have original maturities of three months or less at the time of purchase and are readily convertible to known amounts of cash.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720" w:hanging="388"/>
        <w:spacing w:after="0"/>
        <w:tabs>
          <w:tab w:leader="none" w:pos="720" w:val="left"/>
        </w:tabs>
        <w:numPr>
          <w:ilvl w:val="0"/>
          <w:numId w:val="10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340" w:right="440"/>
        <w:spacing w:after="0" w:line="266" w:lineRule="auto"/>
        <w:rPr>
          <w:sz w:val="20"/>
          <w:szCs w:val="20"/>
          <w:color w:val="auto"/>
        </w:rPr>
      </w:pPr>
      <w:r>
        <w:rPr>
          <w:rFonts w:ascii="Times New Roman" w:cs="Times New Roman" w:eastAsia="Times New Roman" w:hAnsi="Times New Roman"/>
          <w:sz w:val="18"/>
          <w:szCs w:val="18"/>
          <w:color w:val="auto"/>
        </w:rPr>
        <w:t>Restricted cash represents cash that cannot be withdrawn without the permission of third parties. The Group’s restricted cash is substantially cash balance on deposit required by its business partners and commercial banks. The restricted cash balance as of December 31, 2024 was the deposit for guarantee letter, and will be released from the restriction in June 2025.</w:t>
      </w:r>
    </w:p>
    <w:p>
      <w:pPr>
        <w:spacing w:after="0" w:line="172"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Short-term Investments</w:t>
      </w:r>
    </w:p>
    <w:p>
      <w:pPr>
        <w:spacing w:after="0" w:line="229" w:lineRule="exact"/>
        <w:rPr>
          <w:sz w:val="20"/>
          <w:szCs w:val="20"/>
          <w:color w:val="auto"/>
        </w:rPr>
      </w:pPr>
    </w:p>
    <w:p>
      <w:pPr>
        <w:ind w:left="340" w:right="20"/>
        <w:spacing w:after="0" w:line="270" w:lineRule="auto"/>
        <w:rPr>
          <w:sz w:val="20"/>
          <w:szCs w:val="20"/>
          <w:color w:val="auto"/>
        </w:rPr>
      </w:pPr>
      <w:r>
        <w:rPr>
          <w:rFonts w:ascii="Times New Roman" w:cs="Times New Roman" w:eastAsia="Times New Roman" w:hAnsi="Times New Roman"/>
          <w:sz w:val="17"/>
          <w:szCs w:val="17"/>
          <w:color w:val="auto"/>
        </w:rPr>
        <w:t>Short-term investments are comprised of i) time deposits placed with banks with original maturities longer than three months but less than one year, ii) time deposits placed with bank with original maturities longer than one year which are transferable and the Group has intention to sell within one year, iii) equity securities with readily determinable fair value which the Group has intention and ability to sell within one year, iv) equity securities without readily determinable fair values are measured and recorded using a measurement alternative that measures the securities at cost minus impairment, if any, plus or minus changes resulting from qualifying observable price changes, recorded in the consolidated statements of comprehensive (loss)/income, and v) U.S. treasury securities with original maturities less than 12 months are accounted for at amortised cost, and interest income is recognized using the effective interest method adjusted periodically based on changes in estimated cash flows. Time deposits are generally not permitted to be redeemed early or are subject to penalties for redemption prior to maturities. These investments are stated at fair value. Changes in the fair value are reflected in financial income, net in the consolidated statements of comprehensive (loss)/income.</w:t>
      </w:r>
    </w:p>
    <w:p>
      <w:pPr>
        <w:spacing w:after="0" w:line="173"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8"/>
          <w:szCs w:val="18"/>
          <w:b w:val="1"/>
          <w:bCs w:val="1"/>
          <w:i w:val="1"/>
          <w:iCs w:val="1"/>
          <w:color w:val="auto"/>
        </w:rPr>
        <w:t>(i)</w:t>
      </w:r>
      <w:r>
        <w:rPr>
          <w:sz w:val="20"/>
          <w:szCs w:val="20"/>
          <w:color w:val="auto"/>
        </w:rPr>
        <w:tab/>
      </w:r>
      <w:r>
        <w:rPr>
          <w:rFonts w:ascii="Times New Roman" w:cs="Times New Roman" w:eastAsia="Times New Roman" w:hAnsi="Times New Roman"/>
          <w:sz w:val="17"/>
          <w:szCs w:val="17"/>
          <w:b w:val="1"/>
          <w:bCs w:val="1"/>
          <w:i w:val="1"/>
          <w:iCs w:val="1"/>
          <w:color w:val="auto"/>
        </w:rPr>
        <w:t>Accounts Receivable, net</w:t>
      </w:r>
    </w:p>
    <w:p>
      <w:pPr>
        <w:spacing w:after="0" w:line="22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Accounts receivables are presented net of allowance for doubtful accounts. On January 1, 2023, the Company adopted ASU No. 2016-13, “Financial Instruments—Credit Losses (Topic 326): Measurement of Credit Losses on Financial Instruments” (“ASC Topic 326”), which creates an impairment model that is based on expected losses rather than incurred losses. The Company adopted the accounting standards update using a modified retrospective approach. Upon adoption of the new standard on January 1, 2023, the Company recorded a net decrease to its retained earnings of US$460.</w:t>
      </w:r>
    </w:p>
    <w:p>
      <w:pPr>
        <w:spacing w:after="0" w:line="183"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The Company’s accounts receivable, notes receivable, certain other receivables recorded in prepayments and other current assets, other non-current assets, and deposits and U.S. treasury securities are within the scope of ASC Topic 326. To estimate the allowance for current expected credit losses (“CECL”), the Company has identified the relevant risk characteristics of its customers and the related receivables which include but are not limited to geographic region and industry. Receivables with similar risk characteristics have been grouped into pools. For each pool, the Company considers the past collection history, future forecasts and macroeconomic factors. Other key factors that influence the CECL analysis include industry-specific factors and certain qualitative adjustments that could impact the Company’s receivables. This is assessed at each period end based on the Company’s specific facts and circumstances. There have been no significant impact of changes in the assumptions since adoption.</w:t>
      </w:r>
    </w:p>
    <w:p>
      <w:pPr>
        <w:spacing w:after="0" w:line="192" w:lineRule="exact"/>
        <w:rPr>
          <w:sz w:val="20"/>
          <w:szCs w:val="20"/>
          <w:color w:val="auto"/>
        </w:rPr>
      </w:pPr>
    </w:p>
    <w:p>
      <w:pPr>
        <w:ind w:left="340" w:right="20"/>
        <w:spacing w:after="0" w:line="254" w:lineRule="auto"/>
        <w:rPr>
          <w:sz w:val="20"/>
          <w:szCs w:val="20"/>
          <w:color w:val="auto"/>
        </w:rPr>
      </w:pPr>
      <w:r>
        <w:rPr>
          <w:rFonts w:ascii="Times New Roman" w:cs="Times New Roman" w:eastAsia="Times New Roman" w:hAnsi="Times New Roman"/>
          <w:sz w:val="18"/>
          <w:szCs w:val="18"/>
          <w:color w:val="auto"/>
        </w:rPr>
        <w:t>Notes receivable are primarily bank acceptance notes. The Group accepts bank acceptance notes from customers for products sold or services performed in the ordinary course of business. Bank acceptance notes are negotiable instruments with cash settlement from commercial banks within 6 months. Upon receipt of the bank acceptance notes, the Group’s accounts receivable from the customer is derecognized. The bank acceptance notes can also be endorsed to suppliers as settlement of accounts payable. Bank acceptance notes of nil, US$670, and US$1,991 were endorsed to suppliers for the years ended December 31, 2022, 2023 and 2024, respectively. The Group sells bank acceptance notes to financial institutions without recourse in the normal course of business through factoring arrangements. These bank acceptance notes transferred without recourse were US$4,620, nil and nil for the years ended December 31, 2022, 2023 and 2024 respectively, and were derecognized.</w:t>
      </w:r>
    </w:p>
    <w:p>
      <w:pPr>
        <w:spacing w:after="0" w:line="188" w:lineRule="exact"/>
        <w:rPr>
          <w:sz w:val="20"/>
          <w:szCs w:val="20"/>
          <w:color w:val="auto"/>
        </w:rPr>
      </w:pPr>
    </w:p>
    <w:p>
      <w:pPr>
        <w:ind w:left="680" w:hanging="348"/>
        <w:spacing w:after="0"/>
        <w:tabs>
          <w:tab w:leader="none" w:pos="680" w:val="left"/>
        </w:tabs>
        <w:numPr>
          <w:ilvl w:val="0"/>
          <w:numId w:val="1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ind w:left="340" w:right="80"/>
        <w:spacing w:after="0" w:line="258" w:lineRule="auto"/>
        <w:rPr>
          <w:sz w:val="20"/>
          <w:szCs w:val="20"/>
          <w:color w:val="auto"/>
        </w:rPr>
      </w:pPr>
      <w:r>
        <w:rPr>
          <w:rFonts w:ascii="Times New Roman" w:cs="Times New Roman" w:eastAsia="Times New Roman" w:hAnsi="Times New Roman"/>
          <w:sz w:val="18"/>
          <w:szCs w:val="18"/>
          <w:color w:val="auto"/>
        </w:rPr>
        <w:t>Inventories are comprised of finished goods, work in process, raw materials and low value consumables and spare parts. Inventories are stated at the lower of cost and net realizable value. Cost of inventory is determined using the weighted average cost method. Adjustments are recorded to write down the cost of inventory to the estimated net realizable value due to slow-moving and obsolete inventories, which is dependent upon factors such as historical and forecasted customer demand, and promotional environment. The Group takes ownership, risks and rewards of the products purchased.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720" w:hanging="388"/>
        <w:spacing w:after="0"/>
        <w:tabs>
          <w:tab w:leader="none" w:pos="720" w:val="left"/>
        </w:tabs>
        <w:numPr>
          <w:ilvl w:val="0"/>
          <w:numId w:val="1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The Group applies ASC 842, Leases and determines if an arrangement is a lease at inception. Operating leases are primarily for office and warehouse and are included in operating lease right-of-use assets, net, operating lease liabilities, current and operating lease liabilities, non-current on its consolidated balance sheets. Operating lease right-of-use assets represent the Group’s right to use an underlying asset for the lease term and operating lease liabilities represent obligation to make lease payment arising from the lease. The operating lease right-of-use assets and liabilities are recognized at lease commencement date based on the present value of lease payment over the lease term. As most of the Group’s leases do not provide an implicit rate, the Group uses its incremental borrowing rate based on the information available at lease commencement date in determining the present value of lease payments. The operating lease right-of-use assets also include any lease payments made and exclude lease incentives. The Group’s lease term may include options to extend or terminate the lease. Renewal options are considered within the operating lease right-of-use assets and liabilities when it is reasonably certain that the Group will exercise that option. Lease expense for lease payments is recognized on a straight-line basis over the lease term.</w:t>
      </w:r>
    </w:p>
    <w:p>
      <w:pPr>
        <w:spacing w:after="0" w:line="19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For operating leases with a term of one year or less, the Group has elected not to recognize a lease liability or operating lease right-of-use asset on its consolidated balance sheets. Instead, it recognizes the lease payment as expense on a straight-line basis over the lease term. Short-term lease costs are immaterial to its consolidated statements of comprehensive (loss)/income. The Group has operating lease agreements with insignificant non-lease components and have elected the practical expedient to combine and account for lease and non-lease components as single lease component.</w:t>
      </w:r>
    </w:p>
    <w:p>
      <w:pPr>
        <w:spacing w:after="0" w:line="179" w:lineRule="exact"/>
        <w:rPr>
          <w:sz w:val="20"/>
          <w:szCs w:val="20"/>
          <w:color w:val="auto"/>
        </w:rPr>
      </w:pPr>
    </w:p>
    <w:p>
      <w:pPr>
        <w:ind w:left="680" w:hanging="348"/>
        <w:spacing w:after="0"/>
        <w:tabs>
          <w:tab w:leader="none" w:pos="680" w:val="left"/>
        </w:tabs>
        <w:numPr>
          <w:ilvl w:val="0"/>
          <w:numId w:val="1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9"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Group recognizes its internal-use software development costs related to its AI cloud platform functions, including related website, software and mobile applications in accordance with ASC 350-50 ”Website development costs” and ASC 350-40 ”Internal-use software”. Costs related to preliminary project activities and post-implementation operating activities are expensed as incurred. Cost capitalized for developing AI cloud platform functions were not material for the periods presented.</w:t>
      </w:r>
    </w:p>
    <w:p>
      <w:pPr>
        <w:spacing w:after="0" w:line="176" w:lineRule="exact"/>
        <w:rPr>
          <w:sz w:val="20"/>
          <w:szCs w:val="20"/>
          <w:color w:val="auto"/>
        </w:rPr>
      </w:pPr>
    </w:p>
    <w:p>
      <w:pPr>
        <w:ind w:left="780" w:hanging="448"/>
        <w:spacing w:after="0"/>
        <w:tabs>
          <w:tab w:leader="none" w:pos="780" w:val="left"/>
        </w:tabs>
        <w:numPr>
          <w:ilvl w:val="0"/>
          <w:numId w:val="1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Equipment and Software</w:t>
      </w:r>
    </w:p>
    <w:p>
      <w:pPr>
        <w:spacing w:after="0" w:line="229"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Property, equipment and software are stated at historical cost less accumulated depreciation, amortization and impairment loss, if any. Depreciation and amortization is computed using the straight-line method over the following estimated useful lives, taking into account any estimated residual value:</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w w:val="99"/>
              </w:rPr>
              <w:t>the shorter of their useful lives and the lease terms</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50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0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0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jc w:val="both"/>
        <w:ind w:left="340" w:right="60"/>
        <w:spacing w:after="0" w:line="266" w:lineRule="auto"/>
        <w:rPr>
          <w:sz w:val="20"/>
          <w:szCs w:val="20"/>
          <w:color w:val="auto"/>
        </w:rPr>
      </w:pPr>
      <w:r>
        <w:rPr>
          <w:rFonts w:ascii="Times New Roman" w:cs="Times New Roman" w:eastAsia="Times New Roman" w:hAnsi="Times New Roman"/>
          <w:sz w:val="18"/>
          <w:szCs w:val="18"/>
          <w:color w:val="auto"/>
        </w:rPr>
        <w:t>Repairs and maintenance costs are charged to expenses as incurred, whereas the costs of renewals and improvements that extend the useful lives of property, equipment and software are capitalized as additions to the related assets. The Group recognized the gain or loss on the disposal of property, equipment and software in the consolidated statements of comprehensive (loss)/income.</w:t>
      </w:r>
    </w:p>
    <w:p>
      <w:pPr>
        <w:spacing w:after="0" w:line="176"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Construction in progress represents assets under construction. Construction in progress is transferred to property, equipment and software and depreciation or amortization commences when an asset is ready for its intended use.</w:t>
      </w:r>
    </w:p>
    <w:p>
      <w:pPr>
        <w:spacing w:after="0" w:line="158"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Land use rights, net</w:t>
      </w:r>
    </w:p>
    <w:p>
      <w:pPr>
        <w:spacing w:after="0" w:line="229"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Land use right represents acquisition costs to purchase land use right from the PRC government, which is evidenced by property certificate. The period of the purchased land use right is 50 years . The Company classifies land use right as long-term assets on the balance sheet and cash outflows related to acquisition of land use right as investing activities.</w:t>
      </w:r>
    </w:p>
    <w:p>
      <w:pPr>
        <w:spacing w:after="0" w:line="176"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Land use right is carried at cost less accumulated amortization and impairment losses, if any. Amortization is computed using the straight-line method over the term specified in the land use right certificate for 50 years.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720" w:hanging="388"/>
        <w:spacing w:after="0"/>
        <w:tabs>
          <w:tab w:leader="none" w:pos="720" w:val="left"/>
        </w:tabs>
        <w:numPr>
          <w:ilvl w:val="0"/>
          <w:numId w:val="1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Long-term Investments</w:t>
      </w:r>
    </w:p>
    <w:p>
      <w:pPr>
        <w:spacing w:after="0" w:line="229" w:lineRule="exact"/>
        <w:rPr>
          <w:sz w:val="20"/>
          <w:szCs w:val="20"/>
          <w:color w:val="auto"/>
        </w:rPr>
      </w:pPr>
    </w:p>
    <w:p>
      <w:pPr>
        <w:ind w:left="340" w:right="40"/>
        <w:spacing w:after="0" w:line="269" w:lineRule="auto"/>
        <w:rPr>
          <w:sz w:val="20"/>
          <w:szCs w:val="20"/>
          <w:color w:val="auto"/>
        </w:rPr>
      </w:pPr>
      <w:r>
        <w:rPr>
          <w:rFonts w:ascii="Times New Roman" w:cs="Times New Roman" w:eastAsia="Times New Roman" w:hAnsi="Times New Roman"/>
          <w:sz w:val="17"/>
          <w:szCs w:val="17"/>
          <w:color w:val="auto"/>
        </w:rPr>
        <w:t>Long-term investments represent the Group’s equity security investments, debt security investments and time deposits in the periods presented: i) equity securities without readily determinable fair values are measured and recorded using a measurement alternative that measures the securities at cost minus impairment, if any, plus or minus changes resulting from qualifying observable price changes, recorded in the consolidated statements of comprehensive (loss)/income; ii) equity securities with readily determinable fair values are measured and recorded at fair value on a recurring basis with changes in fair value, whether realized or unrealized, recorded in financial income, net in the consolidated statements of comprehensive (loss)/income; iii) debt security investments that have readily determinable fair value, are accounted for as available-for-sale security investments and are recognized based on trade date and carried at estimated fair value with the aggregate unrealized gains and losses related to these investments, net of taxes, reported through other comprehensive income in the consolidated statements of comprehensive (loss)/income; iv) time deposits placed with bank with original maturities longer than one year which are not transferable and accounted for at amortised cost; and v) U.S. treasury securities with original maturities of two to three years are accounted for at amortised cost, and interest income is recognized using the effective interest method adjusted periodically based on changes in estimated cash flows.</w:t>
      </w:r>
    </w:p>
    <w:p>
      <w:pPr>
        <w:spacing w:after="0" w:line="17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An investment in available-for-sale debt security is considered impaired if the fair value of the security is less than its amortized cost basis. To determine the amount of impairment related to credit, the Group compares the present value of the cash flows expected to be collected on the available-for-sale debt security with the security’s amortized cost basis. If the present value of cash flows expected to be collected is less than the security’s amortized cost basis, a credit-related impairment exists, and the difference should be recorded as an allowance for credit losses through net income.</w:t>
      </w:r>
    </w:p>
    <w:p>
      <w:pPr>
        <w:spacing w:after="0" w:line="179" w:lineRule="exact"/>
        <w:rPr>
          <w:sz w:val="20"/>
          <w:szCs w:val="20"/>
          <w:color w:val="auto"/>
        </w:rPr>
      </w:pPr>
    </w:p>
    <w:p>
      <w:pPr>
        <w:ind w:left="720" w:hanging="388"/>
        <w:spacing w:after="0"/>
        <w:tabs>
          <w:tab w:leader="none" w:pos="720" w:val="left"/>
        </w:tabs>
        <w:numPr>
          <w:ilvl w:val="0"/>
          <w:numId w:val="1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For other long-lived assets including property, equipment and software and other non-current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 No impairment charges were recognized for the years ended December 31, 2022, 2023 and 2024.</w:t>
      </w:r>
    </w:p>
    <w:p>
      <w:pPr>
        <w:spacing w:after="0" w:line="185" w:lineRule="exact"/>
        <w:rPr>
          <w:sz w:val="20"/>
          <w:szCs w:val="20"/>
          <w:color w:val="auto"/>
        </w:rPr>
      </w:pPr>
    </w:p>
    <w:p>
      <w:pPr>
        <w:ind w:left="720" w:hanging="388"/>
        <w:spacing w:after="0"/>
        <w:tabs>
          <w:tab w:leader="none" w:pos="720" w:val="left"/>
        </w:tabs>
        <w:numPr>
          <w:ilvl w:val="0"/>
          <w:numId w:val="1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Value Added Taxes</w:t>
      </w:r>
    </w:p>
    <w:p>
      <w:pPr>
        <w:spacing w:after="0" w:line="229"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The Group’s subsidiaries and the VIE in the PRC are subject to value-added taxes (“VAT”) on its products and services, less any deductible VAT the Group has already paid or borne. They are also subject to surcharges on VAT payments in accordance with PRC law. VAT is not included in the revenue recognized for the Group.</w:t>
      </w:r>
    </w:p>
    <w:p>
      <w:pPr>
        <w:spacing w:after="0" w:line="176"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The Company’s two subsidiaries, Hangzhou Tuya Information Technology Co., Ltd. and Zhejiang Tuya Smart Electronics Co., Ltd. obtained their software copy certificate in July and December 2020, respectively, and are eligible for the VAT refund-upon-collection policy, which entitles Hangzhou Tuya Information Technology Co., Ltd. and Zhejiang Tuya Smart Electronics Co., Ltd. to receive relevant refunds for the amount of VAT in excess of 3% of its actual tax burden upon completion of relevant the VAT refund filling process. The VAT refund received is recorded in other operating incomes, net in the consolidated statements of comprehensive (loss)/income. For the years ended December 31, 2022, 2023 and 2024, VAT refunds received by the Company was US$6,211, US$7,037 and US$8,939,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700" w:hanging="368"/>
        <w:spacing w:after="0"/>
        <w:tabs>
          <w:tab w:leader="none" w:pos="700"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340" w:right="40"/>
        <w:spacing w:after="0" w:line="253" w:lineRule="auto"/>
        <w:rPr>
          <w:sz w:val="20"/>
          <w:szCs w:val="20"/>
          <w:color w:val="auto"/>
        </w:rPr>
      </w:pPr>
      <w:r>
        <w:rPr>
          <w:rFonts w:ascii="Times New Roman" w:cs="Times New Roman" w:eastAsia="Times New Roman" w:hAnsi="Times New Roman"/>
          <w:sz w:val="18"/>
          <w:szCs w:val="18"/>
          <w:color w:val="auto"/>
        </w:rPr>
        <w:t>The Group accounts for revenue in accordance with Accounting Standards Codification (ASC) Topic 606, Revenue from Contracts with Customers (ASC 606)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Group assesses its revenue arrangements against specific criteria in order to determine if it is acting as principal or agent. Revenue arrangements with multiple performance obligations are divided into separate distinct goods or services. The Group allocates the transaction price to each performance obligation based on the relative standalone selling price of the goods or services provided.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recorded net of value-added tax.</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Group’s revenue was disaggregated by its major revenue streams in the years presented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620" w:type="dxa"/>
            <w:vAlign w:val="bottom"/>
            <w:tcBorders>
              <w:bottom w:val="single" w:sz="8" w:color="auto"/>
            </w:tcBorders>
            <w:gridSpan w:val="5"/>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102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780" w:type="dxa"/>
            <w:vAlign w:val="bottom"/>
          </w:tcPr>
          <w:p>
            <w:pPr>
              <w:spacing w:after="0"/>
              <w:rPr>
                <w:sz w:val="12"/>
                <w:szCs w:val="12"/>
                <w:color w:val="auto"/>
              </w:rPr>
            </w:pPr>
          </w:p>
        </w:tc>
        <w:tc>
          <w:tcPr>
            <w:tcW w:w="102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IoT PaaS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Smart solution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SaaS and others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39,583</w:t>
            </w:r>
          </w:p>
        </w:tc>
      </w:tr>
      <w:tr>
        <w:trPr>
          <w:trHeight w:val="20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208,172</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229,990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298,617</w:t>
            </w:r>
          </w:p>
        </w:tc>
      </w:tr>
      <w:tr>
        <w:trPr>
          <w:trHeight w:val="20"/>
        </w:trPr>
        <w:tc>
          <w:tcPr>
            <w:tcW w:w="5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 Revenue from IoT PaaS</w:t>
      </w:r>
    </w:p>
    <w:p>
      <w:pPr>
        <w:spacing w:after="0" w:line="227" w:lineRule="exact"/>
        <w:rPr>
          <w:sz w:val="20"/>
          <w:szCs w:val="20"/>
          <w:color w:val="auto"/>
        </w:rPr>
      </w:pPr>
    </w:p>
    <w:p>
      <w:pPr>
        <w:ind w:left="340"/>
        <w:spacing w:after="0" w:line="252" w:lineRule="auto"/>
        <w:rPr>
          <w:sz w:val="20"/>
          <w:szCs w:val="20"/>
          <w:color w:val="auto"/>
        </w:rPr>
      </w:pPr>
      <w:r>
        <w:rPr>
          <w:rFonts w:ascii="Times New Roman" w:cs="Times New Roman" w:eastAsia="Times New Roman" w:hAnsi="Times New Roman"/>
          <w:sz w:val="18"/>
          <w:szCs w:val="18"/>
          <w:color w:val="auto"/>
        </w:rPr>
        <w:t>IoT PaaS combines cloud-based connectivity and basic IoT services, edge capabilities (embedded in modules), app development, and device optimization solutions. The Company determined there are two distinct performance obligations in the delivery of IoT PaaS products including: (1) IoT PaaS products with edge capabilities, app development and device optimization solutions, and; (2) cloud-based connectivity and basic IoT services provided to customers and end consumers. The Group allocates the transaction price to each performance obligation based on their relative standalone selling price. The standalone selling price for IoT PaaS products is estimated based on the competitor’s pricing for similar products in the market, adjusted for entity-specific factors. As the standalone selling price of the cloud-based connectivity and basic IoT services is not directly observable, it is estimated by the Group by using an expected cost plus a margin approach. Key areas of judgment include the selection of relevant cloud and other costs necessary to satisfy the performance obligation and estimated profit margins. For the delivery of IoT PaaS product, revenue is recognized when IoT PaaS products are accepted by customers, which is the point that control of the product is transferred to the customers. A receivable is recognized when the IoT PaaS products are delivered and accepted by customers as this is the point in time that the consideration is unconditional. For cloud-based connectivity and basic IoT services, revenue is deferred and subsequently recognized from the end consumer’s activation to the end of the estimated IoT PaaS product’s life cycle on a straight-line basis. Based on the Group’s historical information, activation occurs, on average, an estimated 6 months after the IoT PaaS products are delivered to customers. The length of life cycle of the IoT PaaS products is estimated based on the historical data in previous years and by referencing the life cycle of different smart devices (e.g. lighting, security and monitoring devices) which ranged from 1.5 to 2 years.</w:t>
      </w:r>
    </w:p>
    <w:p>
      <w:pPr>
        <w:spacing w:after="0" w:line="193"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Return allowances for IoT PaaS products are estimated based on historical experiences and accounted for as reduction of net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provides sales rebates to its customers from time to time, which is accounted for as reduction of net revenue.</w:t>
      </w:r>
    </w:p>
    <w:p>
      <w:pPr>
        <w:spacing w:after="0" w:line="225" w:lineRule="exact"/>
        <w:rPr>
          <w:sz w:val="20"/>
          <w:szCs w:val="20"/>
          <w:color w:val="auto"/>
        </w:rPr>
      </w:pPr>
    </w:p>
    <w:p>
      <w:pPr>
        <w:ind w:left="340" w:right="180"/>
        <w:spacing w:after="0" w:line="258" w:lineRule="auto"/>
        <w:rPr>
          <w:sz w:val="20"/>
          <w:szCs w:val="20"/>
          <w:color w:val="auto"/>
        </w:rPr>
      </w:pPr>
      <w:r>
        <w:rPr>
          <w:rFonts w:ascii="Times New Roman" w:cs="Times New Roman" w:eastAsia="Times New Roman" w:hAnsi="Times New Roman"/>
          <w:sz w:val="18"/>
          <w:szCs w:val="18"/>
          <w:color w:val="auto"/>
        </w:rPr>
        <w:t>The Group launched a membership program in the fourth quarter of 2020 (the “2020 Membership Program”). In the 2020 Membership Program, customers pay a non-refundable fixed fee in exchange for member-exclusive IoT PaaS discounts within the membership period of typically 12 months. The Group records the upfront fixed membership fee as a deferred revenue and recognizes revenue on a straight-line basis typically over the 12-month membership period in which customers entitle to the membership.</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00"/>
        <w:spacing w:after="0" w:line="254" w:lineRule="auto"/>
        <w:rPr>
          <w:sz w:val="20"/>
          <w:szCs w:val="20"/>
          <w:color w:val="auto"/>
        </w:rPr>
      </w:pPr>
      <w:r>
        <w:rPr>
          <w:rFonts w:ascii="Times New Roman" w:cs="Times New Roman" w:eastAsia="Times New Roman" w:hAnsi="Times New Roman"/>
          <w:sz w:val="18"/>
          <w:szCs w:val="18"/>
          <w:color w:val="auto"/>
        </w:rPr>
        <w:t>The Group launched a new membership program in the first quarter of 2023 (“2023 Membership Program”). In the 2023 Membership Program, the customers are offered to choose either i) pay an upfront fixed fee in exchange for price discount in future purchases (the “Deposit scheme”), or ii) enjoy sales rebates based upon purchase achieved without paying any upfront fees (the “Rebate scheme”) with the membership period of typically 12 months. Under the Deposit scheme, the upfront fee are refundable only if the volume requirements are met when the membership period ends. Considering past experience and current forecast, the Group does not expect being able to keep any of the membership fees and such fees are recorded as a refund liability. Under the Rebate scheme sales rebates are estimated based on the past experience and current forecasts and recognized as the customers make progress towards the purchase threshold. The sales rebates are accounted for as reduction of net sales.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 Revenue from smart solution</w:t>
      </w:r>
    </w:p>
    <w:p>
      <w:pPr>
        <w:spacing w:after="0" w:line="227" w:lineRule="exact"/>
        <w:rPr>
          <w:sz w:val="20"/>
          <w:szCs w:val="20"/>
          <w:color w:val="auto"/>
        </w:rPr>
      </w:pPr>
    </w:p>
    <w:p>
      <w:pPr>
        <w:ind w:left="340" w:right="120"/>
        <w:spacing w:after="0" w:line="256" w:lineRule="auto"/>
        <w:rPr>
          <w:sz w:val="20"/>
          <w:szCs w:val="20"/>
          <w:color w:val="auto"/>
        </w:rPr>
      </w:pPr>
      <w:r>
        <w:rPr>
          <w:rFonts w:ascii="Times New Roman" w:cs="Times New Roman" w:eastAsia="Times New Roman" w:hAnsi="Times New Roman"/>
          <w:sz w:val="18"/>
          <w:szCs w:val="18"/>
          <w:color w:val="auto"/>
        </w:rPr>
        <w:t>In certain circumstances, the Group offers select brands, primarily customers who prefer not to deal with multiple OEMs, an option to purchase directly from the Group finished smart devices where IoT PaaS is deployed. After the brands place purchase orders directly with the Group, the Group then sources the appropriate smart devices from OEMs based on the type of devices, hardware specifications and other metrics. The Group determines that there are two distinct performance obligations for its smart solution including the (1) smart devices embedded with IoT PaaS; and (2) cloud-based connectivity and basic IoT services. The transaction price allocation and revenue recognition are the same as the revenue from IoT PaaS.</w:t>
      </w:r>
    </w:p>
    <w:p>
      <w:pPr>
        <w:spacing w:after="0" w:line="187" w:lineRule="exact"/>
        <w:rPr>
          <w:sz w:val="20"/>
          <w:szCs w:val="20"/>
          <w:color w:val="auto"/>
        </w:rPr>
      </w:pPr>
    </w:p>
    <w:p>
      <w:pPr>
        <w:ind w:left="340" w:right="40"/>
        <w:spacing w:after="0" w:line="289" w:lineRule="auto"/>
        <w:rPr>
          <w:sz w:val="20"/>
          <w:szCs w:val="20"/>
          <w:color w:val="auto"/>
        </w:rPr>
      </w:pPr>
      <w:r>
        <w:rPr>
          <w:rFonts w:ascii="Times New Roman" w:cs="Times New Roman" w:eastAsia="Times New Roman" w:hAnsi="Times New Roman"/>
          <w:sz w:val="17"/>
          <w:szCs w:val="17"/>
          <w:color w:val="auto"/>
        </w:rPr>
        <w:t>The Group presents the revenue generated from its smart solution on a gross basis as the Group has control of the smart devices before they are transferred to the brand customers. In making this determination, the Group concludes it meets the principles of control and that it is the primary obligor to the brand customers, are subject to inventory risk and have latitude in establishing prices.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III. Revenue from SaaS and others</w:t>
      </w:r>
    </w:p>
    <w:p>
      <w:pPr>
        <w:spacing w:after="0" w:line="227"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SaaS and other revenue mainly include industry SaaS, customized software development and configuration, and other value added services (“VAS”) to both business customers and the end customers.</w:t>
      </w:r>
    </w:p>
    <w:p>
      <w:pPr>
        <w:spacing w:after="0" w:line="162"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8"/>
          <w:szCs w:val="18"/>
          <w:color w:val="auto"/>
        </w:rPr>
        <w:t>Industry SaaS is a vertical-focused software solution that enables businesses to easily and securely deploy, connect, and manage large numbers of smart devices for which the Group generally charges an annual subscription fee. These services include software authorization and standard SaaS platform maintenances and technical support.</w:t>
      </w:r>
    </w:p>
    <w:p>
      <w:pPr>
        <w:spacing w:after="0" w:line="176"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Customized software development and configuration mainly relate to contracts for the specific IT needs of the brands. The contracts generally include fixed milestone payments determined based on expected labor hours to complete the milestone.</w:t>
      </w:r>
    </w:p>
    <w:p>
      <w:pPr>
        <w:spacing w:after="0" w:line="162"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VAS primarily includes complementary services that are provided to brands and OEMs such as app launch, data analytics and others. Such arrangements with the customers are short term and the performance obligations are satisfied at one point of time. VAS also include cloud-based services for the end customers such as cloud storage, push messaging, object detection and digital content.</w:t>
      </w:r>
    </w:p>
    <w:p>
      <w:pPr>
        <w:spacing w:after="0" w:line="176"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There are different kinds of contracts included in the SaaS and others, and each contract may contain multiple elements. The Group identifies the distinct performance obligations and allocates transaction price to each distinct performance obligation based on relative estimated standalone selling price. Revenue is recognized when the performance obligations are satisfied, which is either over the period of time in which the Group performs these services or at one point of time.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ind w:left="340" w:right="560"/>
        <w:spacing w:after="0" w:line="282" w:lineRule="auto"/>
        <w:rPr>
          <w:sz w:val="20"/>
          <w:szCs w:val="20"/>
          <w:color w:val="auto"/>
        </w:rPr>
      </w:pPr>
      <w:r>
        <w:rPr>
          <w:rFonts w:ascii="Times New Roman" w:cs="Times New Roman" w:eastAsia="Times New Roman" w:hAnsi="Times New Roman"/>
          <w:sz w:val="18"/>
          <w:szCs w:val="18"/>
          <w:color w:val="auto"/>
        </w:rPr>
        <w:t>The remaining performance obligations primarily relate to the Group’s provision of i) cloud-based connectivity and basic IoT services; ii) membership services; and iii) SaaS and others, and all three of them are included in deferred revenue.</w:t>
      </w:r>
    </w:p>
    <w:p>
      <w:pPr>
        <w:spacing w:after="0" w:line="162" w:lineRule="exact"/>
        <w:rPr>
          <w:sz w:val="20"/>
          <w:szCs w:val="20"/>
          <w:color w:val="auto"/>
        </w:rPr>
      </w:pPr>
    </w:p>
    <w:p>
      <w:pPr>
        <w:ind w:left="340" w:right="140"/>
        <w:spacing w:after="0" w:line="281" w:lineRule="auto"/>
        <w:rPr>
          <w:sz w:val="20"/>
          <w:szCs w:val="20"/>
          <w:color w:val="auto"/>
        </w:rPr>
      </w:pPr>
      <w:r>
        <w:rPr>
          <w:rFonts w:ascii="Times New Roman" w:cs="Times New Roman" w:eastAsia="Times New Roman" w:hAnsi="Times New Roman"/>
          <w:sz w:val="17"/>
          <w:szCs w:val="17"/>
          <w:color w:val="auto"/>
        </w:rPr>
        <w:t>The amounts allocated to the cloud-based connectivity and basic IoT services are deferred and recognized on a straight-line basis over the estimated IoT PaaS product’s life cycle. The Group apportions deferred revenue between current and non-current based upon cloud-based connectivity and basic IoT services to be provided over the life cycle of smart devices. Deferred revenue relating to the Group’s cloud services that have an expiration date of less than 12 months are classified as current, otherwise non-current.</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Starting from the fourth quarter of 2020, there are i) upfront fixed membership fee received and recorded as part of the deferred revenue, it is recognized as revenue on a straight-line basis typically over the 12-month membership period in which customers are entitled to the membership; and ii) amounts related to providing industry SaaS (included in SaaS and others), in general, the Company charges annual subscription fee, which is deferred and recognized on a straight-line basis typically over the 12-month service period.</w:t>
      </w:r>
    </w:p>
    <w:p>
      <w:pPr>
        <w:spacing w:after="0" w:line="183" w:lineRule="exact"/>
        <w:rPr>
          <w:sz w:val="20"/>
          <w:szCs w:val="20"/>
          <w:color w:val="auto"/>
        </w:rPr>
      </w:pPr>
    </w:p>
    <w:p>
      <w:pPr>
        <w:ind w:left="340" w:right="220"/>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 aggregate amount of transaction price allocated to the remaining performance obligations was US$7,308 and US$7,902, respectively, of which US$6,802 and US$7,525 were recorded in current deferred revenue while US$506 and US$377 were recorded in non-current deferred revenue, respectively.</w:t>
      </w:r>
    </w:p>
    <w:p>
      <w:pPr>
        <w:spacing w:after="0" w:line="176"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The Group’s contract liability, including both deferred revenue and advances from customers, is US$39,084 and as US$39,248 of December 31, 2023 and 2024, respectively.</w:t>
      </w:r>
    </w:p>
    <w:p>
      <w:pPr>
        <w:spacing w:after="0" w:line="162" w:lineRule="exact"/>
        <w:rPr>
          <w:sz w:val="20"/>
          <w:szCs w:val="20"/>
          <w:color w:val="auto"/>
        </w:rPr>
      </w:pPr>
    </w:p>
    <w:p>
      <w:pPr>
        <w:ind w:left="340" w:right="520"/>
        <w:spacing w:after="0" w:line="261" w:lineRule="auto"/>
        <w:rPr>
          <w:sz w:val="20"/>
          <w:szCs w:val="20"/>
          <w:color w:val="auto"/>
        </w:rPr>
      </w:pPr>
      <w:r>
        <w:rPr>
          <w:rFonts w:ascii="Times New Roman" w:cs="Times New Roman" w:eastAsia="Times New Roman" w:hAnsi="Times New Roman"/>
          <w:sz w:val="18"/>
          <w:szCs w:val="18"/>
          <w:color w:val="auto"/>
        </w:rPr>
        <w:t>The Group applies the practical expedient to omit disclosure of information about the transaction price allocated to remaining performance obligations and when revenue will be recognized, for contracts which have a duration of one year or less. The remaining amounts recorded in non-current deferred revenue of US$506 and US$377 as of December 31, 2023 and 2024, respectively, would likely be recognized within 18 to 36 months.</w:t>
      </w:r>
    </w:p>
    <w:p>
      <w:pPr>
        <w:spacing w:after="0" w:line="180"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The Group provides warranty for IoT PaaS and smart solution generally for one year. The Group accrues a warranty reserve for all IoT PaaS and smart solution, which reflects the Group’s best estimate of the projected costs to repair or replace items under warranty period. These estimates are based on actual claims incurred to date and an estimate of the nature, frequency and costs of future claims. These estimates are inherently uncertain given the Group’s history of sales, and changes to the historical or projected warranty experience may cause material changes to the warranty reserve when the Group accumulates more actual data and experience in the future. The warranty reserve expected to be incurred is included within accruals and other liabilities in the consolidated balance sheets.</w:t>
      </w:r>
    </w:p>
    <w:p>
      <w:pPr>
        <w:spacing w:after="0" w:line="185" w:lineRule="exact"/>
        <w:rPr>
          <w:sz w:val="20"/>
          <w:szCs w:val="20"/>
          <w:color w:val="auto"/>
        </w:rPr>
      </w:pPr>
    </w:p>
    <w:p>
      <w:pPr>
        <w:ind w:left="340"/>
        <w:spacing w:after="0"/>
        <w:tabs>
          <w:tab w:leader="none" w:pos="680" w:val="left"/>
        </w:tabs>
        <w:rPr>
          <w:sz w:val="20"/>
          <w:szCs w:val="20"/>
          <w:color w:val="auto"/>
        </w:rPr>
      </w:pPr>
      <w:r>
        <w:rPr>
          <w:rFonts w:ascii="Times New Roman" w:cs="Times New Roman" w:eastAsia="Times New Roman" w:hAnsi="Times New Roman"/>
          <w:sz w:val="18"/>
          <w:szCs w:val="18"/>
          <w:b w:val="1"/>
          <w:bCs w:val="1"/>
          <w:i w:val="1"/>
          <w:iCs w:val="1"/>
          <w:color w:val="auto"/>
        </w:rPr>
        <w:t>(s)</w:t>
      </w:r>
      <w:r>
        <w:rPr>
          <w:sz w:val="20"/>
          <w:szCs w:val="20"/>
          <w:color w:val="auto"/>
        </w:rPr>
        <w:tab/>
      </w:r>
      <w:r>
        <w:rPr>
          <w:rFonts w:ascii="Times New Roman" w:cs="Times New Roman" w:eastAsia="Times New Roman" w:hAnsi="Times New Roman"/>
          <w:sz w:val="17"/>
          <w:szCs w:val="17"/>
          <w:b w:val="1"/>
          <w:bCs w:val="1"/>
          <w:i w:val="1"/>
          <w:iCs w:val="1"/>
          <w:color w:val="auto"/>
        </w:rPr>
        <w:t>Advances from Customers</w:t>
      </w:r>
    </w:p>
    <w:p>
      <w:pPr>
        <w:spacing w:after="0" w:line="229"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Amounts recorded in the advances from customers account represent cash payments made upfront by the Group’s customers under each sales contract. These amounts are not yet reclassified to the deferred revenue account because the Group has not started to fulfil any of its performance obligations identified under the contract at the time. The amounts in the advances from customers are reclassified to either revenue or deferred revenue when the Group commences fulfilment of its performance obligation, depending on whether respective revenue is to be recognized at one point of time or over the period of time. If the Group fulfils its performance obligation at one point of time, the related amount in the advances from customers will be reclassified and recognized as revenue; whereas for the performance obligation that the Group starts to provide over the period of time, the amount in the advances from customers will be reclassified to deferred revenue.</w:t>
      </w:r>
    </w:p>
    <w:p>
      <w:pPr>
        <w:spacing w:after="0" w:line="188" w:lineRule="exact"/>
        <w:rPr>
          <w:sz w:val="20"/>
          <w:szCs w:val="20"/>
          <w:color w:val="auto"/>
        </w:rPr>
      </w:pPr>
    </w:p>
    <w:p>
      <w:pPr>
        <w:ind w:left="680" w:hanging="348"/>
        <w:spacing w:after="0"/>
        <w:tabs>
          <w:tab w:leader="none" w:pos="680" w:val="left"/>
        </w:tabs>
        <w:numPr>
          <w:ilvl w:val="0"/>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340" w:right="140"/>
        <w:spacing w:after="0" w:line="281" w:lineRule="auto"/>
        <w:rPr>
          <w:sz w:val="20"/>
          <w:szCs w:val="20"/>
          <w:color w:val="auto"/>
        </w:rPr>
      </w:pPr>
      <w:r>
        <w:rPr>
          <w:rFonts w:ascii="Times New Roman" w:cs="Times New Roman" w:eastAsia="Times New Roman" w:hAnsi="Times New Roman"/>
          <w:sz w:val="17"/>
          <w:szCs w:val="17"/>
          <w:color w:val="auto"/>
        </w:rPr>
        <w:t>Cost of revenue consists primarily of purchase price of materials, manufacturing charges from outsourced factories, estimated warranty costs, inventories write-downs, payroll cost of production support personnel and third-party cloud infrastructure expenses that are directly attributable to the sales of products or services rendered. Inbound shipping charges to receive raw materials from suppliers are included in the inventories and recognized as cost of revenues upon sale of products and render of services.</w:t>
      </w:r>
    </w:p>
    <w:p>
      <w:pPr>
        <w:spacing w:after="0" w:line="160" w:lineRule="exact"/>
        <w:rPr>
          <w:sz w:val="20"/>
          <w:szCs w:val="20"/>
          <w:color w:val="auto"/>
        </w:rPr>
      </w:pPr>
    </w:p>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i w:val="1"/>
          <w:iCs w:val="1"/>
          <w:color w:val="auto"/>
        </w:rPr>
        <w:t>(u)</w:t>
      </w:r>
      <w:r>
        <w:rPr>
          <w:sz w:val="20"/>
          <w:szCs w:val="20"/>
          <w:color w:val="auto"/>
        </w:rPr>
        <w:tab/>
      </w:r>
      <w:r>
        <w:rPr>
          <w:rFonts w:ascii="Times New Roman" w:cs="Times New Roman" w:eastAsia="Times New Roman" w:hAnsi="Times New Roman"/>
          <w:sz w:val="17"/>
          <w:szCs w:val="17"/>
          <w:b w:val="1"/>
          <w:bCs w:val="1"/>
          <w:i w:val="1"/>
          <w:iCs w:val="1"/>
          <w:color w:val="auto"/>
        </w:rPr>
        <w:t>Research and Development Expenses</w:t>
      </w:r>
    </w:p>
    <w:p>
      <w:pPr>
        <w:spacing w:after="0" w:line="22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cost including share-based compensation expenses for research and development personnel, third-party cloud infrastructure expenses incurred for research and development purposes, rental expenses and depreciation and other expenses in associated with research and development functions. The Group accounts for internal use software development costs in accordance with guidance on intangible assets and internal use software. See Note 2(l)— Internal-Use Software Development Costs.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(v)</w:t>
      </w:r>
      <w:r>
        <w:rPr>
          <w:sz w:val="20"/>
          <w:szCs w:val="20"/>
          <w:color w:val="auto"/>
        </w:rPr>
        <w:tab/>
      </w:r>
      <w:r>
        <w:rPr>
          <w:rFonts w:ascii="Times New Roman" w:cs="Times New Roman" w:eastAsia="Times New Roman" w:hAnsi="Times New Roman"/>
          <w:sz w:val="17"/>
          <w:szCs w:val="17"/>
          <w:b w:val="1"/>
          <w:bCs w:val="1"/>
          <w:i w:val="1"/>
          <w:iCs w:val="1"/>
          <w:color w:val="auto"/>
        </w:rPr>
        <w:t>Sales and Marketing Expenses</w:t>
      </w:r>
    </w:p>
    <w:p>
      <w:pPr>
        <w:spacing w:after="0" w:line="229"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payroll cost including share-based compensation expenses for sales and marketing personnel, promotion and marketing expenses, rental expenses and depreciation and other expenses in associated with sales and marketing functions. Advertising expenses consist primarily of costs for the promotion of the Group’s corporate image and product marketing. The Group expenses all advertising costs as incurred and classifies these costs under sales and marketing expenses. For the years ended December 31, 2022, 2023 and 2024, advertising and marketing costs totalled US$5,355, US$4,867 and US$4,679, respectively.</w:t>
      </w:r>
    </w:p>
    <w:p>
      <w:pPr>
        <w:spacing w:after="0" w:line="183" w:lineRule="exact"/>
        <w:rPr>
          <w:sz w:val="20"/>
          <w:szCs w:val="20"/>
          <w:color w:val="auto"/>
        </w:rPr>
      </w:pPr>
    </w:p>
    <w:p>
      <w:pPr>
        <w:ind w:left="760" w:hanging="428"/>
        <w:spacing w:after="0"/>
        <w:tabs>
          <w:tab w:leader="none" w:pos="760" w:val="left"/>
        </w:tabs>
        <w:numPr>
          <w:ilvl w:val="0"/>
          <w:numId w:val="1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cost including share-based compensation expenses for corporate personnel, general office expenses, rental expenses and depreciation and other expenses in associated with general and administrative functions.</w:t>
      </w:r>
    </w:p>
    <w:p>
      <w:pPr>
        <w:spacing w:after="0" w:line="172" w:lineRule="exact"/>
        <w:rPr>
          <w:sz w:val="20"/>
          <w:szCs w:val="20"/>
          <w:color w:val="auto"/>
        </w:rPr>
      </w:pPr>
    </w:p>
    <w:p>
      <w:pPr>
        <w:ind w:left="720" w:hanging="388"/>
        <w:spacing w:after="0"/>
        <w:tabs>
          <w:tab w:leader="none" w:pos="720" w:val="left"/>
        </w:tabs>
        <w:numPr>
          <w:ilvl w:val="0"/>
          <w:numId w:val="1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Government Grants</w:t>
      </w:r>
    </w:p>
    <w:p>
      <w:pPr>
        <w:spacing w:after="0" w:line="229"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Government grants are recognized as other operating incomes, net, or as a reduction of specific costs and expenses for which the grants are intended to compensate. Such amounts are recognized in the consolidated statements of comprehensive (loss)/income upon receipts as all conditions attached to the grants are fulfilled. Government grants included as other operating incomes, net in the consolidated statements of comprehensive (loss)/income amounted to US$10,350, US$10,975 and US$11,527 for the years ended December 31, 2022, 2023 and 2024, respectively.</w:t>
      </w:r>
    </w:p>
    <w:p>
      <w:pPr>
        <w:spacing w:after="0" w:line="179"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i w:val="1"/>
          <w:iCs w:val="1"/>
          <w:color w:val="auto"/>
        </w:rPr>
        <w:t>(y)</w:t>
      </w:r>
      <w:r>
        <w:rPr>
          <w:sz w:val="20"/>
          <w:szCs w:val="20"/>
          <w:color w:val="auto"/>
        </w:rPr>
        <w:tab/>
      </w:r>
      <w:r>
        <w:rPr>
          <w:rFonts w:ascii="Times New Roman" w:cs="Times New Roman" w:eastAsia="Times New Roman" w:hAnsi="Times New Roman"/>
          <w:sz w:val="17"/>
          <w:szCs w:val="17"/>
          <w:b w:val="1"/>
          <w:bCs w:val="1"/>
          <w:i w:val="1"/>
          <w:iCs w:val="1"/>
          <w:color w:val="auto"/>
        </w:rPr>
        <w:t>Employee Social Security and Welfare Benefits</w:t>
      </w:r>
    </w:p>
    <w:p>
      <w:pPr>
        <w:spacing w:after="0" w:line="229"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80" w:lineRule="exact"/>
        <w:rPr>
          <w:sz w:val="20"/>
          <w:szCs w:val="20"/>
          <w:color w:val="auto"/>
        </w:rPr>
      </w:pPr>
    </w:p>
    <w:p>
      <w:pPr>
        <w:jc w:val="both"/>
        <w:ind w:left="340" w:right="100"/>
        <w:spacing w:after="0" w:line="261" w:lineRule="auto"/>
        <w:rPr>
          <w:sz w:val="20"/>
          <w:szCs w:val="20"/>
          <w:color w:val="auto"/>
        </w:rPr>
      </w:pPr>
      <w:r>
        <w:rPr>
          <w:rFonts w:ascii="Times New Roman" w:cs="Times New Roman" w:eastAsia="Times New Roman" w:hAnsi="Times New Roman"/>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 Employee social security and welfare benefits included as expenses in the consolidated statements of comprehensive (loss)/income amounted to US$44,505, US$27,296 and US$23,630 for the years ended December 31, 2022, 2023 and 2024, respectively.</w:t>
      </w:r>
    </w:p>
    <w:p>
      <w:pPr>
        <w:spacing w:after="0" w:line="176" w:lineRule="exact"/>
        <w:rPr>
          <w:sz w:val="20"/>
          <w:szCs w:val="20"/>
          <w:color w:val="auto"/>
        </w:rPr>
      </w:pPr>
    </w:p>
    <w:p>
      <w:pPr>
        <w:ind w:left="700" w:hanging="368"/>
        <w:spacing w:after="0"/>
        <w:tabs>
          <w:tab w:leader="none" w:pos="700" w:val="left"/>
        </w:tabs>
        <w:numPr>
          <w:ilvl w:val="0"/>
          <w:numId w:val="1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7"/>
          <w:szCs w:val="17"/>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(loss)/income in the period of change. Valuation allowances are established when necessary to reduce the amount of deferred tax assets if it is considered more likely than not that amount of the deferred tax assets will not be realized.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60"/>
        <w:spacing w:after="0" w:line="254" w:lineRule="auto"/>
        <w:rPr>
          <w:sz w:val="20"/>
          <w:szCs w:val="20"/>
          <w:color w:val="auto"/>
        </w:rPr>
      </w:pPr>
      <w:r>
        <w:rPr>
          <w:rFonts w:ascii="Times New Roman" w:cs="Times New Roman" w:eastAsia="Times New Roman" w:hAnsi="Times New Roman"/>
          <w:sz w:val="18"/>
          <w:szCs w:val="18"/>
          <w:color w:val="auto"/>
        </w:rPr>
        <w:t>The Group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188" w:lineRule="exact"/>
        <w:rPr>
          <w:sz w:val="20"/>
          <w:szCs w:val="20"/>
          <w:color w:val="auto"/>
        </w:rPr>
      </w:pPr>
    </w:p>
    <w:p>
      <w:pPr>
        <w:ind w:left="340" w:right="80"/>
        <w:spacing w:after="0" w:line="270" w:lineRule="auto"/>
        <w:rPr>
          <w:sz w:val="20"/>
          <w:szCs w:val="20"/>
          <w:color w:val="auto"/>
        </w:rPr>
      </w:pPr>
      <w:r>
        <w:rPr>
          <w:rFonts w:ascii="Times New Roman" w:cs="Times New Roman" w:eastAsia="Times New Roman" w:hAnsi="Times New Roman"/>
          <w:sz w:val="17"/>
          <w:szCs w:val="17"/>
          <w:color w:val="auto"/>
        </w:rPr>
        <w:t>The Group’s tax positions are subject to income tax audits by multiple tax jurisdictions throughout the world. The Group recognizes a tax benefit associated with an uncertain tax position when, in its judgment, it is more likely than not that the position will be sustained upon examination by a taxing authority. For a tax position that meets the-more-likely-than-not recognition threshold, the Group initially and subsequently measures the tax benefit as the largest amount that the Group judges to have a greater than 50% likelihood of being realized upon ultimate settlement with a taxing authority. The Group’s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Group’s effective tax rate includes the net impact of changes in the liability for unrecognized tax benefits and subsequent adjustments as considered appropriate by management. The Group classifies interest and penalties recognized on the liability for unrecognized tax benefits as income tax expense. For the years ended December 31, 2022, 2023 and 2024, there were no uncertain tax position liabilities.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(aa) Share-based Compensation</w:t>
      </w:r>
    </w:p>
    <w:p>
      <w:pPr>
        <w:spacing w:after="0" w:line="229"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 Company grants restricted shares to the Registered Shareholders (also as key member of management), share options and Restricted Share Units (“RSUs”) of the Company to eligible employees and non-employees. The Company accounts for these share-based awards in accordance with ASC 718 Compensation-Stock Compensation.</w:t>
      </w:r>
    </w:p>
    <w:p>
      <w:pPr>
        <w:spacing w:after="0" w:line="176"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The Registered Shareholders and employees’ share-based awards are measured at the grant date fair value of the awards and recognized as expenses using a straight-line method over the requisite service period, which is the vesting period. For share-based awards granted with only service conditions to its PRC employees, the Group allows accelerated full vesting upon occurrence of a Change in Control (including defined in the Group’s Equity Incentive Plan), cumulative share-based compensation expenses for the share-based awards should be recorded upon the completion of the Change in Control.</w:t>
      </w:r>
    </w:p>
    <w:p>
      <w:pPr>
        <w:spacing w:after="0" w:line="183"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For non-employees’ share-based awards, the Group adopted ASU 2018-07 ”Improvements to Nonemployee Share-Based Payment Accounting” for the periods presented. In accordance with ASU 2018-07, it clarifies that equity-classified non-employee share-based awards are measured at the grant date. The definition of the term grant date is amended to generally state the date at which a grantor and a grantee reach a mutual understanding of the key terms and conditions of a share-based payment award. Non-employee share-based awards are measured at the grant date fair value of the awards and recognized as expenses using a straight-line method over the requisite service period, which is the vesting period.</w:t>
      </w:r>
    </w:p>
    <w:p>
      <w:pPr>
        <w:spacing w:after="0" w:line="187" w:lineRule="exact"/>
        <w:rPr>
          <w:sz w:val="20"/>
          <w:szCs w:val="20"/>
          <w:color w:val="auto"/>
        </w:rPr>
      </w:pPr>
    </w:p>
    <w:p>
      <w:pPr>
        <w:ind w:left="340" w:right="180"/>
        <w:spacing w:after="0" w:line="256" w:lineRule="auto"/>
        <w:rPr>
          <w:sz w:val="20"/>
          <w:szCs w:val="20"/>
          <w:color w:val="auto"/>
        </w:rPr>
      </w:pPr>
      <w:r>
        <w:rPr>
          <w:rFonts w:ascii="Times New Roman" w:cs="Times New Roman" w:eastAsia="Times New Roman" w:hAnsi="Times New Roman"/>
          <w:sz w:val="18"/>
          <w:szCs w:val="18"/>
          <w:color w:val="auto"/>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behaviour, risk-free interest rates and expected dividend yield. Binomial option-pricing model incorporates the assumptions about grantees’ future exercise patterns. The fair value of these awards was determined by management with the assistance from an independent valuation firm using management’s estimates and assumptions.</w:t>
      </w:r>
    </w:p>
    <w:p>
      <w:pPr>
        <w:spacing w:after="0" w:line="187"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In accordance with ASU 2016-09, the Group made an entity-wide accounting policy election to account for forfeitures when they occur.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(ab) Treasury stocks</w:t>
      </w:r>
    </w:p>
    <w:p>
      <w:pPr>
        <w:spacing w:after="0" w:line="229"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Treasury stocks are accounted for using the cost method. Under this method, the cost incurred to purchase the shares is recorded in the treasury stocks account on the consolidated balance sheets. When the Company reissues treasury stock at an amount greater or less than it paid to repurchase the shares, the realized gain or loss is recognized in the consolidated statements of changes in shareholders’ equity.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 (Loss)/profit per Share</w:t>
      </w:r>
    </w:p>
    <w:p>
      <w:pPr>
        <w:spacing w:after="0" w:line="229"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Basic (loss)/profit per share is computed by dividing net (loss)/profit attributable to ordinary shareholders by the weighted average number of ordinary shares outstanding during the period using the two-class method. Under the two-class method, the net (loss)/profit is allocated between ordinary shares and other participating securities based on their participating rights. Net (loss)/profit is not allocated to other participating securities if based on their contractual terms they are not obligated to share in the loss.</w:t>
      </w:r>
    </w:p>
    <w:p>
      <w:pPr>
        <w:spacing w:after="0" w:line="183"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Diluted (loss)/profit per share is calculated by dividing net (loss)/profit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(loss)/profit per share if their effects would be anti-dilutive. Ordinary share equivalents consist of the ordinary shares issuable in connection with the Group’s ordinary shares issuable upon the conversion of the share-based awards, using the treasury stock method.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 Comprehensive (Loss)/Income</w:t>
      </w:r>
    </w:p>
    <w:p>
      <w:pPr>
        <w:spacing w:after="0" w:line="229"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Comprehensive (loss)/income is defined as the changes in equity of the Group during a period from transactions and other events and circumstances excluding transactions resulting from investments from shareholders and distributions to shareholders. Comprehensive (loss)/income for the periods presented includes net (loss)/profit and foreign currency translation adjustments.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(ae) Segment Reporting</w:t>
      </w:r>
    </w:p>
    <w:p>
      <w:pPr>
        <w:spacing w:after="0" w:line="229"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17"/>
          <w:szCs w:val="17"/>
          <w:color w:val="auto"/>
        </w:rPr>
        <w:t>An operating segment is a component (a) that engages in business activities from which it may earn revenues and incur expenses, (b) whose operating results are regularly reviewed by the chief operating decision maker, the Chief Executive Officer, to make decisions about resources to be allocated to the segment and to assess its performance, and (c) for which discrete financial information is available. The Group’s chief operating decision maker has been identified as the Chief Executive Officer, who utilizes consolidated results including revenue, gross profit and operating profit at a consolidated level only to make decisions on resources allocation, assesses performance. The Group do not evaluate the operating segments using discrete asset information. The Group does not distinguish between markets for the purpose of making decisions about resources allocation and performance assessment. As the Group’s long-lived assets are substantially located in the PRC and substantially all the Group’s revenue are derived from within the PRC, no geographical segments are presented. Hence, the Group has only one operating segment and one reportable segment.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 our segment results for the years ended December 31, 2022, 2023 and 2024:</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74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208,172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229,990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(118,749)</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(123,335)</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89,423</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106,655</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(102,277)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(121,103)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incomes, net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Segment loss from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(168,186)</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(105,824)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661" w:right="1019"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 Recently Issued Accounting Pronouncements</w:t>
      </w:r>
    </w:p>
    <w:p>
      <w:pPr>
        <w:spacing w:after="0" w:line="229" w:lineRule="exact"/>
        <w:rPr>
          <w:sz w:val="20"/>
          <w:szCs w:val="20"/>
          <w:color w:val="auto"/>
        </w:rPr>
      </w:pPr>
    </w:p>
    <w:p>
      <w:pPr>
        <w:ind w:left="340" w:right="100"/>
        <w:spacing w:after="0" w:line="258" w:lineRule="auto"/>
        <w:rPr>
          <w:sz w:val="20"/>
          <w:szCs w:val="20"/>
          <w:color w:val="auto"/>
        </w:rPr>
      </w:pPr>
      <w:r>
        <w:rPr>
          <w:rFonts w:ascii="Times New Roman" w:cs="Times New Roman" w:eastAsia="Times New Roman" w:hAnsi="Times New Roman"/>
          <w:sz w:val="18"/>
          <w:szCs w:val="18"/>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and Amended Standards Adopted by the Group</w:t>
      </w:r>
    </w:p>
    <w:p>
      <w:pPr>
        <w:spacing w:after="0" w:line="227"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expands the breadth and frequency of required segment disclosures. The new standard is effective for fiscal years beginning after December 15, 2023, and interim periods within fiscal years beginning after December 15,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see Note (ae) above.</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New and Amended Standards not yet Adopted by the Group</w:t>
      </w:r>
    </w:p>
    <w:p>
      <w:pPr>
        <w:spacing w:after="0" w:line="227"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that all public entities on an annual basis (1) disclose specific categories in the rate reconciliation and (2) disclose the year-to-date amount of income taxes paid. The amendments in ASU 2023-09 are effective for fiscal years beginning after December 15, 2024. The Company is currently evaluating the impact of the new standard on its consolidated financial statements.</w:t>
      </w:r>
    </w:p>
    <w:p>
      <w:pPr>
        <w:spacing w:after="0" w:line="180" w:lineRule="exact"/>
        <w:rPr>
          <w:sz w:val="20"/>
          <w:szCs w:val="20"/>
          <w:color w:val="auto"/>
        </w:rPr>
      </w:pPr>
    </w:p>
    <w:p>
      <w:pPr>
        <w:ind w:left="340" w:right="12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disclosures about specific types of expenses included in the expense captions presented on the face of the income statement as well as disclosures about selling expenses. The new standard is effective for fiscal years beginning after December 15, 2026, and interim periods within fiscal years beginning after December 15, 2027. Early adoption is permitted. The Company is currently evaluating the impact of this new standard on its consolidated financial statements.</w:t>
      </w:r>
    </w:p>
    <w:p>
      <w:pPr>
        <w:spacing w:after="0" w:line="183"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Concentration</w:t>
      </w:r>
    </w:p>
    <w:p>
      <w:pPr>
        <w:spacing w:after="0" w:line="225"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Concentration of Credit Risk</w:t>
      </w:r>
    </w:p>
    <w:p>
      <w:pPr>
        <w:spacing w:after="0" w:line="229"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concentration of credit risk consist of cash and cash equivalents, short-term investments, accounts receivable and notes receivable.</w:t>
      </w:r>
    </w:p>
    <w:p>
      <w:pPr>
        <w:spacing w:after="0" w:line="162"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The Group deposits its cash and cash equivalents and short-term investments with major financial institutions which the Group believes that no significant credit risk with high credit quality.</w:t>
      </w:r>
    </w:p>
    <w:p>
      <w:pPr>
        <w:spacing w:after="0" w:line="162" w:lineRule="exact"/>
        <w:rPr>
          <w:sz w:val="20"/>
          <w:szCs w:val="20"/>
          <w:color w:val="auto"/>
        </w:rPr>
      </w:pPr>
    </w:p>
    <w:p>
      <w:pPr>
        <w:jc w:val="both"/>
        <w:ind w:left="340" w:right="180"/>
        <w:spacing w:after="0" w:line="266" w:lineRule="auto"/>
        <w:rPr>
          <w:sz w:val="20"/>
          <w:szCs w:val="20"/>
          <w:color w:val="auto"/>
        </w:rPr>
      </w:pPr>
      <w:r>
        <w:rPr>
          <w:rFonts w:ascii="Times New Roman" w:cs="Times New Roman" w:eastAsia="Times New Roman" w:hAnsi="Times New Roman"/>
          <w:sz w:val="18"/>
          <w:szCs w:val="18"/>
          <w:color w:val="auto"/>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individual customer accounted for more than 10% of accounts receivable as of December 31, 2023 and 2024.</w:t>
      </w:r>
    </w:p>
    <w:p>
      <w:pPr>
        <w:spacing w:after="0" w:line="221" w:lineRule="exact"/>
        <w:rPr>
          <w:sz w:val="20"/>
          <w:szCs w:val="20"/>
          <w:color w:val="auto"/>
        </w:rPr>
      </w:pPr>
    </w:p>
    <w:p>
      <w:pPr>
        <w:ind w:left="720" w:hanging="388"/>
        <w:spacing w:after="0"/>
        <w:tabs>
          <w:tab w:leader="none" w:pos="720" w:val="left"/>
        </w:tabs>
        <w:numPr>
          <w:ilvl w:val="0"/>
          <w:numId w:val="1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Customers and Suppliers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There are no customers from whom revenues individually represent greater than 10% of the total revenues of the Group in any of the periods presented.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Suppliers contributed more than 10% of total purchases are as below:</w:t>
      </w:r>
    </w:p>
    <w:p>
      <w:pPr>
        <w:spacing w:after="0" w:line="23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00" w:type="dxa"/>
            <w:vAlign w:val="bottom"/>
            <w:gridSpan w:val="2"/>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A</w:t>
            </w: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Supplier B</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441"/>
        </w:trPr>
        <w:tc>
          <w:tcPr>
            <w:tcW w:w="7060" w:type="dxa"/>
            <w:vAlign w:val="bottom"/>
            <w:gridSpan w:val="4"/>
          </w:tcPr>
          <w:p>
            <w:pPr>
              <w:jc w:val="right"/>
              <w:ind w:right="4828"/>
              <w:spacing w:after="0"/>
              <w:rPr>
                <w:sz w:val="20"/>
                <w:szCs w:val="20"/>
                <w:color w:val="auto"/>
              </w:rPr>
            </w:pPr>
            <w:r>
              <w:rPr>
                <w:rFonts w:ascii="Times New Roman" w:cs="Times New Roman" w:eastAsia="Times New Roman" w:hAnsi="Times New Roman"/>
                <w:sz w:val="18"/>
                <w:szCs w:val="18"/>
                <w:b w:val="1"/>
                <w:bCs w:val="1"/>
                <w:color w:val="auto"/>
              </w:rPr>
              <w:t>4.  Short-term Investments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136,511</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55,408</w:t>
            </w:r>
          </w:p>
        </w:tc>
      </w:tr>
      <w:tr>
        <w:trPr>
          <w:trHeight w:val="216"/>
        </w:trPr>
        <w:tc>
          <w:tcPr>
            <w:tcW w:w="34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with readily determinable fair value (1)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2,117</w:t>
            </w:r>
          </w:p>
        </w:tc>
      </w:tr>
      <w:tr>
        <w:trPr>
          <w:trHeight w:val="216"/>
        </w:trPr>
        <w:tc>
          <w:tcPr>
            <w:tcW w:w="34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accounted for under alternative measurement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340" w:type="dxa"/>
            <w:vAlign w:val="bottom"/>
          </w:tcPr>
          <w:p>
            <w:pPr>
              <w:spacing w:after="0"/>
              <w:rPr>
                <w:sz w:val="18"/>
                <w:szCs w:val="18"/>
                <w:color w:val="auto"/>
              </w:rPr>
            </w:pPr>
          </w:p>
        </w:tc>
        <w:tc>
          <w:tcPr>
            <w:tcW w:w="67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194,536</w:t>
            </w:r>
          </w:p>
        </w:tc>
      </w:tr>
      <w:tr>
        <w:trPr>
          <w:trHeight w:val="20"/>
        </w:trPr>
        <w:tc>
          <w:tcPr>
            <w:tcW w:w="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88"/>
        </w:trPr>
        <w:tc>
          <w:tcPr>
            <w:tcW w:w="34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6" w:lineRule="exact"/>
        <w:rPr>
          <w:sz w:val="20"/>
          <w:szCs w:val="20"/>
          <w:color w:val="auto"/>
        </w:rPr>
      </w:pPr>
    </w:p>
    <w:p>
      <w:pPr>
        <w:ind w:left="680" w:right="40" w:hanging="321"/>
        <w:spacing w:after="0" w:line="258" w:lineRule="auto"/>
        <w:tabs>
          <w:tab w:leader="none" w:pos="6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from July 2021, the Group, from time to time, invested in ordinary shares of a listed company and disposed of portion of the investments. For the years ended December 31, 2022, 2023 and 2024, the Group recorded fair value losses on short-term equity investment of US$2,056, gains of US$54 and losses of US$116, respectively, in financial income, net in the consolidated statements of comprehensive (loss)/income. This investment is classified as equity securities with readily determinable fair values.</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3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7620</wp:posOffset>
            </wp:positionV>
            <wp:extent cx="13970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ind w:left="7680"/>
        <w:spacing w:after="0"/>
        <w:tabs>
          <w:tab w:leader="none" w:pos="88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-3175</wp:posOffset>
            </wp:positionV>
            <wp:extent cx="13970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ind w:left="7700"/>
        <w:spacing w:after="0" w:line="232" w:lineRule="auto"/>
        <w:tabs>
          <w:tab w:leader="none" w:pos="888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p>
    <w:p>
      <w:pPr>
        <w:spacing w:after="0" w:line="1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w:t>
            </w:r>
          </w:p>
        </w:tc>
      </w:tr>
      <w:tr>
        <w:trPr>
          <w:trHeight w:val="216"/>
        </w:trPr>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recorded the allowance for doubtful accounts of US$288 for the year ended December 31, 2022.</w:t>
      </w:r>
    </w:p>
    <w:p>
      <w:pPr>
        <w:spacing w:after="0" w:line="225"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Group recorded the allowance for credit losses of US$1,530 and write off the allowance for credit losses of US$304 under ASU 2016-13 Financial instruments – credit losses for the year ended December 31, 2023.</w:t>
      </w:r>
    </w:p>
    <w:p>
      <w:pPr>
        <w:spacing w:after="0" w:line="121"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The Group recorded the allowance for credit losses of US$1,138 under ASU 2016-13 Financial instruments – credit losses for the year ended December 31,2024.</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6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5"/>
                <w:szCs w:val="15"/>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34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30,620</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Low value consumables and spare parts</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3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inventory write-downs</w:t>
            </w:r>
          </w:p>
        </w:tc>
        <w:tc>
          <w:tcPr>
            <w:tcW w:w="4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5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F-26</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As a result of the net impact of current year provision and sales or uses of inventories with reserve, the inventory write-downs net increased by US$4,067 for the year ended December 31, 2022, and the inventory write-downs net decreased by US$13 and US$1,031 for the years ended December 31, 2023 and 2024, respectively.</w:t>
      </w:r>
    </w:p>
    <w:p>
      <w:pPr>
        <w:spacing w:after="0" w:line="172"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Assets,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non-current portions of prepayments and other assets consist of the following:</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9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 recoverable (1)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third party payment platforms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share repurchase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prepayments and other current assets, net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non-current assets, net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hanging="321"/>
        <w:spacing w:after="0"/>
        <w:tabs>
          <w:tab w:leader="none" w:pos="6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VAT recoverable represented the balances that the Group can utilize to deduct its VAT liabilities within the next 12 months.</w:t>
      </w:r>
    </w:p>
    <w:p>
      <w:pPr>
        <w:spacing w:after="0" w:line="2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software consist of the following:</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98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980" w:type="dxa"/>
            <w:vAlign w:val="bottom"/>
          </w:tcPr>
          <w:p>
            <w:pPr>
              <w:spacing w:after="0"/>
              <w:rPr>
                <w:sz w:val="12"/>
                <w:szCs w:val="12"/>
                <w:color w:val="auto"/>
              </w:rPr>
            </w:pPr>
          </w:p>
        </w:tc>
        <w:tc>
          <w:tcPr>
            <w:tcW w:w="100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00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r>
      <w:tr>
        <w:trPr>
          <w:trHeight w:val="216"/>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Computers and electronic equipment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w:t>
            </w:r>
          </w:p>
        </w:tc>
      </w:tr>
      <w:tr>
        <w:trPr>
          <w:trHeight w:val="216"/>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equipment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17,053</w:t>
            </w:r>
          </w:p>
        </w:tc>
      </w:tr>
      <w:tr>
        <w:trPr>
          <w:trHeight w:val="216"/>
        </w:trPr>
        <w:tc>
          <w:tcPr>
            <w:tcW w:w="6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w:t>
            </w: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660"/>
        <w:spacing w:after="0" w:line="282" w:lineRule="auto"/>
        <w:rPr>
          <w:sz w:val="20"/>
          <w:szCs w:val="20"/>
          <w:color w:val="auto"/>
        </w:rPr>
      </w:pPr>
      <w:r>
        <w:rPr>
          <w:rFonts w:ascii="Times New Roman" w:cs="Times New Roman" w:eastAsia="Times New Roman" w:hAnsi="Times New Roman"/>
          <w:sz w:val="18"/>
          <w:szCs w:val="18"/>
          <w:color w:val="auto"/>
        </w:rPr>
        <w:t>Depreciation expense was US$3,443, US$2,449, and US$1,596 for the years ended December 31, 2022, 2023 and 2024, respectively.</w:t>
      </w:r>
    </w:p>
    <w:p>
      <w:pPr>
        <w:spacing w:after="0" w:line="3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60"/>
          </w:cols>
          <w:pgMar w:left="980" w:top="661" w:right="12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Long-term Investment</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08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24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4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2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9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186,751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151,185</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 (1)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20,275</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available-for-sale debt securities (2)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equity securities accounted for under alternative measurement (3)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an equity security with readily determinable fair values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207,489</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180,092</w:t>
            </w:r>
          </w:p>
        </w:tc>
      </w:tr>
      <w:tr>
        <w:trPr>
          <w:trHeight w:val="20"/>
        </w:trPr>
        <w:tc>
          <w:tcPr>
            <w:tcW w:w="24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460" w:type="dxa"/>
            <w:vAlign w:val="bottom"/>
            <w:tcBorders>
              <w:bottom w:val="single" w:sz="8" w:color="auto"/>
            </w:tcBorders>
          </w:tcPr>
          <w:p>
            <w:pPr>
              <w:spacing w:after="0"/>
              <w:rPr>
                <w:sz w:val="7"/>
                <w:szCs w:val="7"/>
                <w:color w:val="auto"/>
              </w:rPr>
            </w:pPr>
          </w:p>
        </w:tc>
        <w:tc>
          <w:tcPr>
            <w:tcW w:w="4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ind w:left="660" w:right="180" w:hanging="328"/>
        <w:spacing w:after="0" w:line="281" w:lineRule="auto"/>
        <w:tabs>
          <w:tab w:leader="none" w:pos="66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invested in U.S. treasury securities with original maturities of two or three years and accounted for as held-to-maturity investments measured at amortized cost. The allowance of credit losses for these securities was immaterial. The carrying amount of U.S. treasury securities approximates their fair value due to the fact that the related effective interest rates approximate rates currently offered by financial institutions for similar debt instruments with comparable maturity term.</w:t>
      </w:r>
    </w:p>
    <w:p>
      <w:pPr>
        <w:spacing w:after="0" w:line="164"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and 2024, the balance represents the Group’s shareholding interests of several privately held companies.</w:t>
      </w:r>
    </w:p>
    <w:p>
      <w:pPr>
        <w:spacing w:after="0" w:line="162"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As the Group has the right to request each investee to redeem the Group’s investments at the Group’s investment cost plus interest if the investee fails to meet certain predetermined conditions, the redeemable shares of the investees purchased by the Group were classified as an available-for-sale debt investments and were measured at their respective fair values. For the years ended December 31, 2022, 2023 and 2024, the fair value changes of the Group’s investments in these privately held companies were other comprehensive loss of US$9,493 and US$7,791 and other comprehensive income of US$14, respectively.</w:t>
      </w:r>
    </w:p>
    <w:p>
      <w:pPr>
        <w:spacing w:after="0" w:line="183"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For two of the aforementioned investment, the Group recorded an impairment loss of US$15,537 in general and administrative expenses on the consolidated statements of comprehensive loss, and transferred out the related investments’ historical fair value change reflected in accumulated other comprehensive income accordingly, as a result of the Group’s impairment assessment on this investment as of December 31, 2023.</w:t>
      </w:r>
    </w:p>
    <w:p>
      <w:pPr>
        <w:spacing w:after="0" w:line="180"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For the other one of the aforementioned investments, during the year 2024, the Group redeemed a portion of its investment and recorded a gain of US$451 in financial income on the consolidated statements of comprehensive income. The related historical fair value change of this investment, included in accumulated other comprehensive income was transferred out accordingly.</w:t>
      </w:r>
    </w:p>
    <w:p>
      <w:pPr>
        <w:spacing w:after="0" w:line="176" w:lineRule="exact"/>
        <w:rPr>
          <w:sz w:val="20"/>
          <w:szCs w:val="20"/>
          <w:color w:val="auto"/>
        </w:rPr>
      </w:pPr>
    </w:p>
    <w:p>
      <w:pPr>
        <w:ind w:left="340" w:right="200" w:hanging="8"/>
        <w:spacing w:after="0" w:line="258" w:lineRule="auto"/>
        <w:tabs>
          <w:tab w:leader="none" w:pos="66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investments in equity securities accounted for under alternative measurement represent investments in one privately held company and one limited partnership fund. For these investments which the Group cannot exercise significant influence and does not have a readily determinable fair value, the Group has elected to apply the measurement alternative and recorded these investments at cost, less impairment, and plus or minus subsequent adjustments for observable price changes, in accordance with ASC topic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rFonts w:ascii="Times New Roman" w:cs="Times New Roman" w:eastAsia="Times New Roman" w:hAnsi="Times New Roman"/>
          <w:sz w:val="18"/>
          <w:szCs w:val="18"/>
          <w:b w:val="1"/>
          <w:bCs w:val="1"/>
          <w:color w:val="auto"/>
        </w:rPr>
      </w:pPr>
    </w:p>
    <w:p>
      <w:pPr>
        <w:ind w:left="34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primarily for office and operation space. The Company’s operating lease arrangements have remaining terms of one year to five years with no variable lease costs.</w:t>
      </w:r>
    </w:p>
    <w:p>
      <w:pPr>
        <w:spacing w:after="0" w:line="161" w:lineRule="exact"/>
        <w:rPr>
          <w:rFonts w:ascii="Times New Roman" w:cs="Times New Roman" w:eastAsia="Times New Roman" w:hAnsi="Times New Roman"/>
          <w:sz w:val="18"/>
          <w:szCs w:val="18"/>
          <w:b w:val="1"/>
          <w:bCs w:val="1"/>
          <w:color w:val="auto"/>
        </w:rPr>
      </w:pPr>
    </w:p>
    <w:p>
      <w:pPr>
        <w:ind w:left="340" w:right="9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 costs were US$6,626, US$4,530 and US$3,845 for the years ended December 31, 2022, 2023 and 2024, respectively. The components of lease expenses were as follows:</w:t>
      </w:r>
    </w:p>
    <w:p>
      <w:pPr>
        <w:spacing w:after="0" w:line="16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top w:val="single" w:sz="8" w:color="auto"/>
            </w:tcBorders>
            <w:gridSpan w:val="5"/>
          </w:tcPr>
          <w:p>
            <w:pPr>
              <w:jc w:val="center"/>
              <w:ind w:lef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cost: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1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4,100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lease liabilities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1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for short-term lease within 12 months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1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1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top w:val="single" w:sz="8" w:color="auto"/>
            </w:tcBorders>
            <w:gridSpan w:val="5"/>
          </w:tcPr>
          <w:p>
            <w:pPr>
              <w:jc w:val="center"/>
              <w:ind w:lef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100" w:type="dxa"/>
            <w:vAlign w:val="bottom"/>
            <w:gridSpan w:val="7"/>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1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2,727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were as follows: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spacing w:after="0"/>
              <w:rPr>
                <w:sz w:val="19"/>
                <w:szCs w:val="19"/>
                <w:color w:val="auto"/>
              </w:rPr>
            </w:pPr>
          </w:p>
        </w:tc>
        <w:tc>
          <w:tcPr>
            <w:tcW w:w="200" w:type="dxa"/>
            <w:vAlign w:val="bottom"/>
            <w:tcBorders>
              <w:bottom w:val="single" w:sz="8" w:color="auto"/>
            </w:tcBorders>
            <w:gridSpan w:val="2"/>
          </w:tcPr>
          <w:p>
            <w:pPr>
              <w:spacing w:after="0"/>
              <w:rPr>
                <w:sz w:val="19"/>
                <w:szCs w:val="19"/>
                <w:color w:val="auto"/>
              </w:rPr>
            </w:pPr>
          </w:p>
        </w:tc>
        <w:tc>
          <w:tcPr>
            <w:tcW w:w="400" w:type="dxa"/>
            <w:vAlign w:val="bottom"/>
            <w:tcBorders>
              <w:bottom w:val="single" w:sz="8" w:color="auto"/>
            </w:tcBorders>
            <w:gridSpan w:val="3"/>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8"/>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4"/>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spacing w:after="0"/>
              <w:rPr>
                <w:sz w:val="12"/>
                <w:szCs w:val="12"/>
                <w:color w:val="auto"/>
              </w:rPr>
            </w:pPr>
          </w:p>
        </w:tc>
        <w:tc>
          <w:tcPr>
            <w:tcW w:w="82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3,883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3,798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63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182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color w:val="auto"/>
              </w:rPr>
              <w:t>2.12 years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 years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w:t>
            </w:r>
          </w:p>
        </w:tc>
        <w:tc>
          <w:tcPr>
            <w:tcW w:w="2820" w:type="dxa"/>
            <w:vAlign w:val="bottom"/>
            <w:gridSpan w:val="12"/>
          </w:tcPr>
          <w:p>
            <w:pPr>
              <w:jc w:val="center"/>
              <w:spacing w:after="0"/>
              <w:rPr>
                <w:sz w:val="20"/>
                <w:szCs w:val="20"/>
                <w:color w:val="auto"/>
              </w:rPr>
            </w:pPr>
            <w:r>
              <w:rPr>
                <w:rFonts w:ascii="Times New Roman" w:cs="Times New Roman" w:eastAsia="Times New Roman" w:hAnsi="Times New Roman"/>
                <w:sz w:val="18"/>
                <w:szCs w:val="18"/>
                <w:color w:val="auto"/>
              </w:rPr>
              <w:t>4.75% per annum   4.75% per annum</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Maturities of lease liabilities were as follows: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gridSpan w:val="2"/>
          </w:tcPr>
          <w:p>
            <w:pPr>
              <w:spacing w:after="0"/>
              <w:rPr>
                <w:sz w:val="12"/>
                <w:szCs w:val="12"/>
                <w:color w:val="auto"/>
              </w:rPr>
            </w:pPr>
          </w:p>
        </w:tc>
        <w:tc>
          <w:tcPr>
            <w:tcW w:w="400" w:type="dxa"/>
            <w:vAlign w:val="bottom"/>
            <w:gridSpan w:val="3"/>
          </w:tcPr>
          <w:p>
            <w:pPr>
              <w:spacing w:after="0"/>
              <w:rPr>
                <w:sz w:val="12"/>
                <w:szCs w:val="12"/>
                <w:color w:val="auto"/>
              </w:rPr>
            </w:pPr>
          </w:p>
        </w:tc>
        <w:tc>
          <w:tcPr>
            <w:tcW w:w="8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7"/>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360" w:type="dxa"/>
            <w:vAlign w:val="bottom"/>
            <w:gridSpan w:val="2"/>
            <w:vMerge w:val="restart"/>
          </w:tcPr>
          <w:p>
            <w:pPr>
              <w:ind w:left="4460"/>
              <w:spacing w:after="0"/>
              <w:rPr>
                <w:sz w:val="20"/>
                <w:szCs w:val="20"/>
                <w:color w:val="auto"/>
              </w:rPr>
            </w:pPr>
            <w:r>
              <w:rPr>
                <w:rFonts w:ascii="Times New Roman" w:cs="Times New Roman" w:eastAsia="Times New Roman" w:hAnsi="Times New Roman"/>
                <w:sz w:val="18"/>
                <w:szCs w:val="18"/>
                <w:color w:val="auto"/>
              </w:rPr>
              <w:t>F-29</w:t>
            </w: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6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Accruals and Other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and non-current portions of accruals and other liabilities consist of the following:</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2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2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Cloud infrastructure and IT related services fee payables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from depositary bank, current (1)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Membership fee to be refunded (2)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 fee payables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return allowances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 and promotion fee payables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payable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from depositary bank, non-current (1)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0"/>
        </w:trPr>
        <w:tc>
          <w:tcPr>
            <w:tcW w:w="6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accruals and other liabilities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36,698</w:t>
            </w:r>
          </w:p>
        </w:tc>
        <w:tc>
          <w:tcPr>
            <w:tcW w:w="2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40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hanging="321"/>
        <w:spacing w:after="0" w:line="255" w:lineRule="auto"/>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reimbursement payment of US$13,053 and US$1,926 from a depositary bank in April 2021 and June 2022,respectively. The amount was recorded ratably as other non-operating income over a five-year and 46 months arrangement period, respectively. For the years ended December 31, 2022, 2023 and 2024, the Company recorded US$2,904, US$3,113 and US$2,994 in other non-operating incomes, net in the consolidated statements of comprehensive (loss)/income, respectively. In addition to above reimbursement, the Company received an additional reimbursement payment of US$1,186 from depository bank for the transaction costs incurred and the amount was recorded in other non-operating incomes, net for the year ended December 31, 2024.</w:t>
      </w:r>
    </w:p>
    <w:p>
      <w:pPr>
        <w:spacing w:after="0" w:line="188"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fee to be refunded presents the balances of refundable membership fee collected by the Group from its customers under the 2023 Membership Program (Note 2(r)).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Deferred Revenue</w:t>
      </w:r>
    </w:p>
    <w:p>
      <w:pPr>
        <w:spacing w:after="0" w:line="23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4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6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7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-Cloud-based connectivity and basic IoT services (1)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1,122</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6"/>
        </w:trPr>
        <w:tc>
          <w:tcPr>
            <w:tcW w:w="7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-Membership (2)</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-SaaS (3)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6,186</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r>
      <w:tr>
        <w:trPr>
          <w:trHeight w:val="209"/>
        </w:trPr>
        <w:tc>
          <w:tcPr>
            <w:tcW w:w="6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7,308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r>
      <w:tr>
        <w:trPr>
          <w:trHeight w:val="20"/>
        </w:trPr>
        <w:tc>
          <w:tcPr>
            <w:tcW w:w="2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r>
    </w:tbl>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 Deferred cloud-based connectivity and basic IoT services related revenue</w:t>
      </w:r>
    </w:p>
    <w:p>
      <w:pPr>
        <w:spacing w:after="0" w:line="225" w:lineRule="exact"/>
        <w:rPr>
          <w:sz w:val="20"/>
          <w:szCs w:val="20"/>
          <w:color w:val="auto"/>
        </w:rPr>
      </w:pPr>
    </w:p>
    <w:p>
      <w:pPr>
        <w:ind w:left="340" w:right="800"/>
        <w:spacing w:after="0" w:line="282" w:lineRule="auto"/>
        <w:rPr>
          <w:sz w:val="20"/>
          <w:szCs w:val="20"/>
          <w:color w:val="auto"/>
        </w:rPr>
      </w:pPr>
      <w:r>
        <w:rPr>
          <w:rFonts w:ascii="Times New Roman" w:cs="Times New Roman" w:eastAsia="Times New Roman" w:hAnsi="Times New Roman"/>
          <w:sz w:val="18"/>
          <w:szCs w:val="18"/>
          <w:color w:val="auto"/>
        </w:rPr>
        <w:t>Deferred cloud-based connectivity and basic IoT services related revenue represents the Group’s provision of cloud-based connectivity obligation and basic IoT services to customers.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360" w:type="dxa"/>
            <w:vAlign w:val="bottom"/>
            <w:tcBorders>
              <w:bottom w:val="single" w:sz="8" w:color="auto"/>
            </w:tcBorders>
            <w:gridSpan w:val="5"/>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r>
      <w:tr>
        <w:trPr>
          <w:trHeight w:val="142"/>
        </w:trPr>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Deferral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0"/>
        </w:trPr>
        <w:tc>
          <w:tcPr>
            <w:tcW w:w="2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46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Deferred Revenue-Membership</w:t>
      </w:r>
    </w:p>
    <w:p>
      <w:pPr>
        <w:spacing w:after="0" w:line="225"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Deferred Revenue-Membership represents the Group’s remaining performance obligation performed over the period of time under its 2020 Membership Program (Note 2(r)).</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360" w:type="dxa"/>
            <w:vAlign w:val="bottom"/>
            <w:tcBorders>
              <w:bottom w:val="single" w:sz="8" w:color="auto"/>
            </w:tcBorders>
            <w:gridSpan w:val="5"/>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r>
      <w:tr>
        <w:trPr>
          <w:trHeight w:val="142"/>
        </w:trPr>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Deferral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46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 Deferred Revenue-SaaS</w:t>
      </w:r>
    </w:p>
    <w:p>
      <w:pPr>
        <w:spacing w:after="0" w:line="225"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Deferred Revenue-SaaS mainly represents the Group’s remaining performance obligation in providing industry SaaS services over the period of time (Note 2(r)).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360" w:type="dxa"/>
            <w:vAlign w:val="bottom"/>
            <w:tcBorders>
              <w:bottom w:val="single" w:sz="8" w:color="auto"/>
            </w:tcBorders>
            <w:gridSpan w:val="5"/>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80" w:type="dxa"/>
            <w:vAlign w:val="bottom"/>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Deferral of revenue</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24,498</w:t>
            </w:r>
          </w:p>
        </w:tc>
        <w:tc>
          <w:tcPr>
            <w:tcW w:w="4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400" w:type="dxa"/>
            <w:vAlign w:val="bottom"/>
          </w:tcPr>
          <w:p>
            <w:pPr>
              <w:spacing w:after="0"/>
              <w:rPr>
                <w:sz w:val="18"/>
                <w:szCs w:val="18"/>
                <w:color w:val="auto"/>
              </w:rPr>
            </w:pPr>
          </w:p>
        </w:tc>
      </w:tr>
      <w:tr>
        <w:trPr>
          <w:trHeight w:val="210"/>
        </w:trPr>
        <w:tc>
          <w:tcPr>
            <w:tcW w:w="3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Ending balances</w:t>
            </w:r>
          </w:p>
        </w:tc>
        <w:tc>
          <w:tcPr>
            <w:tcW w:w="27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4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58"/>
        </w:trPr>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78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F-31</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Income, net</w:t>
      </w:r>
    </w:p>
    <w:p>
      <w:pPr>
        <w:spacing w:after="0" w:line="23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360" w:type="dxa"/>
            <w:vAlign w:val="bottom"/>
            <w:tcBorders>
              <w:bottom w:val="single" w:sz="8" w:color="auto"/>
            </w:tcBorders>
            <w:gridSpan w:val="5"/>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r>
      <w:tr>
        <w:trPr>
          <w:trHeight w:val="142"/>
        </w:trPr>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24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8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 net (1)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50,424</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 of short-term investments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of long-term investments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disposal of long-term investment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9"/>
        </w:trPr>
        <w:tc>
          <w:tcPr>
            <w:tcW w:w="6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income, net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50,718</w:t>
            </w:r>
          </w:p>
        </w:tc>
      </w:tr>
      <w:tr>
        <w:trPr>
          <w:trHeight w:val="20"/>
        </w:trPr>
        <w:tc>
          <w:tcPr>
            <w:tcW w:w="2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8"/>
        </w:trPr>
        <w:tc>
          <w:tcPr>
            <w:tcW w:w="246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r>
    </w:tbl>
    <w:p>
      <w:pPr>
        <w:spacing w:after="0" w:line="76" w:lineRule="exact"/>
        <w:rPr>
          <w:sz w:val="20"/>
          <w:szCs w:val="20"/>
          <w:color w:val="auto"/>
        </w:rPr>
      </w:pPr>
    </w:p>
    <w:p>
      <w:pPr>
        <w:jc w:val="both"/>
        <w:ind w:left="660" w:right="280" w:hanging="328"/>
        <w:spacing w:after="0" w:line="266" w:lineRule="auto"/>
        <w:tabs>
          <w:tab w:leader="none" w:pos="6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and investment income, net included interest income and investment income of US$22,898, US$49,744 and US$50,424, as well as investment loss from forward exchange contracts of US$2,167, US$4,692 and nil, for the years ended December 31, 2022, 2023 and 2024, respectively.</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28, 2014, the Company was incorporated as an exempted company with limited liability with authorized share capital of US$50 divided into 1,000,000,000 shares with par value US$0.00005 each. On August 28, 2014, the Company issued total 200,000,000 shares of ordinary shares with total cash consideration of US$10 to the Registered Shareholders. The Company issued total 21,980,000 ordinary shares for US$0.0797 per share, with cash proceed of RMB9,720 thousand (equivalent to US$1,577) from two investors and US$175 from the other investor (collectively, the “Angel Investors”), on August 28, 2014 and December 23, 2014, respectively.</w:t>
      </w:r>
    </w:p>
    <w:p>
      <w:pPr>
        <w:spacing w:after="0" w:line="187" w:lineRule="exact"/>
        <w:rPr>
          <w:rFonts w:ascii="Times New Roman" w:cs="Times New Roman" w:eastAsia="Times New Roman" w:hAnsi="Times New Roman"/>
          <w:sz w:val="18"/>
          <w:szCs w:val="18"/>
          <w:b w:val="1"/>
          <w:bCs w:val="1"/>
          <w:color w:val="auto"/>
        </w:rPr>
      </w:pPr>
    </w:p>
    <w:p>
      <w:pPr>
        <w:ind w:left="34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amended the numbers of its ordinary shares authorized as 934,711,640, 921,032,370, 827,969,950, 767,500,110 and 692,500,110 upon the issuance of Series A, Series A-1, Series B, Series C and Series D convertible preferred shares in December 2014, November 2016, August 2017, April 2018 and September 2019, respectively.</w:t>
      </w:r>
    </w:p>
    <w:p>
      <w:pPr>
        <w:spacing w:after="0" w:line="175" w:lineRule="exact"/>
        <w:rPr>
          <w:rFonts w:ascii="Times New Roman" w:cs="Times New Roman" w:eastAsia="Times New Roman" w:hAnsi="Times New Roman"/>
          <w:sz w:val="18"/>
          <w:szCs w:val="18"/>
          <w:b w:val="1"/>
          <w:bCs w:val="1"/>
          <w:color w:val="auto"/>
        </w:rPr>
      </w:pPr>
    </w:p>
    <w:p>
      <w:pPr>
        <w:ind w:left="34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2019 and 2020, the Company had in aggregate of 221,980,000 ordinary shares issued and outstanding, at a par value of US$0.00005.</w:t>
      </w:r>
    </w:p>
    <w:p>
      <w:pPr>
        <w:spacing w:after="0" w:line="161" w:lineRule="exact"/>
        <w:rPr>
          <w:rFonts w:ascii="Times New Roman" w:cs="Times New Roman" w:eastAsia="Times New Roman" w:hAnsi="Times New Roman"/>
          <w:sz w:val="18"/>
          <w:szCs w:val="18"/>
          <w:b w:val="1"/>
          <w:bCs w:val="1"/>
          <w:color w:val="auto"/>
        </w:rPr>
      </w:pPr>
    </w:p>
    <w:p>
      <w:pPr>
        <w:ind w:left="34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2019, proceeds of the subscription for ordinary shares of the Company in the amount of US$10 were remained outstanding, and was presented as subscription receivables from ordinary shareholders in equity, a contra-equity balance on the consolidated balance sheets as of December 31, 2019. In 2020, the ordinary shareholders fully paid the US$10 subscription for ordinary shares of the Company, and therefore, as of December 31, 2020, the balance subscription receivables from ordinary shareholders were nil.</w:t>
      </w:r>
    </w:p>
    <w:p>
      <w:pPr>
        <w:spacing w:after="0" w:line="183"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early February 2021, the Company issued total 16,026,282 shares of ordinary shares for US$12.48 per share, with total consideration of approximately US$200 million received from two investors at fair market price, including one holder of its Series D Preferred Shares.</w:t>
      </w:r>
    </w:p>
    <w:p>
      <w:pPr>
        <w:spacing w:after="0" w:line="175" w:lineRule="exact"/>
        <w:rPr>
          <w:rFonts w:ascii="Times New Roman" w:cs="Times New Roman" w:eastAsia="Times New Roman" w:hAnsi="Times New Roman"/>
          <w:sz w:val="18"/>
          <w:szCs w:val="18"/>
          <w:b w:val="1"/>
          <w:bCs w:val="1"/>
          <w:color w:val="auto"/>
        </w:rPr>
      </w:pPr>
    </w:p>
    <w:p>
      <w:pPr>
        <w:ind w:left="34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18, 2021, the Company completed its U.S. IPO of 43,590,000 American Depositary Shares (“ADSs”), each representing one Class A ordinary shares of the Company, at the price of US$21.00 per ADS. On April 20, 2021, the Company’s underwriters exercised their over-allotment option to purchase additional 1,486,479 ADSs. The Company received approximately US$904.7 million of proceeds after deducting underwriting discounts commissions and other offering expense from its U.S. IPO and related over-allotment option arrangement.</w:t>
      </w:r>
    </w:p>
    <w:p>
      <w:pPr>
        <w:spacing w:after="0" w:line="183" w:lineRule="exact"/>
        <w:rPr>
          <w:rFonts w:ascii="Times New Roman" w:cs="Times New Roman" w:eastAsia="Times New Roman" w:hAnsi="Times New Roman"/>
          <w:sz w:val="18"/>
          <w:szCs w:val="18"/>
          <w:b w:val="1"/>
          <w:bCs w:val="1"/>
          <w:color w:val="auto"/>
        </w:rPr>
      </w:pPr>
    </w:p>
    <w:p>
      <w:pPr>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prior to the completion of its U.S. IPO, the Company’s authorized share capital was amended as US$50 divided into 1,000,000,000 ordinary shares, among which 600,000,000 authorized ordinary shares were reclassified and re-designated as Class A ordinary shares, 200,000,000 authorized ordinary shares were reclassified and re-designated as Class B ordinary shares, and remaining 200,000,000 authorized ordinary shares were reclassified and re-designated as undesignated shares on a one-for-one basis, of such class or classes (however designated) as the board of directors of the Company may determine in the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its U.S. IPO, a total of 142,400,000 issued and outstanding ordinary shares were converted into Class B ordinary shares on a one-for-one basis. The remaining issued and outstanding ordinary shares and all the Series A, Series A-1, Series B, Series C and Series D Preferred Shares,which were originally classified as Mezzanine Equity, were converted into Class A ordinary shares, in each case on a one-for-one basis immediately prior to the completion of the U.S. IPO (the “Dual Class Conversion”). In respect of matters requiring the votes of shareholders, each Class A ordinary share is entitled to one vote and each Class B ordinary share is entitled to 15 votes. Each Class B ordinary share is convertible into one Class A ordinary share at any time by the holder thereof. Class A ordinary shares are not convertible into Class B ordinary shares under any circumstances. Holders of Class A ordinary shares and Class B ordinary shares have the same rights except for voting and conversion rights.</w:t>
      </w:r>
    </w:p>
    <w:p>
      <w:pPr>
        <w:spacing w:after="0" w:line="192"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On September 13, 2021 and October 18, 2021, the Company issued 5,000,000 Class A ordinary shares at par to a depository bank reserved solely for the purpose of implementing the Group’s Equity Incentive Plan, respectively. The Group accounted for these shares as issued but not outstanding and presented as treasury stocks in the consolidated balance sheets.</w:t>
      </w:r>
    </w:p>
    <w:p>
      <w:pPr>
        <w:spacing w:after="0" w:line="176"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On December 23, 2021, 27,000,000 Class B ordinary Shares were converted to Class A ordinary Shares on one-for-one basis for Wang Xueji’s personal investment planning.On December 28, 2021, 36,000,000 Class B ordinary Shares were converted to Class A ordinary Shares on one-for-one basis for Wang Xueji’s personal investment planning.</w:t>
      </w:r>
    </w:p>
    <w:p>
      <w:pPr>
        <w:spacing w:after="0" w:line="176"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On July 4, 2022, the Company completed its Dual Primary Listing in Hong Kong Exchange (“Dual Primary Listing”) of 7,300,000 Class A ordinary shares, at the price of US$2.46 per ordinary share.</w:t>
      </w:r>
    </w:p>
    <w:p>
      <w:pPr>
        <w:spacing w:after="0" w:line="162" w:lineRule="exact"/>
        <w:rPr>
          <w:sz w:val="20"/>
          <w:szCs w:val="20"/>
          <w:color w:val="auto"/>
        </w:rPr>
      </w:pPr>
    </w:p>
    <w:p>
      <w:pPr>
        <w:ind w:left="340" w:right="540"/>
        <w:spacing w:after="0" w:line="266" w:lineRule="auto"/>
        <w:rPr>
          <w:sz w:val="20"/>
          <w:szCs w:val="20"/>
          <w:color w:val="auto"/>
        </w:rPr>
      </w:pPr>
      <w:r>
        <w:rPr>
          <w:rFonts w:ascii="Times New Roman" w:cs="Times New Roman" w:eastAsia="Times New Roman" w:hAnsi="Times New Roman"/>
          <w:sz w:val="18"/>
          <w:szCs w:val="18"/>
          <w:color w:val="auto"/>
        </w:rPr>
        <w:t>On November 1, 2022, the Company amended the numbers of its Class A ordinary shares authorized from 600,000,000 to 800,000,000 at par value of US$0.00005 each.The Company further amended that in respect of matters requiring the votes of shareholders to one vote for each Class A ordinary share and 10 votes for each Class B ordinary share.</w:t>
      </w:r>
    </w:p>
    <w:p>
      <w:pPr>
        <w:spacing w:after="0" w:line="176" w:lineRule="exact"/>
        <w:rPr>
          <w:sz w:val="20"/>
          <w:szCs w:val="20"/>
          <w:color w:val="auto"/>
        </w:rPr>
      </w:pPr>
    </w:p>
    <w:p>
      <w:pPr>
        <w:ind w:left="340" w:right="280"/>
        <w:spacing w:after="0" w:line="282" w:lineRule="auto"/>
        <w:rPr>
          <w:sz w:val="20"/>
          <w:szCs w:val="20"/>
          <w:color w:val="auto"/>
        </w:rPr>
      </w:pPr>
      <w:r>
        <w:rPr>
          <w:rFonts w:ascii="Times New Roman" w:cs="Times New Roman" w:eastAsia="Times New Roman" w:hAnsi="Times New Roman"/>
          <w:sz w:val="18"/>
          <w:szCs w:val="18"/>
          <w:color w:val="auto"/>
        </w:rPr>
        <w:t>On March 28, 2023 and December 15, 2023, 9,000,000 and 194,700 Class B ordinary shares were converted to Class A ordinary shares on one-for-one basis to reduce the weighted voting rights, respectively.</w:t>
      </w:r>
    </w:p>
    <w:p>
      <w:pPr>
        <w:spacing w:after="0" w:line="162" w:lineRule="exact"/>
        <w:rPr>
          <w:sz w:val="20"/>
          <w:szCs w:val="20"/>
          <w:color w:val="auto"/>
        </w:rPr>
      </w:pPr>
    </w:p>
    <w:p>
      <w:pPr>
        <w:ind w:left="340" w:right="100"/>
        <w:spacing w:after="0" w:line="252" w:lineRule="auto"/>
        <w:rPr>
          <w:sz w:val="20"/>
          <w:szCs w:val="20"/>
          <w:color w:val="auto"/>
        </w:rPr>
      </w:pPr>
      <w:r>
        <w:rPr>
          <w:rFonts w:ascii="Times New Roman" w:cs="Times New Roman" w:eastAsia="Times New Roman" w:hAnsi="Times New Roman"/>
          <w:sz w:val="18"/>
          <w:szCs w:val="18"/>
          <w:color w:val="auto"/>
        </w:rPr>
        <w:t>On August 30, 2021, the Company’s board of directors authorized a share repurchase program under which the Company may repurchase up to US$200 million of ADSs each representing one Class A ordinary shares during a twelve - month period ended on August 30, 2022. On November 9, 2022, the Company’s board of directors authorized a share repurchase program under which the Company may repurchase up to US$50 million of ADSs each representing one Class A ordinary shares. On June 20, 2023, the Company’s board of directors authorized a share repurchase program under which the Company may repurchase up to US$50 million of ADSs each representing one Class A ordinary shares (The above mentioned share repurchase programs are collectively referred as the “Share Repurchase Program”). The share repurchases may be made from time to time in the open market at prevailing market prices, in privately negotiated transactions, in block trades and/or through other legally permissible means, depending on market conditions and in accordance with applicable rules and regulations. In the year ended December 31, 2023, the Company repurchased total 1,200,794 ADSs representing 1,200,794 ordinary shares under the Share Repurchase Program at a weighted average price of US$1.70 per ADS. As of December 31, 2023, the remaining authorized amount under the Share Repurchase Program is US$49 million. In the year ended December 31, 2024, the Company repurchased total 223,773 ADSs representing 223,773 ordinary shares under the Share Repurchase Program at a weighted average price of US$1.72 per ADS. As of December 31, 2024, the remaining authorized amount under the Share Repurchase Program is US$49 million.</w:t>
      </w:r>
    </w:p>
    <w:p>
      <w:pPr>
        <w:spacing w:after="0" w:line="197"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On March 28, 2023 and December 15, 2023, 2,753,167 and 1,200,794 treasury stocks were cancelled respectively, to comply with the listing rules of the Hong Kong Stock Exchange.</w:t>
      </w:r>
    </w:p>
    <w:p>
      <w:pPr>
        <w:spacing w:after="0" w:line="162" w:lineRule="exact"/>
        <w:rPr>
          <w:sz w:val="20"/>
          <w:szCs w:val="20"/>
          <w:color w:val="auto"/>
        </w:rPr>
      </w:pPr>
    </w:p>
    <w:p>
      <w:pPr>
        <w:ind w:left="340" w:right="340"/>
        <w:spacing w:after="0" w:line="312" w:lineRule="auto"/>
        <w:rPr>
          <w:sz w:val="20"/>
          <w:szCs w:val="20"/>
          <w:color w:val="auto"/>
        </w:rPr>
      </w:pPr>
      <w:r>
        <w:rPr>
          <w:rFonts w:ascii="Times New Roman" w:cs="Times New Roman" w:eastAsia="Times New Roman" w:hAnsi="Times New Roman"/>
          <w:sz w:val="17"/>
          <w:szCs w:val="17"/>
          <w:color w:val="auto"/>
        </w:rPr>
        <w:t>As of December 31, 2023 and 2024, the Company’s authorized share capital of US$50 was divided into 1,000,000,000 ordinary shares, among which 800,000,000 authorized Class A ordinary shares and 200,000,000 authorized Class B ordinary shares.</w:t>
      </w:r>
    </w:p>
    <w:p>
      <w:pPr>
        <w:spacing w:after="0" w:line="140" w:lineRule="exact"/>
        <w:rPr>
          <w:sz w:val="20"/>
          <w:szCs w:val="20"/>
          <w:color w:val="auto"/>
        </w:rPr>
      </w:pPr>
    </w:p>
    <w:p>
      <w:pPr>
        <w:jc w:val="both"/>
        <w:ind w:left="340" w:right="8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in aggregate of 504,387,299 Class A ordinary shares issued and 487,591,968 Class A ordinary shares outstanding, at a par value of US$0.00005. As of December 31, 2023, the Company had in aggregate of 70,205,300 Class B ordinary shares issued and outstanding, at a par value of US$0.00005.</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right="12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in aggregate of 504,387,299 Class A ordinary shares issued and 495,601,588 Class A ordinary shares outstanding, at a par value of US$0.00005. As of December 31, 2024, the Company had in aggregate of 70,205,300 Class B ordinary shares issued and outstanding, at a par value of US$0.00005.</w:t>
      </w:r>
    </w:p>
    <w:p>
      <w:pPr>
        <w:spacing w:after="0" w:line="176" w:lineRule="exact"/>
        <w:rPr>
          <w:sz w:val="20"/>
          <w:szCs w:val="20"/>
          <w:color w:val="auto"/>
        </w:rPr>
      </w:pPr>
    </w:p>
    <w:p>
      <w:pPr>
        <w:jc w:val="both"/>
        <w:ind w:left="340" w:right="120"/>
        <w:spacing w:after="0" w:line="282" w:lineRule="auto"/>
        <w:rPr>
          <w:sz w:val="20"/>
          <w:szCs w:val="20"/>
          <w:color w:val="auto"/>
        </w:rPr>
      </w:pPr>
      <w:r>
        <w:rPr>
          <w:rFonts w:ascii="Times New Roman" w:cs="Times New Roman" w:eastAsia="Times New Roman" w:hAnsi="Times New Roman"/>
          <w:sz w:val="18"/>
          <w:szCs w:val="18"/>
          <w:color w:val="auto"/>
        </w:rPr>
        <w:t>The activities of the Group’s Class A ordinary shares and Class B ordinary shares the years ended December 31, 2023 and 2024 are summarized as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Total of Class A ordinary</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9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A ordinary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Class B ordinary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and Class B ordinary</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left="759"/>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(US$0.00005 par value)</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(US$0.00005 par value)</w:t>
            </w: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(US$0.00005 par value)</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1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center"/>
              <w:ind w:left="1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499,146,560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79,400,000</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578,546,560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Cancellation of Treasury</w:t>
            </w: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(3,953,961)</w:t>
            </w:r>
          </w:p>
        </w:tc>
        <w:tc>
          <w:tcPr>
            <w:tcW w:w="1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(3,953,961)</w:t>
            </w:r>
          </w:p>
        </w:tc>
        <w:tc>
          <w:tcPr>
            <w:tcW w:w="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 ordinary shares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Class A ordinary shares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9,194,700</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(9,194,700)</w:t>
            </w:r>
          </w:p>
        </w:tc>
        <w:tc>
          <w:tcPr>
            <w:tcW w:w="7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504,387,299</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6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70,205,300</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574,592,599</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Cancellation of Treasury</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Class B ordinary shares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Class A ordinary shares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504,387,299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70,205,300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574,592,599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ind w:left="340" w:right="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December 2014, the board of directors of the Company adopted the Company’s 2015 Equity Incentive Plan (“the 2015 Plan”) and reserved 31,918,690 ordinary shares for issuance under the Plan to grant share-based awards, including restricted shares and share options, to its service providers, defined as the Company’s global employees, directors and external consultants. In July 2020, the 2015 Plan was modified to allow the Company with the intentions of i) providing for the award of restricted stock units (“RSUs”) under the Plan and ii) amending the exercise price of certain outstanding share options held by certain optionees located outside of the U.S. to purchase ordinary shares of the Company (the “Share Option Repricing”), and the number of ordinary shares reserved for the 2015 Plan was modified to 60,778,005 (adjusted in accordance with the Share Split). As of December 31, 2020, the Company had not granted any RSUs to anyone yet, neither had the Company entered any repricing agreement with the optionee under the</w:t>
      </w:r>
    </w:p>
    <w:p>
      <w:pPr>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2015 Plan yet. As of December 31, 2020, the Company had not granted any restricted shares to anyone yet, except that the part of the ordinary shares issued to the Registered Shareholders with restricted conditions from December 2014 to 2018 was considered as shared based compensation, which was recorded as expenses before the periods presented and in the opening balance of accumulated losses of the Group.</w:t>
      </w:r>
    </w:p>
    <w:p>
      <w:pPr>
        <w:spacing w:after="0" w:line="188" w:lineRule="exact"/>
        <w:rPr>
          <w:rFonts w:ascii="Times New Roman" w:cs="Times New Roman" w:eastAsia="Times New Roman" w:hAnsi="Times New Roman"/>
          <w:sz w:val="18"/>
          <w:szCs w:val="18"/>
          <w:b w:val="1"/>
          <w:bCs w:val="1"/>
          <w:color w:val="auto"/>
        </w:rPr>
      </w:pPr>
    </w:p>
    <w:p>
      <w:pPr>
        <w:ind w:left="340" w:right="4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Since adoption of the 2015 Plan, the Company granted options to its global employees, director and external consultants. All options granted have a contractual term of ten years from the grant date, and the vest over a period of four years of continuous service, 50% of the shares subject to the option shall vest on the second anniversary of the vesting commencement date, and the remaining of the shares subject to the option shall vest in equal annual instalments over the following two years thereafter on the same day of</w:t>
      </w:r>
    </w:p>
    <w:p>
      <w:pPr>
        <w:spacing w:after="0" w:line="2" w:lineRule="exact"/>
        <w:rPr>
          <w:rFonts w:ascii="Times New Roman" w:cs="Times New Roman" w:eastAsia="Times New Roman" w:hAnsi="Times New Roman"/>
          <w:sz w:val="18"/>
          <w:szCs w:val="18"/>
          <w:b w:val="1"/>
          <w:bCs w:val="1"/>
          <w:color w:val="auto"/>
        </w:rPr>
      </w:pPr>
    </w:p>
    <w:p>
      <w:pPr>
        <w:ind w:left="340" w:right="3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month as the vesting commencement date (and if there is no corresponding day, on the last day of the month), subject to the grantee continuing to be a service provider through each such date. The share options granted to PRC employee grantee shall become fully vested under the same service conditions and vesting schedule and, to the extent permissible under applicable law, exercisable upon the occurrence of a Change in Control (as defined in the 2015 Plan).</w:t>
      </w:r>
    </w:p>
    <w:p>
      <w:pPr>
        <w:spacing w:after="0" w:line="188" w:lineRule="exact"/>
        <w:rPr>
          <w:rFonts w:ascii="Times New Roman" w:cs="Times New Roman" w:eastAsia="Times New Roman" w:hAnsi="Times New Roman"/>
          <w:sz w:val="18"/>
          <w:szCs w:val="18"/>
          <w:b w:val="1"/>
          <w:bCs w:val="1"/>
          <w:color w:val="auto"/>
        </w:rPr>
      </w:pPr>
    </w:p>
    <w:p>
      <w:pPr>
        <w:ind w:left="34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the share-based compensation costs on a straight-line bases over the requisite service period for the award based on the fair value on their respectively grant date.</w:t>
      </w:r>
    </w:p>
    <w:p>
      <w:pPr>
        <w:spacing w:after="0" w:line="161" w:lineRule="exact"/>
        <w:rPr>
          <w:rFonts w:ascii="Times New Roman" w:cs="Times New Roman" w:eastAsia="Times New Roman" w:hAnsi="Times New Roman"/>
          <w:sz w:val="18"/>
          <w:szCs w:val="18"/>
          <w:b w:val="1"/>
          <w:bCs w:val="1"/>
          <w:color w:val="auto"/>
        </w:rPr>
      </w:pPr>
    </w:p>
    <w:p>
      <w:pPr>
        <w:ind w:left="34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2021, the Company entered into agreements with certain optionees under the 2015 Plan to amend the exercise price of certain outstanding share options held by these optionees located outside of the U.S. to purchase ordinary shares of the Company. As a result of this share option repricing, the Company recorded incremental share-based compensation expense of US$1,646, US$728 and US$147 in its consolidated financial statements for the year ended December 31, 2022, 2023 and 2024.</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320"/>
        <w:spacing w:after="0" w:line="266" w:lineRule="auto"/>
        <w:rPr>
          <w:sz w:val="20"/>
          <w:szCs w:val="20"/>
          <w:color w:val="auto"/>
        </w:rPr>
      </w:pPr>
      <w:r>
        <w:rPr>
          <w:rFonts w:ascii="Times New Roman" w:cs="Times New Roman" w:eastAsia="Times New Roman" w:hAnsi="Times New Roman"/>
          <w:sz w:val="18"/>
          <w:szCs w:val="18"/>
          <w:color w:val="auto"/>
        </w:rPr>
        <w:t>On February 21, 2021, the 2015 Plan was amended to increase the number of ordinary shares available and reserved for issuance under the 2015 Plan to 76,778,005 ordinary shares, which was approved by the board of directors of the Company and the shareholders of the Company.</w:t>
      </w:r>
    </w:p>
    <w:p>
      <w:pPr>
        <w:spacing w:after="0" w:line="176"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On February 25, 2021, the board of directors of the Company approved further amendment to the 2015 Plan, which provides that starting on January 1, 2022, on the first day of each fiscal year thereafter, the total number of shares available for issuance under the 2015 Plan was increased by an amount equal to the least of (i) 2% of the aggregate number of shares of all classes of ordinary shares of the Company’s issued and outstanding on the last day of the immediately preceding fiscal year and (ii) such number of shares as determined by the board of directors.</w:t>
      </w:r>
    </w:p>
    <w:p>
      <w:pPr>
        <w:spacing w:after="0" w:line="183"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granted 2,765,000, nil, and nil new share options with four - year requisite service period to its employees and nonemployees for the years ended December 31, 2022, 2023 and 2024, respectively. As of December 31, 2023 and 2024, 51,672,005 and 46,274,612 options were outstanding under the 2015 plan.</w:t>
      </w:r>
    </w:p>
    <w:p>
      <w:pPr>
        <w:spacing w:after="0" w:line="176"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Staring from June 2021, the Company granted RSUs under the 2015 Plan. The Company granted 10,205,500 RSUs, 1,181,000 RSUs and 250,000 RSUs with three-to-four-year requisite service period to its employees and nonemployees for year ended December 31, 2022, 2023 and 2024. As of December 31, 2023 and 2024, 9,323,125 RSUs and 5,810,000 RSUs were outstanding under the 2015 Plan.</w:t>
      </w:r>
    </w:p>
    <w:p>
      <w:pPr>
        <w:spacing w:after="0" w:line="180" w:lineRule="exact"/>
        <w:rPr>
          <w:sz w:val="20"/>
          <w:szCs w:val="20"/>
          <w:color w:val="auto"/>
        </w:rPr>
      </w:pPr>
    </w:p>
    <w:p>
      <w:pPr>
        <w:ind w:left="340" w:right="120"/>
        <w:spacing w:after="0" w:line="255" w:lineRule="auto"/>
        <w:rPr>
          <w:sz w:val="20"/>
          <w:szCs w:val="20"/>
          <w:color w:val="auto"/>
        </w:rPr>
      </w:pPr>
      <w:r>
        <w:rPr>
          <w:rFonts w:ascii="Times New Roman" w:cs="Times New Roman" w:eastAsia="Times New Roman" w:hAnsi="Times New Roman"/>
          <w:sz w:val="18"/>
          <w:szCs w:val="18"/>
          <w:color w:val="auto"/>
        </w:rPr>
        <w:t>On June 20, 2024, the Company terminated the 2015 Plan and adopted the 2024 Global Share Incentive Plan (the “2024 Share Scheme”) in accordance with the resolution approved at the Annual General Meeting. Under the 2024 Share Scheme, the Company is allowed to grant share-based awards of the Group to its eligible person and service provider, whom the board considers having contributed or will contribute to the Company. The maximum number of shares of the Company available for issuance pursuant to all awards under the 2024 Share Scheme shall not exceed 57,459,259. All options granted have a contractual term of ten years from the grant date and the vesting period shall generally not be less than 12 months. As of December 31, 2024, 160,000 RSUs were outstanding under the 2024 Share Scheme.</w:t>
      </w:r>
    </w:p>
    <w:p>
      <w:pPr>
        <w:spacing w:after="0" w:line="189"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On August 26, 2024, the board of directors of the Company approved that for all outstanding options, including those are granted but not vested, and those vested but not exercised under the 2015 Plan to the grantees, the exercise price was changed to US$0.00005 per share, effective on September 12, 2024 (the “Share Option Repricing”). As a result of the Share Option Repricing, the Company recorded incremental share-based compensation expenses of US$9.7 million in its consolidated financial statements for the year ended December 31, 2024 and estimated approximately US$0.3 million to be amortized over the remaining requisite service period for the optionees till year ended December 31,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share options activity for the years ended December 31, 2022, 2023 and 2024:</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per</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59,961,539</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2,765,000</w:t>
            </w: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56,274,213</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(3,770,958)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(831,250)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51,672,005</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(5,279,893)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46,274,612</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intrinsic value as of December 31, 2022, 2023, 2024 are US$107,484, US$118,846 and US$82,832,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uses the Binominal option pricing model to estimate the fair value of stock options. The assumptions used to value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Company’s options grants and repricing were as follow: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340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7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 (US Dollar)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0.00005</w:t>
            </w:r>
          </w:p>
        </w:tc>
        <w:tc>
          <w:tcPr>
            <w:tcW w:w="1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4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1.92%~3.22 %</w:t>
            </w: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3.47%~4.74 %</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55.68%~55.78 %</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48.67%~90.35 %</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forfeiture rate (post-vesting)</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5.83%~7.70 %</w:t>
            </w: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0.00%~50.00 %</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 options grants (US Dollar)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2.24~5.46</w:t>
            </w:r>
          </w:p>
        </w:tc>
        <w:tc>
          <w:tcPr>
            <w:tcW w:w="24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 option (US Dollar)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2.05~5.27</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As of December 31, 2023 and 2024, there were US$65,970 and US$16,364 of unrecognized share-based compensation expenses related to share options granted by the Company, which were expected to be recognized over a weighted-average vesting period of 0.56 years and 0.15 year,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service based RSUs activity for the year ended December 31, 2022, 2023 and 2024:</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10,205,500</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(346,000)</w:t>
            </w:r>
          </w:p>
        </w:tc>
        <w:tc>
          <w:tcPr>
            <w:tcW w:w="22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(1,270,750)</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11,638,750</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1,181,000</w:t>
            </w:r>
          </w:p>
        </w:tc>
        <w:tc>
          <w:tcPr>
            <w:tcW w:w="22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(2,276,875)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(1,219,750)</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9,323,125</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(2,953,500)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(649,625)</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5,970,000</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As of December 31, 2023 and 2024, there were US$20,695 and US$9,931 of unrecognized share-based compensation expenses related to RSUs granted by the Company, which were expected to be recognized over a weighted-average vesting period of 2.61 years and 1.75 years, respectively. The fair value of the RSUs are measured at market price of the Company at the grant date and are held under employee share scheme until such time as they are vested.</w:t>
      </w:r>
    </w:p>
    <w:p>
      <w:pPr>
        <w:spacing w:after="0" w:line="176" w:lineRule="exact"/>
        <w:rPr>
          <w:sz w:val="20"/>
          <w:szCs w:val="20"/>
          <w:color w:val="auto"/>
        </w:rPr>
      </w:pPr>
    </w:p>
    <w:p>
      <w:pPr>
        <w:ind w:left="340" w:right="8320" w:hanging="332"/>
        <w:spacing w:after="0" w:line="532" w:lineRule="auto"/>
        <w:tabs>
          <w:tab w:leader="none" w:pos="331"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b w:val="1"/>
          <w:bCs w:val="1"/>
          <w:i w:val="1"/>
          <w:iCs w:val="1"/>
          <w:color w:val="auto"/>
        </w:rPr>
        <w:t>Cayman Islands</w:t>
      </w:r>
    </w:p>
    <w:p>
      <w:pPr>
        <w:spacing w:after="0" w:line="1" w:lineRule="exact"/>
        <w:rPr>
          <w:rFonts w:ascii="Times New Roman" w:cs="Times New Roman" w:eastAsia="Times New Roman" w:hAnsi="Times New Roman"/>
          <w:sz w:val="17"/>
          <w:szCs w:val="17"/>
          <w:b w:val="1"/>
          <w:bCs w:val="1"/>
          <w:color w:val="auto"/>
        </w:rPr>
      </w:pPr>
    </w:p>
    <w:p>
      <w:pPr>
        <w:ind w:left="340" w:right="5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current tax laws of Cayman Islands, the Company is not subject to income, corporation or capital gains tax, and no withholding tax is imposed upon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Under the current laws of the British Virgin Islands, entities incorporated in the British Virgin Islands are not subject to tax on their income or capital gains.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Under the current Hong Kong Inland Revenue Ordinance, the Group’s subsidiaries in Hong Kong are subject to 16.5% Hong Kong profit tax on its taxable income generated from operations in Hong Kong. Additionally, payments of dividends by the subsidiaries incorporated in Hong Kong to the Company are not subject to any Hong Kong withholding tax.</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PRC Enterprise Income Tax (“EIT”)</w:t>
      </w:r>
    </w:p>
    <w:p>
      <w:pPr>
        <w:spacing w:after="0" w:line="227" w:lineRule="exact"/>
        <w:rPr>
          <w:sz w:val="20"/>
          <w:szCs w:val="20"/>
          <w:color w:val="auto"/>
        </w:rPr>
      </w:pPr>
    </w:p>
    <w:p>
      <w:pPr>
        <w:ind w:left="340"/>
        <w:spacing w:after="0" w:line="277" w:lineRule="auto"/>
        <w:rPr>
          <w:sz w:val="20"/>
          <w:szCs w:val="20"/>
          <w:color w:val="auto"/>
        </w:rPr>
      </w:pPr>
      <w:r>
        <w:rPr>
          <w:rFonts w:ascii="Times New Roman" w:cs="Times New Roman" w:eastAsia="Times New Roman" w:hAnsi="Times New Roman"/>
          <w:sz w:val="17"/>
          <w:szCs w:val="17"/>
          <w:color w:val="auto"/>
        </w:rPr>
        <w:t>On March 16, 2007, the National People’s Congress of PRC enacted the Enterprise Income Tax Law (the “new EIT Law”), under which foreign invested enterprises (“FIEs”) and domestic companies would be subject to enterprise income tax (“EIT “) at a uniform rate of 25%. The new EIT law became effective on January 1, 2008. In accordance with the implementation rules of EIT Law, a qualified “High and New Technology Enterprise” (“HNTE”) is eligible for a preferential tax rate of 15%. The HNTE certificate is effective for a period of three years. An entity could re-apply for the HNTE certificate when the prior certificate expires.</w:t>
      </w:r>
    </w:p>
    <w:p>
      <w:pPr>
        <w:spacing w:after="0" w:line="168" w:lineRule="exact"/>
        <w:rPr>
          <w:sz w:val="20"/>
          <w:szCs w:val="20"/>
          <w:color w:val="auto"/>
        </w:rPr>
      </w:pPr>
    </w:p>
    <w:p>
      <w:pPr>
        <w:ind w:left="340"/>
        <w:spacing w:after="0" w:line="281" w:lineRule="auto"/>
        <w:rPr>
          <w:sz w:val="20"/>
          <w:szCs w:val="20"/>
          <w:color w:val="auto"/>
        </w:rPr>
      </w:pPr>
      <w:r>
        <w:rPr>
          <w:rFonts w:ascii="Times New Roman" w:cs="Times New Roman" w:eastAsia="Times New Roman" w:hAnsi="Times New Roman"/>
          <w:sz w:val="17"/>
          <w:szCs w:val="17"/>
          <w:color w:val="auto"/>
        </w:rPr>
        <w:t>The WFOE (Hangzhou Tuya Information Technology Co., Ltd.) obtained its HNTE certificate with a valid period of three years in November 2018, and renewed in December 2024 with a valid period of three years. Therefore, the WFOE is eligible to enjoy a preferential tax rate of 15% from the years ended December 31, 2018 to 2026, to the extent it has taxable income under the EIT Law, and as long as it maintains the HNTE qualification and duly conducts relevant EIT filing procedures with the relevant tax authority.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PRC Withholding Income Tax on Dividends</w:t>
      </w:r>
    </w:p>
    <w:p>
      <w:pPr>
        <w:spacing w:after="0" w:line="227"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183" w:lineRule="exact"/>
        <w:rPr>
          <w:sz w:val="20"/>
          <w:szCs w:val="20"/>
          <w:color w:val="auto"/>
        </w:rPr>
      </w:pPr>
    </w:p>
    <w:p>
      <w:pPr>
        <w:ind w:left="340" w:right="80"/>
        <w:spacing w:after="0" w:line="254"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 FIE in China to its immediate holding company in Hong Kong can be subject to withholding tax at a rate of no more than 5% if the immediate holding company in Hong Kong owns directly at least 25% of the shares of the FIE and could be recognized as a Beneficial Owner of the dividend from PRC tax perspective.</w:t>
      </w:r>
    </w:p>
    <w:p>
      <w:pPr>
        <w:spacing w:after="0" w:line="188"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As of December 31, 2023 and 2024, the Company did not record any withholding tax on the retained earnings of its subsidiaries in the PRC as the Group does not have retained earnings for any of the years presented.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The Company’s subsidiary in California, United States is subject to U.S. federal corporate tax and California corporate franchise tax on its taxable income as reported in its statutory financial statements adjusted in accordance with relevant U.S. tax laws. The applicable U.S. federal corporate tax rate is 21% and the California corporate franchise tax rate is 8.84% or minimum of $0.8, whatever is larger in 2022, 2023 and 2024.</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w:t>
      </w:r>
    </w:p>
    <w:p>
      <w:pPr>
        <w:spacing w:after="0" w:line="3" w:lineRule="exact"/>
        <w:rPr>
          <w:sz w:val="20"/>
          <w:szCs w:val="20"/>
          <w:color w:val="auto"/>
        </w:rPr>
      </w:pPr>
    </w:p>
    <w:p>
      <w:pPr>
        <w:ind w:left="580" w:hanging="248"/>
        <w:spacing w:after="0"/>
        <w:tabs>
          <w:tab w:leader="none" w:pos="5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corporate alternative minimum tax (“AMT”) and changing how existing AMT credits can be realized;</w:t>
      </w:r>
    </w:p>
    <w:p>
      <w:pPr>
        <w:spacing w:after="0" w:line="9" w:lineRule="exact"/>
        <w:rPr>
          <w:rFonts w:ascii="Times New Roman" w:cs="Times New Roman" w:eastAsia="Times New Roman" w:hAnsi="Times New Roman"/>
          <w:sz w:val="18"/>
          <w:szCs w:val="18"/>
          <w:color w:val="auto"/>
        </w:rPr>
      </w:pPr>
    </w:p>
    <w:p>
      <w:pPr>
        <w:ind w:left="340" w:right="80" w:hanging="8"/>
        <w:spacing w:after="0" w:line="277" w:lineRule="auto"/>
        <w:tabs>
          <w:tab w:leader="none" w:pos="595"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the base erosion anti-abuse tax (“BEAT”), a new minimum tax; (7) creating a new limitation on deductible interest expense; and (8) changing rules related to uses and limitations of net operating loss carry-forwards created in tax years beginning after December 31, 2017. In addition, the California corporate franchise tax remained the same after the enactment of the Tax Act.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assessed the impact of Tax Act and concluded that it was not material to the Company.</w:t>
      </w:r>
    </w:p>
    <w:p>
      <w:pPr>
        <w:spacing w:after="0" w:line="225"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As the Group incurred income tax expense mainly from PRC tax jurisdictions, the following information is based mainly on PRC income taxes.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income tax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(loss)/profit before tax are as follow:</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480" w:type="dxa"/>
            <w:vAlign w:val="bottom"/>
          </w:tcPr>
          <w:p>
            <w:pPr>
              <w:spacing w:after="0"/>
              <w:rPr>
                <w:sz w:val="12"/>
                <w:szCs w:val="12"/>
                <w:color w:val="auto"/>
              </w:rPr>
            </w:pPr>
          </w:p>
        </w:tc>
        <w:tc>
          <w:tcPr>
            <w:tcW w:w="7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7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480" w:type="dxa"/>
            <w:vAlign w:val="bottom"/>
          </w:tcPr>
          <w:p>
            <w:pPr>
              <w:spacing w:after="0"/>
              <w:rPr>
                <w:sz w:val="12"/>
                <w:szCs w:val="12"/>
                <w:color w:val="auto"/>
              </w:rPr>
            </w:pPr>
          </w:p>
        </w:tc>
        <w:tc>
          <w:tcPr>
            <w:tcW w:w="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(Loss)/profit before tax</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from PRC entities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w:t>
            </w:r>
          </w:p>
        </w:tc>
      </w:tr>
      <w:tr>
        <w:trPr>
          <w:trHeight w:val="216"/>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(Loss)/profit from overseas entities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27,738</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(loss)/profit before tax</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(144,295)</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(57,066)</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w:t>
            </w:r>
          </w:p>
        </w:tc>
      </w:tr>
      <w:tr>
        <w:trPr>
          <w:trHeight w:val="20"/>
        </w:trPr>
        <w:tc>
          <w:tcPr>
            <w:tcW w:w="6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59"/>
        </w:trPr>
        <w:tc>
          <w:tcPr>
            <w:tcW w:w="6480" w:type="dxa"/>
            <w:vAlign w:val="bottom"/>
          </w:tcPr>
          <w:p>
            <w:pPr>
              <w:spacing w:after="0"/>
              <w:rPr>
                <w:sz w:val="24"/>
                <w:szCs w:val="24"/>
                <w:color w:val="auto"/>
              </w:rPr>
            </w:pPr>
          </w:p>
        </w:tc>
        <w:tc>
          <w:tcPr>
            <w:tcW w:w="2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480" w:type="dxa"/>
            <w:vAlign w:val="bottom"/>
          </w:tcPr>
          <w:p>
            <w:pPr>
              <w:spacing w:after="0"/>
              <w:rPr>
                <w:sz w:val="12"/>
                <w:szCs w:val="12"/>
                <w:color w:val="auto"/>
              </w:rPr>
            </w:pPr>
          </w:p>
        </w:tc>
        <w:tc>
          <w:tcPr>
            <w:tcW w:w="7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78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480" w:type="dxa"/>
            <w:vAlign w:val="bottom"/>
          </w:tcPr>
          <w:p>
            <w:pPr>
              <w:spacing w:after="0"/>
              <w:rPr>
                <w:sz w:val="12"/>
                <w:szCs w:val="12"/>
                <w:color w:val="auto"/>
              </w:rPr>
            </w:pPr>
          </w:p>
        </w:tc>
        <w:tc>
          <w:tcPr>
            <w:tcW w:w="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7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
        </w:trPr>
        <w:tc>
          <w:tcPr>
            <w:tcW w:w="6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Reconciliation of the differences between statutory tax rate and the effective tax rate</w:t>
      </w:r>
    </w:p>
    <w:p>
      <w:pPr>
        <w:spacing w:after="0" w:line="227"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Reconciliation of the differences between the statutory EIT rate applicable to losses of the consolidated entities and the income tax expenses of the Group:</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12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0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PRC Statutory income tax rate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rates in different tax jurisdiction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preferential tax rate for qualified HNTE entities (1)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deduction for research and development expenditures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17.7 %</w:t>
            </w:r>
          </w:p>
        </w:tc>
        <w:tc>
          <w:tcPr>
            <w:tcW w:w="18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141.2 %</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tcPr>
          <w:p>
            <w:pPr>
              <w:spacing w:after="0"/>
              <w:rPr>
                <w:sz w:val="18"/>
                <w:szCs w:val="18"/>
                <w:color w:val="auto"/>
              </w:rPr>
            </w:pPr>
          </w:p>
        </w:tc>
        <w:tc>
          <w:tcPr>
            <w:tcW w:w="8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44.3 %</w:t>
            </w:r>
          </w:p>
        </w:tc>
      </w:tr>
      <w:tr>
        <w:trPr>
          <w:trHeight w:val="20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8"/>
        </w:trPr>
        <w:tc>
          <w:tcPr>
            <w:tcW w:w="246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76" w:lineRule="exact"/>
        <w:rPr>
          <w:sz w:val="20"/>
          <w:szCs w:val="20"/>
          <w:color w:val="auto"/>
        </w:rPr>
      </w:pPr>
    </w:p>
    <w:p>
      <w:pPr>
        <w:ind w:left="680" w:hanging="321"/>
        <w:spacing w:after="0"/>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preferential income tax rate that the WFOE is entitled to enjoy as a qualified HNTE is 15%.</w:t>
      </w:r>
    </w:p>
    <w:p>
      <w:pPr>
        <w:spacing w:after="0" w:line="225" w:lineRule="exact"/>
        <w:rPr>
          <w:rFonts w:ascii="Times New Roman" w:cs="Times New Roman" w:eastAsia="Times New Roman" w:hAnsi="Times New Roman"/>
          <w:sz w:val="18"/>
          <w:szCs w:val="18"/>
          <w:color w:val="auto"/>
        </w:rPr>
      </w:pPr>
    </w:p>
    <w:p>
      <w:pPr>
        <w:ind w:left="680" w:right="260" w:hanging="321"/>
        <w:spacing w:after="0" w:line="266" w:lineRule="auto"/>
        <w:tabs>
          <w:tab w:leader="none" w:pos="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for the years ended December 31, 2022, 2023 and 2024 are related to the deferred tax assets of certain group entities which reported losses. The Group believes that it is more likely than not that the deferred tax assets of these entities will not be utilized. Therefore, valuation allowance has been provided.</w:t>
      </w:r>
    </w:p>
    <w:p>
      <w:pPr>
        <w:sectPr>
          <w:pgSz w:w="11900" w:h="16838" w:orient="portrait"/>
          <w:cols w:equalWidth="0" w:num="1">
            <w:col w:w="9800"/>
          </w:cols>
          <w:pgMar w:left="980" w:top="661" w:right="1119" w:bottom="1440" w:gutter="0" w:footer="0" w:header="0"/>
        </w:sectPr>
      </w:pP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type w:val="continuous"/>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deferred tax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deferred tax assets:</w:t>
      </w:r>
    </w:p>
    <w:p>
      <w:pPr>
        <w:spacing w:after="0" w:line="381"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960" w:type="dxa"/>
            <w:vAlign w:val="bottom"/>
            <w:tcBorders>
              <w:bottom w:val="single" w:sz="8" w:color="auto"/>
            </w:tcBorders>
            <w:gridSpan w:val="5"/>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Borders>
              <w:bottom w:val="single" w:sz="8" w:color="auto"/>
            </w:tcBorders>
          </w:tcPr>
          <w:p>
            <w:pPr>
              <w:spacing w:after="0"/>
              <w:rPr>
                <w:sz w:val="15"/>
                <w:szCs w:val="15"/>
                <w:color w:val="auto"/>
              </w:rPr>
            </w:pPr>
          </w:p>
        </w:tc>
      </w:tr>
      <w:tr>
        <w:trPr>
          <w:trHeight w:val="142"/>
        </w:trPr>
        <w:tc>
          <w:tcPr>
            <w:tcW w:w="648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648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accumulated losses-carry forward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118,755</w:t>
            </w:r>
          </w:p>
        </w:tc>
      </w:tr>
      <w:tr>
        <w:trPr>
          <w:trHeight w:val="216"/>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Credit-related impairment of long-term investments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16"/>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write-downs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allowances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deductible temporary difference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(106,967)</w:t>
            </w:r>
          </w:p>
        </w:tc>
        <w:tc>
          <w:tcPr>
            <w:tcW w:w="1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(119,746)</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(122,913)</w:t>
            </w: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the Group had tax losses carry forwards of approximately US$576,439, which mainly arose from its subsidiaries established in the PRC. These tax losses carry forwards from PRC entities will expire during the period from 2025 to 2034 as follows:</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58,351</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104,894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62,484</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4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34,198</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2032</w:t>
            </w: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2033</w:t>
            </w:r>
          </w:p>
        </w:tc>
        <w:tc>
          <w:tcPr>
            <w:tcW w:w="4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43,371</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2034</w:t>
            </w:r>
          </w:p>
        </w:tc>
        <w:tc>
          <w:tcPr>
            <w:tcW w:w="40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losses carry forwards</w:t>
            </w: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576,439</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Movement of valuation allowance</w:t>
            </w: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gridSpan w:val="4"/>
          </w:tcPr>
          <w:p>
            <w:pPr>
              <w:jc w:val="center"/>
              <w:ind w:lef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40" w:type="dxa"/>
            <w:vAlign w:val="bottom"/>
            <w:tcBorders>
              <w:top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82,964</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119,746</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of valuation allowance(1)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24,003</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12,779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119,746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6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hanging="321"/>
        <w:spacing w:after="0" w:line="256" w:lineRule="auto"/>
        <w:tabs>
          <w:tab w:leader="none" w:pos="6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have been provided against deferred tax assets when the Group determines that it is more likely than not that the deferred tax assets will not be utilized in the future. In making such determination, the Group evaluates a variety of factors including the Group’s entities’ operating history, accumulated deficit, existence of taxable temporary differences and reversal periods. As of December 31, 2023 and 2024, full valuation allowances on deferred tax assets were provided because it was more likely than not that the Group will not be able to utilize tax loss carry forwards and other temporary tax difference generated by its unprofitable subsidiaries and the VIE.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20" w:hanging="312"/>
        <w:spacing w:after="0"/>
        <w:tabs>
          <w:tab w:leader="none" w:pos="3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(Loss)/profit per Share</w:t>
      </w:r>
    </w:p>
    <w:p>
      <w:pPr>
        <w:spacing w:after="0" w:line="229" w:lineRule="exact"/>
        <w:rPr>
          <w:rFonts w:ascii="Times New Roman" w:cs="Times New Roman" w:eastAsia="Times New Roman" w:hAnsi="Times New Roman"/>
          <w:sz w:val="18"/>
          <w:szCs w:val="18"/>
          <w:b w:val="1"/>
          <w:bCs w:val="1"/>
          <w:color w:val="auto"/>
        </w:rPr>
      </w:pPr>
    </w:p>
    <w:p>
      <w:pPr>
        <w:ind w:left="3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(loss)/profit per share have been calculated in accordance with ASC 260 on computation of (loss)/profit per share for each of the year ended December 31, 2022, 2023 and 2024 are calculated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3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960" w:type="dxa"/>
            <w:vAlign w:val="bottom"/>
          </w:tcPr>
          <w:p>
            <w:pPr>
              <w:spacing w:after="0"/>
              <w:rPr>
                <w:sz w:val="12"/>
                <w:szCs w:val="12"/>
                <w:color w:val="auto"/>
              </w:rPr>
            </w:pPr>
          </w:p>
        </w:tc>
        <w:tc>
          <w:tcPr>
            <w:tcW w:w="9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5960" w:type="dxa"/>
            <w:vAlign w:val="bottom"/>
          </w:tcPr>
          <w:p>
            <w:pPr>
              <w:spacing w:after="0"/>
              <w:rPr>
                <w:sz w:val="12"/>
                <w:szCs w:val="12"/>
                <w:color w:val="auto"/>
              </w:rPr>
            </w:pPr>
          </w:p>
        </w:tc>
        <w:tc>
          <w:tcPr>
            <w:tcW w:w="9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9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(loss)/profit per share calculation</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8"/>
        </w:trPr>
        <w:tc>
          <w:tcPr>
            <w:tcW w:w="5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(loss)/profit attributable to Tuya Inc.’s ordinary shareholders, basic and</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(146,175)</w:t>
            </w:r>
          </w:p>
        </w:tc>
        <w:tc>
          <w:tcPr>
            <w:tcW w:w="14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(60,315)</w:t>
            </w:r>
          </w:p>
        </w:tc>
        <w:tc>
          <w:tcPr>
            <w:tcW w:w="14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outstanding-basic</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553,527,529</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555,466,061</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573,782,783</w:t>
            </w: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Effective of diluted securities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and RSU</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17,224,018</w:t>
            </w:r>
          </w:p>
        </w:tc>
      </w:tr>
      <w:tr>
        <w:trPr>
          <w:trHeight w:val="209"/>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outstanding-diluted</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591,006,801</w:t>
            </w: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 per share attributable to ordinary shareholders: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198" w:lineRule="exact"/>
        <w:rPr>
          <w:sz w:val="20"/>
          <w:szCs w:val="20"/>
          <w:color w:val="auto"/>
        </w:rPr>
      </w:pPr>
    </w:p>
    <w:p>
      <w:pPr>
        <w:jc w:val="both"/>
        <w:ind w:left="340" w:right="1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2023 and 2024, the Company had ordinary equivalent shares, including share options and RSUs granted (Note 15). As the Group incurred a loss for the years ended December 31, 2022 and 2023, these ordinary equivalent shares were determined to be anti-dilutive and excluded from the calculation of diluted loss per share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Capital and other commitments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Capital expenditures contracted for at the balance sheet dates but not recognized in the Group’s consolidated financial statements are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16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500" w:type="dxa"/>
            <w:vAlign w:val="bottom"/>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8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50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8"/>
                <w:szCs w:val="18"/>
                <w:color w:val="auto"/>
              </w:rPr>
            </w:pPr>
          </w:p>
        </w:tc>
        <w:tc>
          <w:tcPr>
            <w:tcW w:w="780" w:type="dxa"/>
            <w:vAlign w:val="bottom"/>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Operating lease commitment</w:t>
      </w:r>
    </w:p>
    <w:p>
      <w:pPr>
        <w:spacing w:after="0" w:line="225" w:lineRule="exact"/>
        <w:rPr>
          <w:sz w:val="20"/>
          <w:szCs w:val="20"/>
          <w:color w:val="auto"/>
        </w:rPr>
      </w:pPr>
    </w:p>
    <w:p>
      <w:pPr>
        <w:ind w:left="340" w:right="200"/>
        <w:spacing w:after="0" w:line="289" w:lineRule="auto"/>
        <w:rPr>
          <w:sz w:val="20"/>
          <w:szCs w:val="20"/>
          <w:color w:val="auto"/>
        </w:rPr>
      </w:pPr>
      <w:r>
        <w:rPr>
          <w:rFonts w:ascii="Times New Roman" w:cs="Times New Roman" w:eastAsia="Times New Roman" w:hAnsi="Times New Roman"/>
          <w:sz w:val="17"/>
          <w:szCs w:val="17"/>
          <w:color w:val="auto"/>
        </w:rPr>
        <w:t>The Group had outstanding commitments on several non-cancellable operating lease agreements. Operating lease commitment within one year or less lease term, for which the Group elected not recognize any lease liability or right-of-use asset, therefore not yet reflected in the consolidated financial statements as of December 31, 2023 and 2024 were US$19 and US$26, respectively.</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Services purchase commitment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Group’s services purchase commitments were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3-5 years</w:t>
            </w:r>
          </w:p>
        </w:tc>
      </w:tr>
      <w:tr>
        <w:trPr>
          <w:trHeight w:val="142"/>
        </w:trPr>
        <w:tc>
          <w:tcPr>
            <w:tcW w:w="2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24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76" w:lineRule="exact"/>
        <w:rPr>
          <w:sz w:val="20"/>
          <w:szCs w:val="20"/>
          <w:color w:val="auto"/>
        </w:rPr>
      </w:pPr>
    </w:p>
    <w:p>
      <w:pPr>
        <w:ind w:left="660" w:right="160" w:hanging="328"/>
        <w:spacing w:after="0" w:line="258"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US$15,667 and US$6,705 of remaining non-cancellable contractual commitments as of December 31, 2023 and 2024, respectively, related to one of the Group’s third-party cloud infrastructure agreements, under which the Group committed to spend an aggregate of at least US$37,500 between June 1, 2021 and May 31, 2026 with minimum purchase commitment. The Group had made payments totalling US$27,023 and US$36,735 under this agreement as of December 31, 2023 and 2024,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Contingencies</w:t>
      </w:r>
    </w:p>
    <w:p>
      <w:pPr>
        <w:spacing w:after="0" w:line="225" w:lineRule="exact"/>
        <w:rPr>
          <w:sz w:val="20"/>
          <w:szCs w:val="20"/>
          <w:color w:val="auto"/>
        </w:rPr>
      </w:pPr>
    </w:p>
    <w:p>
      <w:pPr>
        <w:ind w:left="340" w:right="60"/>
        <w:spacing w:after="0" w:line="253" w:lineRule="auto"/>
        <w:rPr>
          <w:sz w:val="20"/>
          <w:szCs w:val="20"/>
          <w:color w:val="auto"/>
        </w:rPr>
      </w:pPr>
      <w:r>
        <w:rPr>
          <w:rFonts w:ascii="Times New Roman" w:cs="Times New Roman" w:eastAsia="Times New Roman" w:hAnsi="Times New Roman"/>
          <w:sz w:val="18"/>
          <w:szCs w:val="18"/>
          <w:color w:val="auto"/>
        </w:rPr>
        <w:t>On August 9, 2022, the Company and certain of its current and former officers and directors were named as defendants in a putative securities class action filed in the United States District Court for the Southern District of New York, alleging that certain material misstatements and/or omissions were made in the Company’s March 2021 U.S. IPO registration statement. The Company filed a motion to dismiss the action in May 2023. On March 5, 2024 (U.S. Eastern Time), the court entered an order granting the Company’s motion to dismiss in part and denying it in part. On April 25, 2024, the Company further filed a motion for judgment on the pleadings pursuant to Rule 12(c), seeking to dismiss the remaining claims based on the parties' pleadings. On March 7, 2025, the court granted the Company’s motion for judgment on the pleadings, concluding that the plaintiffs failed to identify any false or misleading statements in the Company’s registration statement. The Court granted leave for the plaintiffs to amend their complaint by March 28, 2025. The plaintiffs did not serve an amended complaint prior to that deadline. On March 31, 2025, the Court entered judgment in favor of the Company and all other defendants, dismissing all claims asserted in the action with prejudice. The Group records a liability when it is both probable that a liability has been incurred and the amount of the loss can be reasonably estimated. The Group reviews the need for any such liability on a regular basis. The Group has not recorded any material liability in this regard for the above action as of December 31, 2024.</w:t>
      </w:r>
    </w:p>
    <w:p>
      <w:pPr>
        <w:spacing w:after="0" w:line="187" w:lineRule="exact"/>
        <w:rPr>
          <w:sz w:val="20"/>
          <w:szCs w:val="20"/>
          <w:color w:val="auto"/>
        </w:rPr>
      </w:pPr>
    </w:p>
    <w:p>
      <w:pPr>
        <w:ind w:left="340" w:right="500"/>
        <w:spacing w:after="0" w:line="312" w:lineRule="auto"/>
        <w:rPr>
          <w:sz w:val="20"/>
          <w:szCs w:val="20"/>
          <w:color w:val="auto"/>
        </w:rPr>
      </w:pPr>
      <w:r>
        <w:rPr>
          <w:rFonts w:ascii="Times New Roman" w:cs="Times New Roman" w:eastAsia="Times New Roman" w:hAnsi="Times New Roman"/>
          <w:sz w:val="17"/>
          <w:szCs w:val="17"/>
          <w:color w:val="auto"/>
        </w:rPr>
        <w:t>Other than as mentioned above, as of December 31, 2023 and 2024, the Group was not involved in any legal or administrative proceedings that the Group believe may have a material adverse impact on the Group’s consolidated financial statements.</w:t>
      </w:r>
    </w:p>
    <w:p>
      <w:pPr>
        <w:spacing w:after="0" w:line="136" w:lineRule="exact"/>
        <w:rPr>
          <w:sz w:val="20"/>
          <w:szCs w:val="20"/>
          <w:color w:val="auto"/>
        </w:rPr>
      </w:pPr>
    </w:p>
    <w:p>
      <w:pPr>
        <w:ind w:left="320" w:hanging="312"/>
        <w:spacing w:after="0"/>
        <w:tabs>
          <w:tab w:leader="none" w:pos="3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29" w:lineRule="exact"/>
        <w:rPr>
          <w:rFonts w:ascii="Times New Roman" w:cs="Times New Roman" w:eastAsia="Times New Roman" w:hAnsi="Times New Roman"/>
          <w:sz w:val="18"/>
          <w:szCs w:val="18"/>
          <w:b w:val="1"/>
          <w:bCs w:val="1"/>
          <w:color w:val="auto"/>
        </w:rPr>
      </w:pPr>
    </w:p>
    <w:p>
      <w:pPr>
        <w:ind w:left="340" w:right="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August 26, 2024, the board of directors of the Company approved the declaration and distribution of a dividend of US$0.0589 per ordinary share, or US$0.0589 per ADS, to such holders as at the close of business on September 11, 2024, Hong Kong Time and New York Time, respectively. The aggregate amount of this dividend was US$33 million, which was paid in cash in October 2024.</w:t>
      </w:r>
    </w:p>
    <w:p>
      <w:pPr>
        <w:spacing w:after="0" w:line="153"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related parties with which the Group had transactions during the years presented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related party</w:t>
            </w:r>
          </w:p>
        </w:tc>
        <w:tc>
          <w:tcPr>
            <w:tcW w:w="200" w:type="dxa"/>
            <w:vAlign w:val="bottom"/>
          </w:tcPr>
          <w:p>
            <w:pPr>
              <w:spacing w:after="0"/>
              <w:rPr>
                <w:sz w:val="15"/>
                <w:szCs w:val="15"/>
                <w:color w:val="auto"/>
              </w:rPr>
            </w:pPr>
          </w:p>
        </w:tc>
        <w:tc>
          <w:tcPr>
            <w:tcW w:w="43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209"/>
        </w:trPr>
        <w:tc>
          <w:tcPr>
            <w:tcW w:w="340" w:type="dxa"/>
            <w:vAlign w:val="bottom"/>
          </w:tcPr>
          <w:p>
            <w:pPr>
              <w:spacing w:after="0"/>
              <w:rPr>
                <w:sz w:val="18"/>
                <w:szCs w:val="18"/>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Wang Xueji and other four individuals</w:t>
            </w:r>
          </w:p>
        </w:tc>
        <w:tc>
          <w:tcPr>
            <w:tcW w:w="20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Shareholders</w:t>
            </w:r>
          </w:p>
        </w:tc>
        <w:tc>
          <w:tcPr>
            <w:tcW w:w="40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5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Tencent Group (including Tencent Mobility Limited and Image Frame</w:t>
            </w:r>
          </w:p>
        </w:tc>
        <w:tc>
          <w:tcPr>
            <w:tcW w:w="2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Investment (HK) Limited. After November 1, 2022, Tencent Group</w:t>
            </w:r>
          </w:p>
        </w:tc>
        <w:tc>
          <w:tcPr>
            <w:tcW w:w="2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 a related party of the Company)</w:t>
            </w:r>
          </w:p>
        </w:tc>
        <w:tc>
          <w:tcPr>
            <w:tcW w:w="4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shareholder of the Group</w:t>
            </w:r>
          </w:p>
        </w:tc>
      </w:tr>
      <w:tr>
        <w:trPr>
          <w:trHeight w:val="864"/>
        </w:trPr>
        <w:tc>
          <w:tcPr>
            <w:tcW w:w="340" w:type="dxa"/>
            <w:vAlign w:val="bottom"/>
          </w:tcPr>
          <w:p>
            <w:pPr>
              <w:spacing w:after="0"/>
              <w:rPr>
                <w:sz w:val="24"/>
                <w:szCs w:val="24"/>
                <w:color w:val="auto"/>
              </w:rPr>
            </w:pPr>
          </w:p>
        </w:tc>
        <w:tc>
          <w:tcPr>
            <w:tcW w:w="508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F-42</w:t>
            </w:r>
          </w:p>
        </w:tc>
        <w:tc>
          <w:tcPr>
            <w:tcW w:w="2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entered into the following related party transactions: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16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From November 1, 2022</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December 31, 2022</w:t>
            </w: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Purchase of cloud service from Tencent Group</w:t>
            </w:r>
          </w:p>
        </w:tc>
        <w:tc>
          <w:tcPr>
            <w:tcW w:w="2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20"/>
                <w:szCs w:val="20"/>
                <w:color w:val="auto"/>
              </w:rPr>
              <w:t>262</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1,305</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1,218</w:t>
            </w:r>
          </w:p>
        </w:tc>
        <w:tc>
          <w:tcPr>
            <w:tcW w:w="0" w:type="dxa"/>
            <w:vAlign w:val="bottom"/>
          </w:tcPr>
          <w:p>
            <w:pPr>
              <w:spacing w:after="0"/>
              <w:rPr>
                <w:sz w:val="1"/>
                <w:szCs w:val="1"/>
                <w:color w:val="auto"/>
              </w:rPr>
            </w:pPr>
          </w:p>
        </w:tc>
      </w:tr>
      <w:tr>
        <w:trPr>
          <w:trHeight w:val="432"/>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Group had the following related party balances:</w:t>
            </w: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7620</wp:posOffset>
            </wp:positionV>
            <wp:extent cx="22885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ind w:left="6620"/>
        <w:spacing w:after="0"/>
        <w:tabs>
          <w:tab w:leader="none" w:pos="85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-3175</wp:posOffset>
            </wp:positionV>
            <wp:extent cx="22885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ind w:left="6640"/>
        <w:spacing w:after="0"/>
        <w:tabs>
          <w:tab w:leader="none" w:pos="852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Tencent Group</w:t>
            </w:r>
          </w:p>
        </w:tc>
        <w:tc>
          <w:tcPr>
            <w:tcW w:w="37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7" w:lineRule="exact"/>
        <w:rPr>
          <w:sz w:val="20"/>
          <w:szCs w:val="20"/>
          <w:color w:val="auto"/>
        </w:rPr>
      </w:pPr>
    </w:p>
    <w:p>
      <w:pPr>
        <w:ind w:left="320" w:hanging="312"/>
        <w:spacing w:after="0"/>
        <w:tabs>
          <w:tab w:leader="none" w:pos="3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34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26, 2025, the Board of Director of the Company approved the declaration and distribution of a dividend of US$0.0608 per ordinary share, or US$0.0608 per ADS, to such holders as at the close of business on March 13, 2025, Hong Kong Time and New York Time, respectively. The aggregate amount of the dividend will be approximately US$37 million, which is payable in U.S. dollars and in cash, and will be funded by surplus cash and to be paid out from the share premium account of the Company.</w:t>
      </w:r>
    </w:p>
    <w:p>
      <w:pPr>
        <w:spacing w:after="0" w:line="13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229" w:lineRule="exact"/>
        <w:rPr>
          <w:rFonts w:ascii="Times New Roman" w:cs="Times New Roman" w:eastAsia="Times New Roman" w:hAnsi="Times New Roman"/>
          <w:sz w:val="18"/>
          <w:szCs w:val="18"/>
          <w:b w:val="1"/>
          <w:bCs w:val="1"/>
          <w:color w:val="auto"/>
        </w:rPr>
      </w:pPr>
    </w:p>
    <w:p>
      <w:pPr>
        <w:ind w:left="340" w:right="1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laws and regulations permit payments of dividends by the Group’s entities incorporated in the PRC only out of their retained earnings, if any, as determined in accordance with PRC accounting standards and regulations. In addition, the Group’s entities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entities and the VIE subsidiary incorporated in the PRC are restricted in their ability to transfer a portion of their net assets to the Company either in the form of dividends, loans or advances, which restricted portion as calculated under U.S. GAAP amounted to US$408,641 and US$421,006 as of December 31, 2023 and 2024. There are no significant differences between U.S. GAAP and PRC accounting standards in connection with the reported net assets of the legally owned subsidiaries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there is no other restriction on use of proceeds generated by the Group’s subsidiaries and the VIE to satisfy any obligations of the Company.</w:t>
      </w:r>
    </w:p>
    <w:p>
      <w:pPr>
        <w:spacing w:after="0" w:line="187" w:lineRule="exact"/>
        <w:rPr>
          <w:rFonts w:ascii="Times New Roman" w:cs="Times New Roman" w:eastAsia="Times New Roman" w:hAnsi="Times New Roman"/>
          <w:sz w:val="18"/>
          <w:szCs w:val="18"/>
          <w:b w:val="1"/>
          <w:bCs w:val="1"/>
          <w:color w:val="auto"/>
        </w:rPr>
      </w:pPr>
    </w:p>
    <w:p>
      <w:pPr>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year ended December 31, 2024, the Company performed a test on the restricted net assets of subsidiaries and VIE in accordance with Securities and Exchange Commission Regulation S-X Rule 4-08 € (3), “General Notes to Financial Statements” and concluded that the restricted net assets exceeded 25% of the consolidated net assets of the Company as of December 31, 2024 and the condensed financial information of the Company (referred to as the “Parent Company” below) are required to be presented.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the Parent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in US$ thousands (“US$”), except for share and per share data,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9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9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287,668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309,846</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 in subsidiaries and VIE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669,084</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669,084</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978,930</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1,013,072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Ordinary shares (US$0.00005 par value; nil shares authorized, issued and outstanding as of December</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31, 2023 and 2024, respectively)</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ordinary shares (US$0.00005 par value; 800,000,000 and 800,000,000 shares authorized as of</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 and 2024, respectively; 504,387,299 and 504,387,299 shares issued as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 and 2024, respectively; 487,591,968 and 495,601,588 shares outstanding as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December 31, 2023 and 2024, respectively)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ordinary shares (US$0.00005 par value; 200,000,000 and 200,000,000 shares authorized as of</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December 31, 2023 and 2024, respectively; 70,205,300 and 70,205,300 shares issued and outstanding</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of December 31, 2023 and 2024, respectively)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(US$0.00005 par value; 16,795,331 and 8,785,711 shares as of December 31, 2023 and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 respectively)</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(53,630)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1,616,105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(17,091)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(574,848)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970,565</w:t>
            </w:r>
          </w:p>
        </w:tc>
        <w:tc>
          <w:tcPr>
            <w:tcW w:w="2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978,930</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1,013,072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F-44</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Comprehensive (Loss)/Income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280" w:type="dxa"/>
            <w:vAlign w:val="bottom"/>
            <w:tcBorders>
              <w:bottom w:val="single" w:sz="8" w:color="auto"/>
            </w:tcBorders>
            <w:gridSpan w:val="5"/>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 expense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(3,013)</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of (loss)/gain of subsidiaries and the VIE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(146,417)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(59,372)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(149,430)</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(63,584)</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income, net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gain/(loss)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(Loss)/profit before income tax expense</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(146,175)</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(60,315)</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(146,175)</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 attributable to ordinary shareholders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(146,175)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(146,175)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(60,315)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(14,942)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out of fair value changes of long-term investments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fair value of long-term investments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(9,493)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(loss)/income</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(170,610)</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280" w:type="dxa"/>
            <w:vAlign w:val="bottom"/>
            <w:tcBorders>
              <w:bottom w:val="single" w:sz="8" w:color="auto"/>
            </w:tcBorders>
            <w:gridSpan w:val="5"/>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 to, and investment in subsidiaries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subsidiaries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investing activities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for repurchase of ordinary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Proceeds from issuance of Class A ordinary shares upon the Dual Primary Listing, net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issuance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200" w:type="dxa"/>
            <w:vAlign w:val="bottom"/>
          </w:tcPr>
          <w:p>
            <w:pPr>
              <w:spacing w:after="0"/>
              <w:rPr>
                <w:sz w:val="20"/>
                <w:szCs w:val="20"/>
                <w:color w:val="auto"/>
              </w:rPr>
            </w:pP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of dividend</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(38,582)</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restricted cash</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Adopted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2008505</wp:posOffset>
            </wp:positionV>
            <wp:extent cx="15773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RULES RELATING TO THE</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Tuya Inc.</w:t>
      </w:r>
    </w:p>
    <w:p>
      <w:pPr>
        <w:spacing w:after="0" w:line="131" w:lineRule="exact"/>
        <w:rPr>
          <w:sz w:val="20"/>
          <w:szCs w:val="20"/>
          <w:color w:val="auto"/>
        </w:rPr>
      </w:pPr>
    </w:p>
    <w:p>
      <w:pPr>
        <w:ind w:left="4420"/>
        <w:spacing w:after="0" w:line="219" w:lineRule="exact"/>
        <w:rPr>
          <w:sz w:val="20"/>
          <w:szCs w:val="20"/>
          <w:color w:val="auto"/>
        </w:rPr>
      </w:pPr>
      <w:r>
        <w:rPr>
          <w:rFonts w:ascii="SimSun" w:cs="SimSun" w:eastAsia="SimSun" w:hAnsi="SimSun"/>
          <w:sz w:val="18"/>
          <w:szCs w:val="18"/>
          <w:color w:val="auto"/>
          <w:highlight w:val="black"/>
        </w:rPr>
        <w:t>塗鴉智能</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2024 SHARE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225425</wp:posOffset>
            </wp:positionV>
            <wp:extent cx="15773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772795</wp:posOffset>
            </wp:positionV>
            <wp:extent cx="62922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1120" w:top="333" w:right="99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88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Rule</w:t>
            </w:r>
          </w:p>
        </w:tc>
        <w:tc>
          <w:tcPr>
            <w:tcW w:w="888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DEFINITIONS AND INTERPRETATION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PURPOSES OF THE SCHEME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CONDITION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DURATION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 OF THE SCHEME / ELIGIBLE PERSONS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AWARDS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AWARD LETTER AND NOTIFICATION OF GRANT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ISSUE OR TRANSFER OF AWARD SHARES TO TRUSTEE AND ACQUISITION THEREOF BY TRUSTEE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 OF AWARD / PROCEDURES AFTER VESTING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LAPSE OR CANCELLATION OF AWARDS, CLAWBACK</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TRANSFERABILITY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 THE TRUST / RETURNED SHARES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OF CAPITAL STRUCTURE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SCHEME AND GRANT LIMITS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PARTICIPANT CEASING TO BE AN ELIGIBLE PERSON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INTERPRETATION / DISPUTES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ALTERATION OF THE SCHEME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992"/>
        </w:trPr>
        <w:tc>
          <w:tcPr>
            <w:tcW w:w="40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020"/>
          </w:cols>
          <w:pgMar w:left="980" w:top="873" w:right="899" w:bottom="1440" w:gutter="0" w:footer="0" w:header="0"/>
        </w:sectPr>
      </w:pPr>
    </w:p>
    <w:bookmarkStart w:id="239" w:name="page240"/>
    <w:bookmarkEnd w:id="239"/>
    <w:p>
      <w:pPr>
        <w:ind w:left="652" w:hanging="652"/>
        <w:spacing w:after="0"/>
        <w:tabs>
          <w:tab w:leader="none" w:pos="652"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ind w:left="652" w:hanging="647"/>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these Scheme Rules, unless the context otherwise requires, each of the following words and expressions shall have the meaning respectively shown opposite to it:</w:t>
      </w:r>
    </w:p>
    <w:p>
      <w:pPr>
        <w:sectPr>
          <w:pgSz w:w="11900" w:h="16838" w:orient="portrait"/>
          <w:cols w:equalWidth="0" w:num="1">
            <w:col w:w="9912"/>
          </w:cols>
          <w:pgMar w:left="988" w:top="873" w:right="999" w:bottom="1440" w:gutter="0" w:footer="0" w:header="0"/>
        </w:sectPr>
      </w:pPr>
    </w:p>
    <w:p>
      <w:pPr>
        <w:spacing w:after="0" w:line="158"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Actual Selling Price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480"/>
        <w:spacing w:after="0" w:line="256" w:lineRule="auto"/>
        <w:rPr>
          <w:sz w:val="20"/>
          <w:szCs w:val="20"/>
          <w:color w:val="auto"/>
        </w:rPr>
      </w:pPr>
      <w:r>
        <w:rPr>
          <w:rFonts w:ascii="Times New Roman" w:cs="Times New Roman" w:eastAsia="Times New Roman" w:hAnsi="Times New Roman"/>
          <w:sz w:val="18"/>
          <w:szCs w:val="18"/>
          <w:color w:val="auto"/>
        </w:rPr>
        <w:t>an amount that is equal to the actual price at which the Award Shares are sold (net of brokerage, Stock Exchange trading fee, SFC transaction levy, AFRC transaction levy and any other applicable costs) on vesting of an Award pursuant to the Scheme or in the case of a vesting when there is an event of change in control or privatisation of the Company pursuant to Rule 14.1, the consideration receivable under the related scheme or offer;</w:t>
      </w:r>
    </w:p>
    <w:p>
      <w:pPr>
        <w:spacing w:after="0" w:line="183"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ind w:left="69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Adoption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June 20, 2024, being the date on which the Scheme is approved by a resolution of the Company at its general meeting;</w:t>
      </w:r>
    </w:p>
    <w:p>
      <w:pPr>
        <w:spacing w:after="0" w:line="158"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ind w:left="6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480"/>
        <w:spacing w:after="0" w:line="282" w:lineRule="auto"/>
        <w:rPr>
          <w:sz w:val="20"/>
          <w:szCs w:val="20"/>
          <w:color w:val="auto"/>
        </w:rPr>
      </w:pPr>
      <w:r>
        <w:rPr>
          <w:rFonts w:ascii="Times New Roman" w:cs="Times New Roman" w:eastAsia="Times New Roman" w:hAnsi="Times New Roman"/>
          <w:sz w:val="18"/>
          <w:szCs w:val="18"/>
          <w:color w:val="auto"/>
        </w:rPr>
        <w:t>American Depositary Shares, each representing and underlying one (1) Class A Ordinary Share (as amended from time to time);</w:t>
      </w:r>
    </w:p>
    <w:p>
      <w:pPr>
        <w:spacing w:after="0" w:line="158"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ind w:left="6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AFRC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Accounting and Financial Reporting Council;</w:t>
      </w:r>
    </w:p>
    <w:p>
      <w:pPr>
        <w:spacing w:after="0" w:line="200"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spacing w:after="0" w:line="21"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ninth amended and restated articles of association of the Company adopted by a special resolution of the Company on November 1, 2022 and effective on November 1, 2022, as may be amended and/or restated from time to time;</w:t>
      </w:r>
    </w:p>
    <w:p>
      <w:pPr>
        <w:spacing w:after="0" w:line="172"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ind w:left="6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shall have the meaning as set out in the Listing Rules;</w:t>
      </w:r>
    </w:p>
    <w:p>
      <w:pPr>
        <w:spacing w:after="0" w:line="207"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spacing w:after="0" w:line="25"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auditors for the time being of the Company;</w:t>
      </w:r>
    </w:p>
    <w:p>
      <w:pPr>
        <w:spacing w:after="0" w:line="200"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spacing w:after="0" w:line="21"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480"/>
        <w:spacing w:after="0" w:line="258" w:lineRule="auto"/>
        <w:rPr>
          <w:sz w:val="20"/>
          <w:szCs w:val="20"/>
          <w:color w:val="auto"/>
        </w:rPr>
      </w:pPr>
      <w:r>
        <w:rPr>
          <w:rFonts w:ascii="Times New Roman" w:cs="Times New Roman" w:eastAsia="Times New Roman" w:hAnsi="Times New Roman"/>
          <w:sz w:val="18"/>
          <w:szCs w:val="18"/>
          <w:color w:val="auto"/>
        </w:rPr>
        <w:t>an Option or an award granted by the Board (or the Scheme Administrator) to a Selected Participant pursuant to the Scheme, which may vest in the form of Award Shares and/or the Actual Selling Price of the Award Shares in cash, as the Board (or the Scheme Administrator) may determine in accordance with the terms of the Scheme Rules;</w:t>
      </w:r>
    </w:p>
    <w:p>
      <w:pPr>
        <w:spacing w:after="0" w:line="179"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ind w:left="69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Letter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shall have the meaning as set out in Rule 8.1;</w:t>
      </w:r>
    </w:p>
    <w:p>
      <w:pPr>
        <w:spacing w:after="0" w:line="200"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spacing w:after="0" w:line="33"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Period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period of ten years commencing on the date on which the condition set out in Rule 3.1 is fulfilled;</w:t>
      </w:r>
    </w:p>
    <w:p>
      <w:pPr>
        <w:spacing w:after="0" w:line="158"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ind w:left="692"/>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480"/>
        <w:spacing w:after="0" w:line="256" w:lineRule="auto"/>
        <w:rPr>
          <w:sz w:val="20"/>
          <w:szCs w:val="20"/>
          <w:color w:val="auto"/>
        </w:rPr>
      </w:pPr>
      <w:r>
        <w:rPr>
          <w:rFonts w:ascii="Times New Roman" w:cs="Times New Roman" w:eastAsia="Times New Roman" w:hAnsi="Times New Roman"/>
          <w:sz w:val="18"/>
          <w:szCs w:val="18"/>
          <w:color w:val="auto"/>
        </w:rPr>
        <w:t>collectively, (i) the Class A Ordinary Shares and/or (ii) ADSs in an amount equivalent to the number of Class A Ordinary Shares which otherwise would be distributed in lieu of Class A Ordinary Shares in settlement of any Award, in each case, as (i) issued to a Selected Participant, or (ii) transferred to a Selected Participant by the Company (through any transfer out of treasury), or (iii) transferred to, or held on trust for, a Selected Participant by the Trustee pursuant to the exercise of an Award;</w:t>
      </w:r>
    </w:p>
    <w:p>
      <w:pPr>
        <w:spacing w:after="0" w:line="200" w:lineRule="exact"/>
        <w:rPr>
          <w:sz w:val="20"/>
          <w:szCs w:val="20"/>
          <w:color w:val="auto"/>
        </w:rPr>
      </w:pPr>
    </w:p>
    <w:p>
      <w:pPr>
        <w:sectPr>
          <w:pgSz w:w="11900" w:h="16838" w:orient="portrait"/>
          <w:cols w:equalWidth="0" w:num="2">
            <w:col w:w="2472" w:space="720"/>
            <w:col w:w="6720"/>
          </w:cols>
          <w:pgMar w:left="988" w:top="873"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type w:val="continuous"/>
        </w:sectPr>
      </w:pPr>
    </w:p>
    <w:bookmarkStart w:id="240" w:name="page241"/>
    <w:bookmarkEnd w:id="240"/>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lot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ADS ratio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 A Ordinary Shares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240" w:right="580"/>
        <w:spacing w:after="0" w:line="5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connected person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w:t>
      </w:r>
    </w:p>
    <w:p>
      <w:pPr>
        <w:spacing w:after="0" w:line="3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board of directors of the Company, from time to time;</w:t>
      </w:r>
    </w:p>
    <w:p>
      <w:pPr>
        <w:spacing w:after="0" w:line="225" w:lineRule="exact"/>
        <w:rPr>
          <w:sz w:val="20"/>
          <w:szCs w:val="20"/>
          <w:color w:val="auto"/>
        </w:rPr>
      </w:pPr>
    </w:p>
    <w:p>
      <w:pPr>
        <w:jc w:val="both"/>
        <w:ind w:right="39"/>
        <w:spacing w:after="0" w:line="282" w:lineRule="auto"/>
        <w:rPr>
          <w:sz w:val="20"/>
          <w:szCs w:val="20"/>
          <w:color w:val="auto"/>
        </w:rPr>
      </w:pPr>
      <w:r>
        <w:rPr>
          <w:rFonts w:ascii="Times New Roman" w:cs="Times New Roman" w:eastAsia="Times New Roman" w:hAnsi="Times New Roman"/>
          <w:sz w:val="18"/>
          <w:szCs w:val="18"/>
          <w:color w:val="auto"/>
        </w:rPr>
        <w:t>the standardised number of Class A Ordinary Shares as a trading unit from time to time as published on the website of the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day on which the Stock Exchange is open for the business of dealing in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chairman of the Board of the Company,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change in the ratio of ADS(s) representing Class A Ordinary Share(s);</w:t>
      </w:r>
    </w:p>
    <w:p>
      <w:pPr>
        <w:spacing w:after="0" w:line="225" w:lineRule="exact"/>
        <w:rPr>
          <w:sz w:val="20"/>
          <w:szCs w:val="20"/>
          <w:color w:val="auto"/>
        </w:rPr>
      </w:pPr>
    </w:p>
    <w:p>
      <w:pPr>
        <w:jc w:val="both"/>
        <w:ind w:right="39"/>
        <w:spacing w:after="0" w:line="258" w:lineRule="auto"/>
        <w:rPr>
          <w:sz w:val="20"/>
          <w:szCs w:val="20"/>
          <w:color w:val="auto"/>
        </w:rPr>
      </w:pPr>
      <w:r>
        <w:rPr>
          <w:rFonts w:ascii="Times New Roman" w:cs="Times New Roman" w:eastAsia="Times New Roman" w:hAnsi="Times New Roman"/>
          <w:sz w:val="18"/>
          <w:szCs w:val="18"/>
          <w:color w:val="auto"/>
        </w:rPr>
        <w:t>class A ordinary shares in the share capital of the Company with a par value of US$0.00005 each, conferring the holder of a Class A Ordinary Share one (1) vote per share on any resolution tabled at the Company’s general meeting (save for any treasury shares, the holders of which have no voting rights at the general meeting(s) of the Company);</w:t>
      </w:r>
    </w:p>
    <w:p>
      <w:pPr>
        <w:spacing w:after="0" w:line="183" w:lineRule="exact"/>
        <w:rPr>
          <w:sz w:val="20"/>
          <w:szCs w:val="20"/>
          <w:color w:val="auto"/>
        </w:rPr>
      </w:pPr>
    </w:p>
    <w:p>
      <w:pPr>
        <w:jc w:val="both"/>
        <w:ind w:right="39"/>
        <w:spacing w:after="0" w:line="258" w:lineRule="auto"/>
        <w:rPr>
          <w:sz w:val="20"/>
          <w:szCs w:val="20"/>
          <w:color w:val="auto"/>
        </w:rPr>
      </w:pPr>
      <w:r>
        <w:rPr>
          <w:rFonts w:ascii="Times New Roman" w:cs="Times New Roman" w:eastAsia="Times New Roman" w:hAnsi="Times New Roman"/>
          <w:sz w:val="18"/>
          <w:szCs w:val="18"/>
          <w:color w:val="auto"/>
        </w:rPr>
        <w:t>class B ordinary shares in the share capital of the Company with a par value of US$0.00005 each, conferring weighted voting rights in the Company such that the holder of a Class B Ordinary Share shall be entitled to ten (10) votes per share on any resolution tabled at the Company’s general meeting, save for resolutions with respect to any Reserved Matters, in which case they shall be entitled to one vote per share;</w:t>
      </w:r>
    </w:p>
    <w:p>
      <w:pPr>
        <w:spacing w:after="0" w:line="197" w:lineRule="exact"/>
        <w:rPr>
          <w:sz w:val="20"/>
          <w:szCs w:val="20"/>
          <w:color w:val="auto"/>
        </w:rPr>
      </w:pPr>
    </w:p>
    <w:p>
      <w:pPr>
        <w:jc w:val="both"/>
        <w:ind w:right="39"/>
        <w:spacing w:after="0" w:line="232" w:lineRule="exact"/>
        <w:rPr>
          <w:sz w:val="20"/>
          <w:szCs w:val="20"/>
          <w:color w:val="auto"/>
        </w:rPr>
      </w:pPr>
      <w:r>
        <w:rPr>
          <w:rFonts w:ascii="Times New Roman" w:cs="Times New Roman" w:eastAsia="Times New Roman" w:hAnsi="Times New Roman"/>
          <w:sz w:val="18"/>
          <w:szCs w:val="18"/>
          <w:color w:val="auto"/>
        </w:rPr>
        <w:t>Tuya Inc. (</w:t>
      </w:r>
      <w:r>
        <w:rPr>
          <w:rFonts w:ascii="SimSun" w:cs="SimSun" w:eastAsia="SimSun" w:hAnsi="SimSun"/>
          <w:sz w:val="18"/>
          <w:szCs w:val="18"/>
          <w:color w:val="auto"/>
        </w:rPr>
        <w:t>塗鴉智能</w:t>
      </w:r>
      <w:r>
        <w:rPr>
          <w:rFonts w:ascii="Times New Roman" w:cs="Times New Roman" w:eastAsia="Times New Roman" w:hAnsi="Times New Roman"/>
          <w:sz w:val="18"/>
          <w:szCs w:val="18"/>
          <w:color w:val="auto"/>
        </w:rPr>
        <w:t>*), an exempted company with limited liability incorporated in the Cayman Islands on August 28, 2014;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as set out in the Listing Rules;</w:t>
      </w:r>
    </w:p>
    <w:p>
      <w:pPr>
        <w:spacing w:after="0" w:line="225" w:lineRule="exact"/>
        <w:rPr>
          <w:sz w:val="20"/>
          <w:szCs w:val="20"/>
          <w:color w:val="auto"/>
        </w:rPr>
      </w:pP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permanent and total disability, determined by the Board or the Scheme Administrator in accordance with non- discriminatory standards as adopted by the Board or the Scheme Administrator from time to time;</w:t>
      </w:r>
    </w:p>
    <w:p>
      <w:pPr>
        <w:spacing w:after="0" w:line="176" w:lineRule="exact"/>
        <w:rPr>
          <w:sz w:val="20"/>
          <w:szCs w:val="20"/>
          <w:color w:val="auto"/>
        </w:rPr>
      </w:pPr>
    </w:p>
    <w:p>
      <w:pPr>
        <w:jc w:val="both"/>
        <w:ind w:right="39"/>
        <w:spacing w:after="0" w:line="254" w:lineRule="auto"/>
        <w:rPr>
          <w:sz w:val="20"/>
          <w:szCs w:val="20"/>
          <w:color w:val="auto"/>
        </w:rPr>
      </w:pPr>
      <w:r>
        <w:rPr>
          <w:rFonts w:ascii="Times New Roman" w:cs="Times New Roman" w:eastAsia="Times New Roman" w:hAnsi="Times New Roman"/>
          <w:sz w:val="18"/>
          <w:szCs w:val="18"/>
          <w:color w:val="auto"/>
        </w:rPr>
        <w:t>an Employee Participant or a Service Provider, whom the Board or the Scheme Administrator considers, in their sole discretion, to have contributed or will contribute to the Group; however, no individual who is resident in a place where the grant, acceptance or vesting of an Award pursuant to the Scheme is not permitted under the laws or regulations of such place (or a place where, in the view of the Board or the Scheme Administrator, compliance with applicable laws or regulations in such place makes it necessary or expedient to exclude such individual) shall be entitled to participate in the Scheme and such individual shall therefore be excluded from the term “Eligible Person” for purposes of the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360045</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2320" w:space="420"/>
            <w:col w:w="6279"/>
          </w:cols>
          <w:pgMar w:left="1440" w:top="1089" w:right="1440" w:bottom="1440" w:gutter="0" w:footer="0" w:header="0"/>
        </w:sectPr>
      </w:pPr>
    </w:p>
    <w:bookmarkStart w:id="241" w:name="page242"/>
    <w:bookmarkEnd w:id="241"/>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Participant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right="39"/>
        <w:spacing w:after="0" w:line="253" w:lineRule="auto"/>
        <w:rPr>
          <w:sz w:val="20"/>
          <w:szCs w:val="20"/>
          <w:color w:val="auto"/>
        </w:rPr>
      </w:pPr>
      <w:r>
        <w:rPr>
          <w:rFonts w:ascii="Times New Roman" w:cs="Times New Roman" w:eastAsia="Times New Roman" w:hAnsi="Times New Roman"/>
          <w:sz w:val="18"/>
          <w:szCs w:val="18"/>
          <w:color w:val="auto"/>
        </w:rPr>
        <w:t>any person who is (i) an employee (whether full-time or part-time employee) or (ii) a director (including any executive director, non-executive director or independent non-executive director) of any member of the Group, including persons who are granted Awards under the Scheme as an inducement to enter into employment contract with any member of the Group, and for the avoidance of doubt, a Selected Participant shall not cease to be an employee in the case of (a) any leave of absence approved by the relevant member of the Group; or (b) a transfer of employment amongst the members of the Group, and provided further that a person shall, for the avoidance of doubt, cease to be an employee with effect from (and including) the date of termination of his/her employment;</w:t>
      </w:r>
    </w:p>
    <w:p>
      <w:pPr>
        <w:spacing w:after="0" w:line="190" w:lineRule="exact"/>
        <w:rPr>
          <w:sz w:val="20"/>
          <w:szCs w:val="20"/>
          <w:color w:val="auto"/>
        </w:rPr>
      </w:pPr>
    </w:p>
    <w:p>
      <w:pPr>
        <w:sectPr>
          <w:pgSz w:w="11900" w:h="16838" w:orient="portrait"/>
          <w:cols w:equalWidth="0" w:num="2">
            <w:col w:w="2100" w:space="640"/>
            <w:col w:w="6279"/>
          </w:cols>
          <w:pgMar w:left="1440" w:top="1089" w:right="1440" w:bottom="1440" w:gutter="0" w:footer="0" w:header="0"/>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the Securities Exchange Act of 1934, as amended from time to time, and the rules, regulations and guidance thereunder. Any reference to a provision in the Exchange Act shall include any successor provision thereto;</w:t>
      </w:r>
    </w:p>
    <w:p>
      <w:pPr>
        <w:spacing w:after="0" w:line="172"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the price per Award Share at which a Selected Participant may subscribe for upon the exercise of an Option as described in Rule 8.3;</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the date on which the grant of an Award is made to a Selected Participant, being the date of an Award Letter in respect of such Award;</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 xml:space="preserve">the Company, its Subsidiaries and consolidated affiliated entities from time to time, and the expression </w:t>
      </w:r>
      <w:r>
        <w:rPr>
          <w:rFonts w:ascii="Times New Roman" w:cs="Times New Roman" w:eastAsia="Times New Roman" w:hAnsi="Times New Roman"/>
          <w:sz w:val="18"/>
          <w:szCs w:val="18"/>
          <w:b w:val="1"/>
          <w:bCs w:val="1"/>
          <w:i w:val="1"/>
          <w:iCs w:val="1"/>
          <w:color w:val="auto"/>
        </w:rPr>
        <w:t>member of the Group</w:t>
      </w:r>
      <w:r>
        <w:rPr>
          <w:rFonts w:ascii="Times New Roman" w:cs="Times New Roman" w:eastAsia="Times New Roman" w:hAnsi="Times New Roman"/>
          <w:sz w:val="18"/>
          <w:szCs w:val="18"/>
          <w:color w:val="auto"/>
        </w:rPr>
        <w:t xml:space="preserve"> shall be construed accordingly;</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Hong Kong dollars, the lawful currency of Hong Kong;</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Hong Kong</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Hong Kong Special Administrative Region of the People’s Republic of China;</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Individual Limit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have the meaning as set out in Rule 15.4;</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listing of the Class A Ordinary Shares on the Stock Exchange;</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“Listing Rules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9"/>
        <w:spacing w:after="0" w:line="282" w:lineRule="auto"/>
        <w:rPr>
          <w:sz w:val="20"/>
          <w:szCs w:val="20"/>
          <w:color w:val="auto"/>
        </w:rPr>
      </w:pPr>
      <w:r>
        <w:rPr>
          <w:rFonts w:ascii="Times New Roman" w:cs="Times New Roman" w:eastAsia="Times New Roman" w:hAnsi="Times New Roman"/>
          <w:sz w:val="18"/>
          <w:szCs w:val="18"/>
          <w:color w:val="auto"/>
        </w:rPr>
        <w:t>the Rules Governing the Listing of Securities on The Stock Exchange of Hong Kong Limited;</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on-market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the acquisition of Class A Ordinary Shares through one or more transactions through the facilities of the Stock Exchange in accordance with the Listing Rules and any other applicable laws and regulations;</w:t>
      </w:r>
    </w:p>
    <w:p>
      <w:pPr>
        <w:spacing w:after="0" w:line="172"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a right to subscribe for such number of Award Shares during the Option Period at the Exercise Price as the Board (or the Scheme Administrator) may determine in accordance with the terms of the Scheme Rules;</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242" w:name="page243"/>
    <w:bookmarkEnd w:id="242"/>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the period within which a Selected Participant may exercise an Option, to be determined and notified by the Board (or the Scheme Administrator) to a Selected Participant;</w:t>
      </w:r>
    </w:p>
    <w:p>
      <w:pPr>
        <w:spacing w:after="0" w:line="172" w:lineRule="exact"/>
        <w:rPr>
          <w:sz w:val="20"/>
          <w:szCs w:val="20"/>
          <w:color w:val="auto"/>
        </w:rPr>
      </w:pPr>
    </w:p>
    <w:p>
      <w:pPr>
        <w:sectPr>
          <w:pgSz w:w="11900" w:h="16838" w:orient="portrait"/>
          <w:cols w:equalWidth="0" w:num="2">
            <w:col w:w="2020" w:space="720"/>
            <w:col w:w="6279"/>
          </w:cols>
          <w:pgMar w:left="1440" w:top="1089" w:right="1440" w:bottom="1440" w:gutter="0" w:footer="0" w:header="0"/>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Income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39"/>
        <w:spacing w:after="0" w:line="258" w:lineRule="auto"/>
        <w:rPr>
          <w:sz w:val="20"/>
          <w:szCs w:val="20"/>
          <w:color w:val="auto"/>
        </w:rPr>
      </w:pPr>
      <w:r>
        <w:rPr>
          <w:rFonts w:ascii="Times New Roman" w:cs="Times New Roman" w:eastAsia="Times New Roman" w:hAnsi="Times New Roman"/>
          <w:sz w:val="18"/>
          <w:szCs w:val="18"/>
          <w:color w:val="auto"/>
        </w:rPr>
        <w:t>all cash income derived from the vested Award Shares (i.e., cash dividends or other distributions declared and paid on the Award Shares) excluding any interest earned on such cash income and held on trust for the benefit of the Selected Participant, notwithstanding whether such vested Award Shares have been transferred to the Selected Participant;</w:t>
      </w:r>
    </w:p>
    <w:p>
      <w:pPr>
        <w:spacing w:after="0" w:line="179"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Reserved Matters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39"/>
        <w:spacing w:after="0" w:line="255" w:lineRule="auto"/>
        <w:rPr>
          <w:sz w:val="20"/>
          <w:szCs w:val="20"/>
          <w:color w:val="auto"/>
        </w:rPr>
      </w:pPr>
      <w:r>
        <w:rPr>
          <w:rFonts w:ascii="Times New Roman" w:cs="Times New Roman" w:eastAsia="Times New Roman" w:hAnsi="Times New Roman"/>
          <w:sz w:val="18"/>
          <w:szCs w:val="18"/>
          <w:color w:val="auto"/>
        </w:rPr>
        <w:t>those matters resolutions with respect to which each Share is entitled to one vote at general meetings of the Company pursuant to the Listing Rules and the Articles, being: (i) any amendment to the memorandum of association of the Company or Articles, (ii) the variation of the rights attached to any class of Shares, (iii) the appointment, election or removal of any independent non-executive director of the Company, (iv) the appointment or removal of the Company’s auditors, and (v) the voluntary liquidation or winding-up of the Company</w:t>
      </w:r>
    </w:p>
    <w:p>
      <w:pPr>
        <w:spacing w:after="0" w:line="185"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Returned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such Award Shares that are not vested and are forfeited in accordance with the terms of the Scheme, or such Class A Ordinary Shares (or ADSs) being deemed to be Returned Shares under the Scheme Rules;</w:t>
      </w:r>
    </w:p>
    <w:p>
      <w:pPr>
        <w:spacing w:after="0" w:line="172"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the 2024 share scheme adopted by the Company in accordance with these Scheme Rules, as amended from time to time;</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Scheme Administrator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the committee of the Board or person(s) to which the Board has delegated its authority (as applicable) to administer the Scheme in accordance with Rule 5;</w:t>
      </w:r>
    </w:p>
    <w:p>
      <w:pPr>
        <w:spacing w:after="0" w:line="158" w:lineRule="exact"/>
        <w:rPr>
          <w:sz w:val="20"/>
          <w:szCs w:val="20"/>
          <w:color w:val="auto"/>
        </w:rPr>
      </w:pPr>
    </w:p>
    <w:p>
      <w:pPr>
        <w:sectPr>
          <w:pgSz w:w="11900" w:h="16838" w:orient="portrait"/>
          <w:cols w:equalWidth="0" w:num="2">
            <w:col w:w="2140" w:space="60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Scheme Limit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shall have the meaning set out in Rule 15.1, as increased, refreshed or renewed from time to time in accordance with the Scheme Rules;</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Scheme Rules (or Rule)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rules set out herein relating to the Scheme as amended from time to time;</w:t>
      </w:r>
    </w:p>
    <w:p>
      <w:pPr>
        <w:spacing w:after="0" w:line="200" w:lineRule="exact"/>
        <w:rPr>
          <w:sz w:val="20"/>
          <w:szCs w:val="20"/>
          <w:color w:val="auto"/>
        </w:rPr>
      </w:pPr>
    </w:p>
    <w:p>
      <w:pPr>
        <w:sectPr>
          <w:pgSz w:w="11900" w:h="16838" w:orient="portrait"/>
          <w:cols w:equalWidth="0" w:num="2">
            <w:col w:w="2200" w:space="540"/>
            <w:col w:w="6279"/>
          </w:cols>
          <w:pgMar w:left="1440" w:top="1089" w:right="1440"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Selected Participant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9"/>
        <w:spacing w:after="0" w:line="282" w:lineRule="auto"/>
        <w:rPr>
          <w:sz w:val="20"/>
          <w:szCs w:val="20"/>
          <w:color w:val="auto"/>
        </w:rPr>
      </w:pPr>
      <w:r>
        <w:rPr>
          <w:rFonts w:ascii="Times New Roman" w:cs="Times New Roman" w:eastAsia="Times New Roman" w:hAnsi="Times New Roman"/>
          <w:sz w:val="18"/>
          <w:szCs w:val="18"/>
          <w:color w:val="auto"/>
        </w:rPr>
        <w:t>any Eligible Person approved for participation in the Scheme and who has been granted any Award pursuant to Rule 6.1;</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Providers Limit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shall have the meaning as set out in Rule 15.1;</w:t>
      </w:r>
    </w:p>
    <w:p>
      <w:pPr>
        <w:spacing w:after="0" w:line="200" w:lineRule="exact"/>
        <w:rPr>
          <w:sz w:val="20"/>
          <w:szCs w:val="20"/>
          <w:color w:val="auto"/>
        </w:rPr>
      </w:pPr>
    </w:p>
    <w:p>
      <w:pPr>
        <w:sectPr>
          <w:pgSz w:w="11900" w:h="16838" w:orient="portrait"/>
          <w:cols w:equalWidth="0" w:num="2">
            <w:col w:w="2220" w:space="520"/>
            <w:col w:w="6279"/>
          </w:cols>
          <w:pgMar w:left="1440" w:top="10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374650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243" w:name="page244"/>
    <w:bookmarkEnd w:id="243"/>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39"/>
        <w:spacing w:after="0" w:line="254" w:lineRule="auto"/>
        <w:rPr>
          <w:sz w:val="20"/>
          <w:szCs w:val="20"/>
          <w:color w:val="auto"/>
        </w:rPr>
      </w:pPr>
      <w:r>
        <w:rPr>
          <w:rFonts w:ascii="Times New Roman" w:cs="Times New Roman" w:eastAsia="Times New Roman" w:hAnsi="Times New Roman"/>
          <w:sz w:val="18"/>
          <w:szCs w:val="18"/>
          <w:color w:val="auto"/>
        </w:rPr>
        <w:t>any person or corporate entity (other than an employee or a director of any member of the Group) who provides services to the Group on a continuing or recurring basis in its ordinary and usual course of business which are in the interests of the long-term development of the Group. Service Provider may include persons who work for the Group as independent contractors where the continuity and frequency of their services are akin to those of employees (but excluding any placing agents or financial advisers providing advisory services for fundraising, mergers or acquisitions and any professional service providers who provide assurance or who are required to perform their services with impartiality and objectivity);</w:t>
      </w:r>
    </w:p>
    <w:p>
      <w:pPr>
        <w:spacing w:after="0" w:line="184" w:lineRule="exact"/>
        <w:rPr>
          <w:sz w:val="20"/>
          <w:szCs w:val="20"/>
          <w:color w:val="auto"/>
        </w:rPr>
      </w:pPr>
    </w:p>
    <w:p>
      <w:pPr>
        <w:sectPr>
          <w:pgSz w:w="11900" w:h="16838" w:orient="portrait"/>
          <w:cols w:equalWidth="0" w:num="2">
            <w:col w:w="2020" w:space="720"/>
            <w:col w:w="6279"/>
          </w:cols>
          <w:pgMar w:left="1440" w:top="1089" w:right="1440" w:bottom="1440" w:gutter="0" w:footer="0" w:header="0"/>
        </w:sect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Securities and Futures Commission of Hong Kong;</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and Futures Ordinance (Chapter 571 of the laws of Hong Kong);</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of the Company;</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9"/>
        <w:spacing w:after="0" w:line="282" w:lineRule="auto"/>
        <w:rPr>
          <w:sz w:val="20"/>
          <w:szCs w:val="20"/>
          <w:color w:val="auto"/>
        </w:rPr>
      </w:pPr>
      <w:r>
        <w:rPr>
          <w:rFonts w:ascii="Times New Roman" w:cs="Times New Roman" w:eastAsia="Times New Roman" w:hAnsi="Times New Roman"/>
          <w:sz w:val="18"/>
          <w:szCs w:val="18"/>
          <w:color w:val="auto"/>
        </w:rPr>
        <w:t>collectively, the Class A Ordinary Shares and Class B Ordinary Shares, as the context so requires;</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Exchange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Stock Exchange of Hong Kong Limited;</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subsidiary (as the term is defined in the Listing Rules) of the Company;</w:t>
      </w:r>
    </w:p>
    <w:p>
      <w:pPr>
        <w:spacing w:after="0" w:line="207" w:lineRule="exact"/>
        <w:rPr>
          <w:sz w:val="20"/>
          <w:szCs w:val="20"/>
          <w:color w:val="auto"/>
        </w:rPr>
      </w:pPr>
    </w:p>
    <w:p>
      <w:pPr>
        <w:sectPr>
          <w:pgSz w:w="11900" w:h="16838" w:orient="portrait"/>
          <w:cols w:equalWidth="0" w:num="2">
            <w:col w:w="2580" w:space="160"/>
            <w:col w:w="6279"/>
          </w:cols>
          <w:pgMar w:left="1440" w:top="1089" w:right="1440" w:bottom="1440" w:gutter="0" w:footer="0" w:header="0"/>
          <w:type w:val="continuous"/>
        </w:sectPr>
      </w:pP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Substantial shareholder(s)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have the meaning as set out in the Listing Rules;</w:t>
      </w:r>
    </w:p>
    <w:p>
      <w:pPr>
        <w:spacing w:after="0" w:line="200" w:lineRule="exact"/>
        <w:rPr>
          <w:sz w:val="20"/>
          <w:szCs w:val="20"/>
          <w:color w:val="auto"/>
        </w:rPr>
      </w:pPr>
    </w:p>
    <w:p>
      <w:pPr>
        <w:sectPr>
          <w:pgSz w:w="11900" w:h="16838" w:orient="portrait"/>
          <w:cols w:equalWidth="0" w:num="2">
            <w:col w:w="2420" w:space="320"/>
            <w:col w:w="6279"/>
          </w:cols>
          <w:pgMar w:left="1440" w:top="1089" w:right="1440"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have the meaning as set out in Rule 10.12;</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have the meaning as set out in the Listing Rules;</w:t>
      </w:r>
    </w:p>
    <w:p>
      <w:pPr>
        <w:spacing w:after="0" w:line="200"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9"/>
        <w:spacing w:after="0" w:line="282" w:lineRule="auto"/>
        <w:rPr>
          <w:sz w:val="20"/>
          <w:szCs w:val="20"/>
          <w:color w:val="auto"/>
        </w:rPr>
      </w:pPr>
      <w:r>
        <w:rPr>
          <w:rFonts w:ascii="Times New Roman" w:cs="Times New Roman" w:eastAsia="Times New Roman" w:hAnsi="Times New Roman"/>
          <w:sz w:val="18"/>
          <w:szCs w:val="18"/>
          <w:color w:val="auto"/>
        </w:rPr>
        <w:t>a trust or other similar arrangement established for purposes of implementing and/or administering the Scheme;</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 Deed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39"/>
        <w:spacing w:after="0" w:line="266" w:lineRule="auto"/>
        <w:rPr>
          <w:sz w:val="20"/>
          <w:szCs w:val="20"/>
          <w:color w:val="auto"/>
        </w:rPr>
      </w:pPr>
      <w:r>
        <w:rPr>
          <w:rFonts w:ascii="Times New Roman" w:cs="Times New Roman" w:eastAsia="Times New Roman" w:hAnsi="Times New Roman"/>
          <w:sz w:val="18"/>
          <w:szCs w:val="18"/>
          <w:color w:val="auto"/>
        </w:rPr>
        <w:t>the deed constituting and/or governing a Trust or such other governing or custodian arrangements or documents entered into between the Company and a Trustee (as may be restated, supplemented and amended from time to time);</w:t>
      </w:r>
    </w:p>
    <w:p>
      <w:pPr>
        <w:spacing w:after="0" w:line="172"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9"/>
        <w:spacing w:after="0" w:line="282" w:lineRule="auto"/>
        <w:rPr>
          <w:sz w:val="20"/>
          <w:szCs w:val="20"/>
          <w:color w:val="auto"/>
        </w:rPr>
      </w:pPr>
      <w:r>
        <w:rPr>
          <w:rFonts w:ascii="Times New Roman" w:cs="Times New Roman" w:eastAsia="Times New Roman" w:hAnsi="Times New Roman"/>
          <w:sz w:val="18"/>
          <w:szCs w:val="18"/>
          <w:color w:val="auto"/>
        </w:rPr>
        <w:t>any trustee or third party appointed by the Company for purposes of administering and/or holding Class A Ordinary Shares and/or ADSs under a Trust; and</w:t>
      </w:r>
    </w:p>
    <w:p>
      <w:pPr>
        <w:spacing w:after="0" w:line="158"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Vesting Date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39"/>
        <w:spacing w:after="0" w:line="257" w:lineRule="auto"/>
        <w:rPr>
          <w:sz w:val="20"/>
          <w:szCs w:val="20"/>
          <w:color w:val="auto"/>
        </w:rPr>
      </w:pPr>
      <w:r>
        <w:rPr>
          <w:rFonts w:ascii="Times New Roman" w:cs="Times New Roman" w:eastAsia="Times New Roman" w:hAnsi="Times New Roman"/>
          <w:sz w:val="18"/>
          <w:szCs w:val="18"/>
          <w:color w:val="auto"/>
        </w:rPr>
        <w:t>the date or dates, as determined from time to time by the Board (or the Scheme Administrator) pursuant to Rule 10.1, on which the Award (or part thereof) is to vest in the relevant Selected Participant following which the Selected Participant may</w:t>
      </w:r>
    </w:p>
    <w:p>
      <w:pPr>
        <w:spacing w:after="0" w:line="1" w:lineRule="exact"/>
        <w:rPr>
          <w:sz w:val="20"/>
          <w:szCs w:val="20"/>
          <w:color w:val="auto"/>
        </w:rPr>
      </w:pPr>
    </w:p>
    <w:p>
      <w:pPr>
        <w:sectPr>
          <w:pgSz w:w="11900" w:h="16838" w:orient="portrait"/>
          <w:cols w:equalWidth="0" w:num="2">
            <w:col w:w="2020" w:space="720"/>
            <w:col w:w="6279"/>
          </w:cols>
          <w:pgMar w:left="1440" w:top="1089" w:right="1440" w:bottom="1440" w:gutter="0" w:footer="0" w:header="0"/>
          <w:type w:val="continuous"/>
        </w:sectPr>
      </w:pPr>
    </w:p>
    <w:p>
      <w:pPr>
        <w:ind w:left="2740" w:right="39"/>
        <w:spacing w:after="0" w:line="260" w:lineRule="auto"/>
        <w:rPr>
          <w:sz w:val="20"/>
          <w:szCs w:val="20"/>
          <w:color w:val="auto"/>
        </w:rPr>
      </w:pPr>
      <w:r>
        <w:rPr>
          <w:rFonts w:ascii="Times New Roman" w:cs="Times New Roman" w:eastAsia="Times New Roman" w:hAnsi="Times New Roman"/>
          <w:sz w:val="18"/>
          <w:szCs w:val="18"/>
          <w:color w:val="auto"/>
        </w:rPr>
        <w:t>exercise the Award, unless a different Vesting Date is deemed to occur in accordance with the terms of the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244" w:name="page245"/>
    <w:bookmarkEnd w:id="24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these Scheme Rules, except where the context otherwise requires:</w:t>
      </w:r>
    </w:p>
    <w:p>
      <w:pPr>
        <w:spacing w:after="0" w:line="225"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Rules are to rules of the Scheme Rules;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of the day are to Hong Kong time;</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period of time is specified as from a given day, or from the day of an act or event, it shall be calculated exclusive of that day;</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be construed as a reference to the lawful currency for the time being of Hong Kong;</w:t>
      </w:r>
    </w:p>
    <w:p>
      <w:pPr>
        <w:spacing w:after="0" w:line="15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express or implied, to statutes, statutory provisions or the Listing Rules shall be construed as references to those statutes, provisions or rules as respectively amended or re-enacted or as their application is modified from time to time by other provisions (whether before or after the date hereof) and shall include any statutes, provisions or rules of which are re-enacted (whether with or without modification) and shall include any orders, regulations, instruments, subsidiary legislation, other subordinate legislation or practice notes under the relevant statute, provision or rule;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Board can make determinations in its absolute discretion and if the Board delegates its authority to administer the Scheme to a committee of the Board or other person(s), the committee of the Board or such other person(s) shall enjoy the same absolute discretion;</w:t>
      </w:r>
    </w:p>
    <w:p>
      <w:pPr>
        <w:spacing w:after="0" w:line="17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be deemed to be followed by the words “</w:t>
      </w:r>
      <w:r>
        <w:rPr>
          <w:rFonts w:ascii="Times New Roman" w:cs="Times New Roman" w:eastAsia="Times New Roman" w:hAnsi="Times New Roman"/>
          <w:sz w:val="18"/>
          <w:szCs w:val="18"/>
          <w:b w:val="1"/>
          <w:bCs w:val="1"/>
          <w:color w:val="auto"/>
        </w:rPr>
        <w:t>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limitation</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include the plural and vice versa, and words importing a gender include every gender;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included in the Scheme Rules for convenience only and do not affect its interpretation;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statutory body shall include the successor thereof and anybody established to replace or assume the functions of the same.</w:t>
      </w:r>
    </w:p>
    <w:p>
      <w:pPr>
        <w:spacing w:after="0" w:line="158"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PURPOSES OF THE SCHEME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purposes of the Scheme are:</w:t>
      </w:r>
    </w:p>
    <w:p>
      <w:pPr>
        <w:spacing w:after="0" w:line="225" w:lineRule="exact"/>
        <w:rPr>
          <w:sz w:val="20"/>
          <w:szCs w:val="20"/>
          <w:color w:val="auto"/>
        </w:rPr>
      </w:pPr>
    </w:p>
    <w:p>
      <w:pPr>
        <w:ind w:left="1300" w:hanging="644"/>
        <w:spacing w:after="0" w:line="282" w:lineRule="auto"/>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the interests of Eligible Persons with those of the Group through ownership of Award Shares, dividends and other distributions paid on Award Shares and/or the increase in value of the Award Shares;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encourage and retain Eligible Persons to make contributions to the long-term development and profits of the Group.</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Scheme shall take effect upon the passing of a resolution by the Shareholders to approve the adoption of the Scheme and to authorise the Board (or the Scheme Administrator) to grant Awards under the Scheme and to allot and issue, procure the transfer of and otherwise deal with the Award Shares in connection with the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45" w:name="page246"/>
    <w:bookmarkEnd w:id="245"/>
    <w:p>
      <w:pPr>
        <w:ind w:left="652" w:hanging="652"/>
        <w:spacing w:after="0"/>
        <w:tabs>
          <w:tab w:leader="none" w:pos="652"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DURATION</w:t>
      </w:r>
    </w:p>
    <w:p>
      <w:pPr>
        <w:spacing w:after="0" w:line="229" w:lineRule="exact"/>
        <w:rPr>
          <w:sz w:val="20"/>
          <w:szCs w:val="20"/>
          <w:color w:val="auto"/>
        </w:rPr>
      </w:pPr>
    </w:p>
    <w:p>
      <w:pPr>
        <w:jc w:val="both"/>
        <w:ind w:left="652" w:hanging="647"/>
        <w:spacing w:after="0" w:line="255" w:lineRule="auto"/>
        <w:tabs>
          <w:tab w:leader="none" w:pos="631"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Subject to Rule 19, the Scheme shall be valid and effective for the Award Period (after which no further Awards will be granted under the Scheme), and thereafter for so long as there are any unvested Award granted hereunder prior to the expiration of the Scheme, in order to give effect to the vesting of such Award or otherwise as may be required in accordance with the provisions of the Scheme Rules. For the avoidance of doubt, Options granted during the life of the Scheme shall continue to be valid and exercisable in accordance with their terms of grant within the Option Period and that the provisions of the Scheme shall remain in full force and effect to the extent necessary to give effect to the exercise of Options granted prior to the expiration of the Scheme.</w:t>
      </w:r>
    </w:p>
    <w:p>
      <w:pPr>
        <w:spacing w:after="0" w:line="185" w:lineRule="exact"/>
        <w:rPr>
          <w:sz w:val="20"/>
          <w:szCs w:val="20"/>
          <w:color w:val="auto"/>
        </w:rPr>
      </w:pPr>
    </w:p>
    <w:p>
      <w:pPr>
        <w:ind w:left="652" w:hanging="652"/>
        <w:spacing w:after="0"/>
        <w:tabs>
          <w:tab w:leader="none" w:pos="652"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left="652" w:hanging="647"/>
        <w:spacing w:after="0" w:line="266" w:lineRule="auto"/>
        <w:tabs>
          <w:tab w:leader="none" w:pos="631"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Scheme shall be subject to the administration of the Board or the Scheme Administrator in accordance with the Scheme Rules and, where applicable, the Trust Deed. A decision of the Board or the Scheme Administrator shall be final and binding on all persons affected thereby.</w:t>
      </w:r>
    </w:p>
    <w:p>
      <w:pPr>
        <w:spacing w:after="0" w:line="176" w:lineRule="exact"/>
        <w:rPr>
          <w:sz w:val="20"/>
          <w:szCs w:val="20"/>
          <w:color w:val="auto"/>
        </w:rPr>
      </w:pPr>
    </w:p>
    <w:p>
      <w:pPr>
        <w:jc w:val="both"/>
        <w:ind w:left="652" w:hanging="647"/>
        <w:spacing w:after="0" w:line="266" w:lineRule="auto"/>
        <w:tabs>
          <w:tab w:leader="none" w:pos="631"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authority to administer the Scheme may be delegated by the Board to the Scheme Administrator at the sole discretion of the Board, provided that nothing in this Rule 5.2 shall prejudice the Board’s power to revoke such delegation at any time or derogate from the discretion rested with the Board as contemplated in Rule 5.1.</w:t>
      </w:r>
    </w:p>
    <w:p>
      <w:pPr>
        <w:spacing w:after="0" w:line="176" w:lineRule="exact"/>
        <w:rPr>
          <w:sz w:val="20"/>
          <w:szCs w:val="20"/>
          <w:color w:val="auto"/>
        </w:rPr>
      </w:pPr>
    </w:p>
    <w:p>
      <w:pPr>
        <w:jc w:val="both"/>
        <w:ind w:left="652" w:hanging="647"/>
        <w:spacing w:after="0" w:line="258" w:lineRule="auto"/>
        <w:tabs>
          <w:tab w:leader="none" w:pos="631"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Without prejudice to the Board’s general power of administration, the Board or the Scheme Administrator may from time to time appoint one or more administrators, who may be independent third-party contractors, to assist in the administration of the Scheme, to whom they, at their sole discretion, may delegate such functions relating to the administration of the Scheme as they may think fit. The duration of office, terms of reference and remuneration (if any) of such administrator(s) shall be determined by the Board or the Scheme Administrator at their sole discretion from time to time.</w:t>
      </w:r>
    </w:p>
    <w:p>
      <w:pPr>
        <w:spacing w:after="0" w:line="183" w:lineRule="exact"/>
        <w:rPr>
          <w:sz w:val="20"/>
          <w:szCs w:val="20"/>
          <w:color w:val="auto"/>
        </w:rPr>
      </w:pPr>
    </w:p>
    <w:p>
      <w:pPr>
        <w:jc w:val="both"/>
        <w:ind w:left="652" w:hanging="647"/>
        <w:spacing w:after="0" w:line="256" w:lineRule="auto"/>
        <w:tabs>
          <w:tab w:leader="none" w:pos="631"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Without prejudice to the Board’s general power of administration, to the extent not prohibited by applicable laws and regulations, the Board (or the Scheme Administrator) may also from time to time establish a Trust, approve the terms of any Trust Deed and appoint one or more Trustees in respect of granting, administration and/or vesting of any Award Shares. The administration and operation of the Trust shall be governed by the Trust Deed. Unless otherwise agreed between the Company and the Trustee, the Board (or the Scheme Administrator) shall act on behalf of the Company to give instructions to and direct the Trustee.</w:t>
      </w:r>
    </w:p>
    <w:p>
      <w:pPr>
        <w:spacing w:after="0" w:line="187" w:lineRule="exact"/>
        <w:rPr>
          <w:sz w:val="20"/>
          <w:szCs w:val="20"/>
          <w:color w:val="auto"/>
        </w:rPr>
      </w:pPr>
    </w:p>
    <w:p>
      <w:pPr>
        <w:jc w:val="both"/>
        <w:ind w:left="652" w:hanging="647"/>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Subject to the Scheme Rules, the Listing Rules and any applicable laws and regulations, the Board and the Scheme Administrator shall have the power in its discretion from time to time to:</w:t>
      </w:r>
    </w:p>
    <w:p>
      <w:pPr>
        <w:spacing w:after="0" w:line="162" w:lineRule="exact"/>
        <w:rPr>
          <w:sz w:val="20"/>
          <w:szCs w:val="20"/>
          <w:color w:val="auto"/>
        </w:rPr>
      </w:pPr>
    </w:p>
    <w:p>
      <w:pPr>
        <w:ind w:left="1292" w:hanging="644"/>
        <w:spacing w:after="0"/>
        <w:tabs>
          <w:tab w:leader="none" w:pos="12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Scheme Rules and the terms of the Awards granted under the Scheme;</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vary such arrangements, guidelines, procedures and/or regulations for the administration, interpretation, implementation and operation of the Scheme, provided that they are not inconsistent with the Scheme Rules;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Awards to those Eligible Persons whom it shall select from time to time and determine the type(s) of Awards to be granted to Eligible Persons;</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and form of Award Shares to which an Award will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3" w:right="999" w:bottom="1440" w:gutter="0" w:footer="0" w:header="0"/>
        </w:sectPr>
      </w:pPr>
    </w:p>
    <w:bookmarkStart w:id="246" w:name="page247"/>
    <w:bookmarkEnd w:id="246"/>
    <w:p>
      <w:pPr>
        <w:ind w:left="1292" w:right="20" w:hanging="644"/>
        <w:spacing w:after="0" w:line="282" w:lineRule="auto"/>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the Awards and make any such appropriate adjustments to the terms of the Awards granted as it deems necessary or appropriate;</w:t>
      </w:r>
    </w:p>
    <w:p>
      <w:pPr>
        <w:spacing w:after="0" w:line="161" w:lineRule="exact"/>
        <w:rPr>
          <w:rFonts w:ascii="Times New Roman" w:cs="Times New Roman" w:eastAsia="Times New Roman" w:hAnsi="Times New Roman"/>
          <w:sz w:val="18"/>
          <w:szCs w:val="18"/>
          <w:color w:val="auto"/>
        </w:rPr>
      </w:pPr>
    </w:p>
    <w:p>
      <w:pPr>
        <w:jc w:val="both"/>
        <w:ind w:left="1292" w:right="20" w:hanging="644"/>
        <w:spacing w:after="0" w:line="266" w:lineRule="auto"/>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to what extent, and circumstances pursuant to which an Award may be settled in, or the exercise price of an Award may be paid in, cash, Award Shares, other Awards or other property, or an Award may be cancelled, forfeited and/or surrendered;</w:t>
      </w:r>
    </w:p>
    <w:p>
      <w:pPr>
        <w:spacing w:after="0" w:line="17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 Eligible Person’s contribution to and/or business relationship with any member of the Group;</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administer performance targets in respect of the Scheme;</w:t>
      </w:r>
    </w:p>
    <w:p>
      <w:pPr>
        <w:spacing w:after="0" w:line="225"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form of an Award Letter (which does not need to be identical for every Selected Participant);</w:t>
      </w:r>
    </w:p>
    <w:p>
      <w:pPr>
        <w:spacing w:after="0" w:line="225"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Trust, appoint a Trustee, approve the terms of any Trust Deed and make such other arrangements for the implementation and administration of the Scheme as the Board shall see fit;</w:t>
      </w:r>
    </w:p>
    <w:p>
      <w:pPr>
        <w:spacing w:after="0" w:line="161" w:lineRule="exact"/>
        <w:rPr>
          <w:rFonts w:ascii="Times New Roman" w:cs="Times New Roman" w:eastAsia="Times New Roman" w:hAnsi="Times New Roman"/>
          <w:sz w:val="18"/>
          <w:szCs w:val="18"/>
          <w:color w:val="auto"/>
        </w:rPr>
      </w:pPr>
    </w:p>
    <w:p>
      <w:pPr>
        <w:ind w:left="1292" w:hanging="644"/>
        <w:spacing w:after="0" w:line="282" w:lineRule="auto"/>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any other matters that need to be determined in connection with an Award and make any other determination and take any other actions as it deems necessary or desirable for the administration of the Scheme; and</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other steps or actions to give effect to the terms and intent of the Scheme Rules and/or the Awards.</w:t>
      </w:r>
    </w:p>
    <w:p>
      <w:pPr>
        <w:spacing w:after="0" w:line="225" w:lineRule="exact"/>
        <w:rPr>
          <w:sz w:val="20"/>
          <w:szCs w:val="20"/>
          <w:color w:val="auto"/>
        </w:rPr>
      </w:pPr>
    </w:p>
    <w:p>
      <w:pPr>
        <w:jc w:val="both"/>
        <w:ind w:left="652" w:hanging="647"/>
        <w:spacing w:after="0" w:line="266" w:lineRule="auto"/>
        <w:tabs>
          <w:tab w:leader="none" w:pos="631"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None of the directors of the Company or any person(s) to whom the Board has delegated its authority shall be personally liable by reason of any contract or other instrument executed by him/her, or on his/her behalf or for any mistake of judgment made in good faith, for the purposes of the Scheme.</w:t>
      </w:r>
    </w:p>
    <w:p>
      <w:pPr>
        <w:spacing w:after="0" w:line="172" w:lineRule="exact"/>
        <w:rPr>
          <w:sz w:val="20"/>
          <w:szCs w:val="20"/>
          <w:color w:val="auto"/>
        </w:rPr>
      </w:pPr>
    </w:p>
    <w:p>
      <w:pPr>
        <w:ind w:left="652" w:hanging="652"/>
        <w:spacing w:after="0"/>
        <w:tabs>
          <w:tab w:leader="none" w:pos="652"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 OF THE SCHEME / ELIGIBLE PERSONS</w:t>
      </w:r>
    </w:p>
    <w:p>
      <w:pPr>
        <w:spacing w:after="0" w:line="229" w:lineRule="exact"/>
        <w:rPr>
          <w:sz w:val="20"/>
          <w:szCs w:val="20"/>
          <w:color w:val="auto"/>
        </w:rPr>
      </w:pPr>
    </w:p>
    <w:p>
      <w:pPr>
        <w:jc w:val="both"/>
        <w:ind w:left="652" w:hanging="647"/>
        <w:spacing w:after="0" w:line="255" w:lineRule="auto"/>
        <w:tabs>
          <w:tab w:leader="none" w:pos="631"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Board (or the Scheme Administrator) may, from time to time, select any Eligible Person to be a Selected Participant and, subject to Rule 6.4, grant an Award to such Selected Participant during the Award Period. The nature, amount, terms and conditions of any such Award so granted shall be determined by the Board (or the Scheme Administrator) in its sole and absolute discretion, subject to these Scheme Rules. Where Award Shares underlying an Award are not to be satisfied by way of</w:t>
      </w:r>
    </w:p>
    <w:p>
      <w:pPr>
        <w:spacing w:after="0" w:line="3" w:lineRule="exact"/>
        <w:rPr>
          <w:sz w:val="20"/>
          <w:szCs w:val="20"/>
          <w:color w:val="auto"/>
        </w:rPr>
      </w:pPr>
    </w:p>
    <w:p>
      <w:pPr>
        <w:jc w:val="both"/>
        <w:ind w:left="652" w:hanging="4"/>
        <w:spacing w:after="0" w:line="252" w:lineRule="auto"/>
        <w:tabs>
          <w:tab w:leader="none" w:pos="87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and allotment of, or transfer of (in the case of any treasury shares) Class A Ordinary Shares or equivalent ADSs by the Company or (ii) distribution of ADSs in an amount equivalent to the number of Class A Ordinary Shares which otherwise would be distributed in settlement of any award, to the extent permissible under Chapter 17 of the Listing Rules and other applicable laws, rules and regulations, the Board (or the Scheme Administrator) may at its discretion make a determination to waive, modify and/or vary the application of any terms of the Scheme Rules to the Award and/or the relevant Selected Participant(s) as it may deem appropriate.</w:t>
      </w:r>
    </w:p>
    <w:p>
      <w:pPr>
        <w:spacing w:after="0" w:line="190" w:lineRule="exact"/>
        <w:rPr>
          <w:sz w:val="20"/>
          <w:szCs w:val="20"/>
          <w:color w:val="auto"/>
        </w:rPr>
      </w:pPr>
    </w:p>
    <w:p>
      <w:pPr>
        <w:ind w:left="652" w:hanging="647"/>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In determining the Selected Participants, the Board (or the Scheme Administrator) may take into consideration matters including (but not limited to) the present and potential contribution of the relevant Selected Participant to the Group.</w:t>
      </w:r>
    </w:p>
    <w:p>
      <w:pPr>
        <w:spacing w:after="0" w:line="162" w:lineRule="exact"/>
        <w:rPr>
          <w:sz w:val="20"/>
          <w:szCs w:val="20"/>
          <w:color w:val="auto"/>
        </w:rPr>
      </w:pPr>
    </w:p>
    <w:p>
      <w:pPr>
        <w:ind w:left="652" w:hanging="647"/>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In assessing a Service Provider’s eligibility as Selected Participant, the Board (including the independent non-executive director of the Company) may also take into account a range of factors, including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7" w:name="page248"/>
    <w:bookmarkEnd w:id="247"/>
    <w:p>
      <w:pPr>
        <w:ind w:left="1280" w:hanging="644"/>
        <w:spacing w:after="0"/>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scale of their business dealings with the Group (in terms of fees payable to them, where applicable);</w:t>
      </w:r>
    </w:p>
    <w:p>
      <w:pPr>
        <w:spacing w:after="0" w:line="225"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business relationships between them and the Group;</w:t>
      </w:r>
    </w:p>
    <w:p>
      <w:pPr>
        <w:spacing w:after="0" w:line="225" w:lineRule="exact"/>
        <w:rPr>
          <w:rFonts w:ascii="Times New Roman" w:cs="Times New Roman" w:eastAsia="Times New Roman" w:hAnsi="Times New Roman"/>
          <w:sz w:val="18"/>
          <w:szCs w:val="18"/>
          <w:color w:val="auto"/>
        </w:rPr>
      </w:pPr>
    </w:p>
    <w:p>
      <w:pPr>
        <w:ind w:left="1280" w:hanging="644"/>
        <w:spacing w:after="0" w:line="282" w:lineRule="auto"/>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relevant person or entity as a Service Provider, including the quality of their services previously provided to the Group;</w:t>
      </w:r>
    </w:p>
    <w:p>
      <w:pPr>
        <w:spacing w:after="0" w:line="161" w:lineRule="exact"/>
        <w:rPr>
          <w:rFonts w:ascii="Times New Roman" w:cs="Times New Roman" w:eastAsia="Times New Roman" w:hAnsi="Times New Roman"/>
          <w:sz w:val="18"/>
          <w:szCs w:val="18"/>
          <w:color w:val="auto"/>
        </w:rPr>
      </w:pPr>
    </w:p>
    <w:p>
      <w:pPr>
        <w:jc w:val="both"/>
        <w:ind w:left="1280" w:hanging="644"/>
        <w:spacing w:after="0" w:line="266" w:lineRule="auto"/>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contributions to the profits and/or business development of the Group and potential contributions to be made to the Group in light of their experience, qualifications, know-how and/or network, market conditions of the services that they provide to the Group;</w:t>
      </w:r>
    </w:p>
    <w:p>
      <w:pPr>
        <w:spacing w:after="0" w:line="175"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scarcity of their services which may therefore justify compensation in the long run;</w:t>
      </w:r>
    </w:p>
    <w:p>
      <w:pPr>
        <w:spacing w:after="0" w:line="225" w:lineRule="exact"/>
        <w:rPr>
          <w:rFonts w:ascii="Times New Roman" w:cs="Times New Roman" w:eastAsia="Times New Roman" w:hAnsi="Times New Roman"/>
          <w:sz w:val="18"/>
          <w:szCs w:val="18"/>
          <w:color w:val="auto"/>
        </w:rPr>
      </w:pPr>
    </w:p>
    <w:p>
      <w:pPr>
        <w:jc w:val="both"/>
        <w:ind w:left="1280" w:right="20" w:hanging="644"/>
        <w:spacing w:after="0" w:line="312" w:lineRule="auto"/>
        <w:tabs>
          <w:tab w:leader="none" w:pos="12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developing a long term business relationship with such person as a Service Provider, to secure the supply of quality services for the Group, which may avoid replacement cost and reduce transaction cost in the long run;</w:t>
      </w:r>
    </w:p>
    <w:p>
      <w:pPr>
        <w:spacing w:after="0" w:line="139" w:lineRule="exact"/>
        <w:rPr>
          <w:rFonts w:ascii="Times New Roman" w:cs="Times New Roman" w:eastAsia="Times New Roman" w:hAnsi="Times New Roman"/>
          <w:sz w:val="17"/>
          <w:szCs w:val="17"/>
          <w:color w:val="auto"/>
        </w:rPr>
      </w:pPr>
    </w:p>
    <w:p>
      <w:pPr>
        <w:ind w:left="1280" w:hanging="644"/>
        <w:spacing w:after="0"/>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positive impact they have brought to the Group’s business development; and</w:t>
      </w:r>
    </w:p>
    <w:p>
      <w:pPr>
        <w:spacing w:after="0" w:line="225" w:lineRule="exact"/>
        <w:rPr>
          <w:rFonts w:ascii="Times New Roman" w:cs="Times New Roman" w:eastAsia="Times New Roman" w:hAnsi="Times New Roman"/>
          <w:sz w:val="18"/>
          <w:szCs w:val="18"/>
          <w:color w:val="auto"/>
        </w:rPr>
      </w:pPr>
    </w:p>
    <w:p>
      <w:pPr>
        <w:ind w:left="1280" w:right="20" w:hanging="644"/>
        <w:spacing w:after="0" w:line="282" w:lineRule="auto"/>
        <w:tabs>
          <w:tab w:leader="none" w:pos="1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the Board (including the independent non-executive director of the Company) may at its discretion considers appropriate,</w:t>
      </w:r>
    </w:p>
    <w:p>
      <w:pPr>
        <w:spacing w:after="0" w:line="16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and in assessing whether the Service Provider provides services to the Group on a continuing and recurring basis, the Board (including the independent non-executive director of the Company) may take into consideration the length and type of services provided and the recurrences and regularity of such services, and benchmark such metrics against the performance of the employees, officers and directors of the Group to whom the Group provides equity incentives, while also taking into account the purposes of the Scheme and the objectives in engaging the Service Provider.</w:t>
      </w:r>
    </w:p>
    <w:p>
      <w:pPr>
        <w:spacing w:after="0" w:line="183"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Notwithstanding the provision in Rule 6.1, no grant of any Awards or Award Shares to or for the benefit of any Selected Participant may be made:</w:t>
      </w:r>
    </w:p>
    <w:p>
      <w:pPr>
        <w:spacing w:after="0" w:line="162" w:lineRule="exact"/>
        <w:rPr>
          <w:sz w:val="20"/>
          <w:szCs w:val="20"/>
          <w:color w:val="auto"/>
        </w:rPr>
      </w:pPr>
    </w:p>
    <w:p>
      <w:pPr>
        <w:jc w:val="both"/>
        <w:ind w:left="1280" w:hanging="644"/>
        <w:spacing w:after="0" w:line="266" w:lineRule="auto"/>
        <w:tabs>
          <w:tab w:leader="none" w:pos="12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circumstances where the requisite approval from any applicable regulatory authorities has not been granted, provided that to the extent permissible under applicable laws, rules and regulations, an Award may be made conditional upon such approval being obtained;</w:t>
      </w:r>
    </w:p>
    <w:p>
      <w:pPr>
        <w:spacing w:after="0" w:line="175" w:lineRule="exact"/>
        <w:rPr>
          <w:rFonts w:ascii="Times New Roman" w:cs="Times New Roman" w:eastAsia="Times New Roman" w:hAnsi="Times New Roman"/>
          <w:sz w:val="18"/>
          <w:szCs w:val="18"/>
          <w:color w:val="auto"/>
        </w:rPr>
      </w:pPr>
    </w:p>
    <w:p>
      <w:pPr>
        <w:ind w:left="1280" w:hanging="644"/>
        <w:spacing w:after="0" w:line="282" w:lineRule="auto"/>
        <w:tabs>
          <w:tab w:leader="none" w:pos="12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circumstances that any member of the Group will be required under applicable laws, rules or regulations to issue a prospectus or other offer documents in respect of such grant or the Scheme;</w:t>
      </w:r>
    </w:p>
    <w:p>
      <w:pPr>
        <w:spacing w:after="0" w:line="161" w:lineRule="exact"/>
        <w:rPr>
          <w:rFonts w:ascii="Times New Roman" w:cs="Times New Roman" w:eastAsia="Times New Roman" w:hAnsi="Times New Roman"/>
          <w:sz w:val="18"/>
          <w:szCs w:val="18"/>
          <w:color w:val="auto"/>
        </w:rPr>
      </w:pPr>
    </w:p>
    <w:p>
      <w:pPr>
        <w:ind w:left="1280" w:right="20" w:hanging="644"/>
        <w:spacing w:after="0" w:line="282" w:lineRule="auto"/>
        <w:tabs>
          <w:tab w:leader="none" w:pos="12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such grant would result in a breach by any member of the Group or its directors of any applicable laws, rules or regulations in any jurisdiction;</w:t>
      </w:r>
    </w:p>
    <w:p>
      <w:pPr>
        <w:spacing w:after="0" w:line="161" w:lineRule="exact"/>
        <w:rPr>
          <w:rFonts w:ascii="Times New Roman" w:cs="Times New Roman" w:eastAsia="Times New Roman" w:hAnsi="Times New Roman"/>
          <w:sz w:val="18"/>
          <w:szCs w:val="18"/>
          <w:color w:val="auto"/>
        </w:rPr>
      </w:pPr>
    </w:p>
    <w:p>
      <w:pPr>
        <w:jc w:val="both"/>
        <w:ind w:left="1280" w:hanging="644"/>
        <w:spacing w:after="0" w:line="256" w:lineRule="auto"/>
        <w:tabs>
          <w:tab w:leader="none" w:pos="12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where relevant waiver(s) from the Stock Exchange and/or the required approval of the Shareholders have been obtained) where such grant of Award would result in a breach of the Scheme Limit or the Individual Limit and/or the Service Providers Limit as set out in Rule 15, or the minimum public float requirement as required under the Listing Rules (or the minimum percentage of public float as prescribed by the Stock Exchange), or would otherwise cause the Company to issue or transfer (in the case of any treasury shares) Award Shares in excess of the permitted amount in the mandate approved by the Shareholders;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7" w:right="999" w:bottom="1440" w:gutter="0" w:footer="0" w:header="0"/>
        </w:sectPr>
      </w:pPr>
    </w:p>
    <w:bookmarkStart w:id="248" w:name="page249"/>
    <w:bookmarkEnd w:id="248"/>
    <w:p>
      <w:pPr>
        <w:jc w:val="both"/>
        <w:ind w:left="1292" w:hanging="644"/>
        <w:spacing w:after="0" w:line="261" w:lineRule="auto"/>
        <w:tabs>
          <w:tab w:leader="none" w:pos="1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 Award is to or for the benefit of a connected person and will require specific approval of the Shareholders under the Listing Rules, until such Shareholders’ approval is obtained, provided that to the extent permissible under applicable laws, rules and regulations, an Award may be made conditional upon such Shareholders’ approval being obtained,</w:t>
      </w:r>
    </w:p>
    <w:p>
      <w:pPr>
        <w:spacing w:after="0" w:line="180"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and any such grant so made (or made without the necessary conditions as contemplated above) shall be null and void to the extent (and only to the extent) that it falls within any of the circumstances described above.</w:t>
      </w:r>
    </w:p>
    <w:p>
      <w:pPr>
        <w:spacing w:after="0" w:line="158" w:lineRule="exact"/>
        <w:rPr>
          <w:sz w:val="20"/>
          <w:szCs w:val="20"/>
          <w:color w:val="auto"/>
        </w:rPr>
      </w:pPr>
    </w:p>
    <w:p>
      <w:pPr>
        <w:ind w:left="652" w:hanging="652"/>
        <w:spacing w:after="0"/>
        <w:tabs>
          <w:tab w:leader="none" w:pos="652"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TIMING OF AWARDS</w:t>
      </w:r>
    </w:p>
    <w:p>
      <w:pPr>
        <w:spacing w:after="0" w:line="243" w:lineRule="exact"/>
        <w:rPr>
          <w:sz w:val="20"/>
          <w:szCs w:val="20"/>
          <w:color w:val="auto"/>
        </w:rPr>
      </w:pPr>
    </w:p>
    <w:p>
      <w:pPr>
        <w:ind w:left="652" w:right="20" w:hanging="647"/>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No Awards shall be granted to a Selected Participant and no directions or recommendation shall be given to the Trustee with respect to a grant of an Award under the Scheme:</w:t>
      </w:r>
    </w:p>
    <w:p>
      <w:pPr>
        <w:spacing w:after="0" w:line="162" w:lineRule="exact"/>
        <w:rPr>
          <w:sz w:val="20"/>
          <w:szCs w:val="20"/>
          <w:color w:val="auto"/>
        </w:rPr>
      </w:pPr>
    </w:p>
    <w:p>
      <w:pPr>
        <w:ind w:left="1292" w:hanging="644"/>
        <w:spacing w:after="0" w:line="282" w:lineRule="auto"/>
        <w:tabs>
          <w:tab w:leader="none" w:pos="12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come to knowledge of any inside information (as defined in the SFO), until (and including) the trading day after the Company has announced the information;</w:t>
      </w:r>
    </w:p>
    <w:p>
      <w:pPr>
        <w:spacing w:after="0" w:line="161" w:lineRule="exact"/>
        <w:rPr>
          <w:rFonts w:ascii="Times New Roman" w:cs="Times New Roman" w:eastAsia="Times New Roman" w:hAnsi="Times New Roman"/>
          <w:sz w:val="18"/>
          <w:szCs w:val="18"/>
          <w:color w:val="auto"/>
        </w:rPr>
      </w:pPr>
    </w:p>
    <w:p>
      <w:pPr>
        <w:ind w:left="1292" w:right="20" w:hanging="644"/>
        <w:spacing w:after="0" w:line="282" w:lineRule="auto"/>
        <w:tabs>
          <w:tab w:leader="none" w:pos="12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circumstances prohibited by the Listing Rules or where dealings by the Selected Participant will be prohibited under any code or requirement of the Listing Rules or any applicable laws, rules or regulations;</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30 days immediately before the earlier of:</w:t>
      </w:r>
    </w:p>
    <w:p>
      <w:pPr>
        <w:spacing w:after="0" w:line="225" w:lineRule="exact"/>
        <w:rPr>
          <w:rFonts w:ascii="Times New Roman" w:cs="Times New Roman" w:eastAsia="Times New Roman" w:hAnsi="Times New Roman"/>
          <w:sz w:val="18"/>
          <w:szCs w:val="18"/>
          <w:color w:val="auto"/>
        </w:rPr>
      </w:pPr>
    </w:p>
    <w:p>
      <w:pPr>
        <w:jc w:val="both"/>
        <w:ind w:left="2272" w:hanging="652"/>
        <w:spacing w:after="0" w:line="266" w:lineRule="auto"/>
        <w:tabs>
          <w:tab w:leader="none" w:pos="227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Board meeting (as such date is first notified to the Stock Exchange under the Listing Rules) for approving the results of the Company for any year, half-year, quarterly or any other interim period (whether or not required under the Listing Rules); and</w:t>
      </w:r>
    </w:p>
    <w:p>
      <w:pPr>
        <w:spacing w:after="0" w:line="175" w:lineRule="exact"/>
        <w:rPr>
          <w:rFonts w:ascii="Times New Roman" w:cs="Times New Roman" w:eastAsia="Times New Roman" w:hAnsi="Times New Roman"/>
          <w:sz w:val="18"/>
          <w:szCs w:val="18"/>
          <w:color w:val="auto"/>
        </w:rPr>
      </w:pPr>
    </w:p>
    <w:p>
      <w:pPr>
        <w:ind w:left="2272" w:hanging="652"/>
        <w:spacing w:after="0" w:line="282" w:lineRule="auto"/>
        <w:tabs>
          <w:tab w:leader="none" w:pos="2272"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deadline for the Company to announce its results for any year or half-year under the Listing Rules, or quarterly or any other interim period (whether or not required under the Listing Rules),</w:t>
      </w:r>
    </w:p>
    <w:p>
      <w:pPr>
        <w:spacing w:after="0" w:line="162" w:lineRule="exact"/>
        <w:rPr>
          <w:sz w:val="20"/>
          <w:szCs w:val="20"/>
          <w:color w:val="auto"/>
        </w:rPr>
      </w:pPr>
    </w:p>
    <w:p>
      <w:pPr>
        <w:ind w:left="1612"/>
        <w:spacing w:after="0" w:line="282" w:lineRule="auto"/>
        <w:rPr>
          <w:sz w:val="20"/>
          <w:szCs w:val="20"/>
          <w:color w:val="auto"/>
        </w:rPr>
      </w:pPr>
      <w:r>
        <w:rPr>
          <w:rFonts w:ascii="Times New Roman" w:cs="Times New Roman" w:eastAsia="Times New Roman" w:hAnsi="Times New Roman"/>
          <w:sz w:val="18"/>
          <w:szCs w:val="18"/>
          <w:color w:val="auto"/>
        </w:rPr>
        <w:t>and ending on the date of the results announcement, provided that such period will also cover any period of delay in the publication of any results announcement.</w:t>
      </w:r>
    </w:p>
    <w:p>
      <w:pPr>
        <w:spacing w:after="0" w:line="162" w:lineRule="exact"/>
        <w:rPr>
          <w:sz w:val="20"/>
          <w:szCs w:val="20"/>
          <w:color w:val="auto"/>
        </w:rPr>
      </w:pPr>
    </w:p>
    <w:p>
      <w:pPr>
        <w:jc w:val="both"/>
        <w:ind w:left="652" w:hanging="647"/>
        <w:spacing w:after="0" w:line="266" w:lineRule="auto"/>
        <w:tabs>
          <w:tab w:leader="none" w:pos="631"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In addition to the restrictions set out in Rule 7.1, no Awards shall be granted to any director of the Company (and no directions or recommendation shall be given to the Trustee with respect to a grant of an Award to any director of the Company) under the Scheme on any day on which the financial results of the Company are published and:</w:t>
      </w:r>
    </w:p>
    <w:p>
      <w:pPr>
        <w:spacing w:after="0" w:line="176" w:lineRule="exact"/>
        <w:rPr>
          <w:sz w:val="20"/>
          <w:szCs w:val="20"/>
          <w:color w:val="auto"/>
        </w:rPr>
      </w:pPr>
    </w:p>
    <w:p>
      <w:pPr>
        <w:ind w:left="1292" w:hanging="644"/>
        <w:spacing w:after="0" w:line="282" w:lineRule="auto"/>
        <w:tabs>
          <w:tab w:leader="none" w:pos="129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60 days immediately preceding the publication date of the annual results or, if shorter, the period from the end of the relevant financial year up to the publication date of the results; and</w:t>
      </w:r>
    </w:p>
    <w:p>
      <w:pPr>
        <w:spacing w:after="0" w:line="161" w:lineRule="exact"/>
        <w:rPr>
          <w:rFonts w:ascii="Times New Roman" w:cs="Times New Roman" w:eastAsia="Times New Roman" w:hAnsi="Times New Roman"/>
          <w:sz w:val="18"/>
          <w:szCs w:val="18"/>
          <w:color w:val="auto"/>
        </w:rPr>
      </w:pPr>
    </w:p>
    <w:p>
      <w:pPr>
        <w:jc w:val="both"/>
        <w:ind w:left="1292" w:right="20" w:hanging="644"/>
        <w:spacing w:after="0" w:line="266" w:lineRule="auto"/>
        <w:tabs>
          <w:tab w:leader="none" w:pos="129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30 days immediately preceding the publication date of the quarterly results (if any) and the half-year results or, if shorter, the period from the end of the relevant quarterly or half-year period up to the publication date of the results,</w:t>
      </w:r>
    </w:p>
    <w:p>
      <w:pPr>
        <w:spacing w:after="0" w:line="175" w:lineRule="exact"/>
        <w:rPr>
          <w:rFonts w:ascii="Times New Roman" w:cs="Times New Roman" w:eastAsia="Times New Roman" w:hAnsi="Times New Roman"/>
          <w:sz w:val="18"/>
          <w:szCs w:val="18"/>
          <w:color w:val="auto"/>
        </w:rPr>
      </w:pPr>
    </w:p>
    <w:p>
      <w:pPr>
        <w:ind w:left="129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circumstances are exceptional (for example, where a pressing financial commitment has to be met) and otherwise in accordance with the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49" w:name="page250"/>
    <w:bookmarkEnd w:id="249"/>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In respect of the administration and implementation of the Scheme, the Company shall comply with all applicable disclosure regulations including those imposed by the Listing Rules.</w:t>
      </w:r>
    </w:p>
    <w:p>
      <w:pPr>
        <w:spacing w:after="0" w:line="158"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LETTER AND NOTIFICATION OF GRANT</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The Company shall, in respect of each Award, on the Grant Date issue a letter to each Selected Participant in such form as the Board (or the Scheme Administrator) may from time to time determine, which may specify the number of Award Shares in respect of which the Award relates, any vesting criteria and conditions, the Vesting Date(s) for the Award, the date by which the grant must be accepted and such other details as the Board (or the Scheme Administrator) may consider necessary, and requiring the Selected Participant to undertake to be bound by the terms and provisions of the Scheme Rules (an “</w:t>
      </w:r>
      <w:r>
        <w:rPr>
          <w:rFonts w:ascii="Times New Roman" w:cs="Times New Roman" w:eastAsia="Times New Roman" w:hAnsi="Times New Roman"/>
          <w:sz w:val="17"/>
          <w:szCs w:val="17"/>
          <w:b w:val="1"/>
          <w:bCs w:val="1"/>
          <w:color w:val="auto"/>
        </w:rPr>
        <w:t>Award Letter</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Board (or the Scheme Administrator) may determine the amount payable (if any) on an application or acceptance of an Award and the period(s) within which any such payments must be made. Subject to applicable laws and regulations, the consideration to be paid (if any) for the Class A Ordinary Shares and/or ADSs underlying the Awards, including the method of payment, shall also be determined by the Board (or the Scheme Administrator) as it deems appropriate.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In respect of Awards to be granted in the form of Options, the Board (or the Scheme Administrator) shall determine and notify the Selected Participant in the Award Letter:</w:t>
      </w:r>
    </w:p>
    <w:p>
      <w:pPr>
        <w:spacing w:after="0" w:line="162" w:lineRule="exact"/>
        <w:rPr>
          <w:sz w:val="20"/>
          <w:szCs w:val="20"/>
          <w:color w:val="auto"/>
        </w:rPr>
      </w:pPr>
    </w:p>
    <w:p>
      <w:pPr>
        <w:jc w:val="both"/>
        <w:ind w:left="1300" w:hanging="644"/>
        <w:spacing w:after="0" w:line="256"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in respect of such Options, provided that such Exercise Price must be at least the higher of (a) the per-share closing price of the ADSs on the New York Stock Exchange on the Grant Date, which must be a New York Stock Exchange trading day; (b) the average per-share closing price of the ADSs on the New York Stock Exchange for the five New York Stock Exchange trading days immediately preceding the Grant Date; and (c) the nominal value of a Class A Ordinary Share, provided that in the event of fractional prices, the Exercise Price per Class A Ordinary Share shall be rounded upwards to the nearest whole cent; and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Period for such Options, provided that the Option Period shall in any event be not longer than 10 years from the Grant Date. An Option shall lapse automatically and shall not be exercisable (to the extent not already exercised) on the expiry of the tenth anniversary from the Grant Date.</w:t>
      </w:r>
    </w:p>
    <w:p>
      <w:pPr>
        <w:spacing w:after="0" w:line="176" w:lineRule="exact"/>
        <w:rPr>
          <w:sz w:val="20"/>
          <w:szCs w:val="20"/>
          <w:color w:val="auto"/>
        </w:rPr>
      </w:pPr>
    </w:p>
    <w:p>
      <w:pPr>
        <w:jc w:val="both"/>
        <w:ind w:left="660" w:right="2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In the event that the Exercise Price is denominated in Hong Kong dollars, the Exercise Price referred to in Rule 8.3(i) must be at least the higher of (a) the per-share closing price of the Class A Ordinary Shares as stated in the Stock Exchange’s daily quotation sheet on the Grant Date, which must be a Business Day; (b) the average per-share closing price of the Class A Ordinary Shares as stated in the Stock Exchange’s daily quotation sheet for the five Business Days immediately preceding the Grant Date; and (c) the nominal value of a Class A Ordinary Share, provided that in the event of fractional prices, the Exercise Price per Class A Ordinary Share shall be rounded upwards to the nearest whole cent.</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Save as otherwise set out in the Award Letter:</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Selected Participant shall have 20 Business Days from the Grant Date or such other period as otherwise determined by the Company to accept the Award. A Selected Participant may accept an Award by giving a written notice of acceptance to the Company, together with remittance in favor of the Company of the consideration payable (if any) upon the grant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0" w:name="page251"/>
    <w:bookmarkEnd w:id="250"/>
    <w:p>
      <w:pPr>
        <w:ind w:left="1292" w:hanging="644"/>
        <w:spacing w:after="0" w:line="282" w:lineRule="auto"/>
        <w:tabs>
          <w:tab w:leader="none" w:pos="12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may be accepted in respect of the number of Class A Ordinary Shares and/or ADSs underlying the Award offered in the Award Letter; and</w:t>
      </w:r>
    </w:p>
    <w:p>
      <w:pPr>
        <w:spacing w:after="0" w:line="161" w:lineRule="exact"/>
        <w:rPr>
          <w:rFonts w:ascii="Times New Roman" w:cs="Times New Roman" w:eastAsia="Times New Roman" w:hAnsi="Times New Roman"/>
          <w:sz w:val="18"/>
          <w:szCs w:val="18"/>
          <w:color w:val="auto"/>
        </w:rPr>
      </w:pPr>
    </w:p>
    <w:p>
      <w:pPr>
        <w:jc w:val="both"/>
        <w:ind w:left="1292" w:hanging="644"/>
        <w:spacing w:after="0" w:line="266" w:lineRule="auto"/>
        <w:tabs>
          <w:tab w:leader="none" w:pos="12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offer of an Award is not accepted within the time and in the manner as set out in this Rule, the Award will be deemed to have been declined and shall lapse, unless the Board in its sole and absolute discretion determines otherwise.</w:t>
      </w:r>
    </w:p>
    <w:p>
      <w:pPr>
        <w:spacing w:after="0" w:line="17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 OR TRANSFER OF AWARD SHARES TO TRUSTEE AND ACQUISITION THEREOF BY TRUSTEE</w:t>
      </w:r>
    </w:p>
    <w:p>
      <w:pPr>
        <w:spacing w:after="0" w:line="229" w:lineRule="exact"/>
        <w:rPr>
          <w:sz w:val="20"/>
          <w:szCs w:val="20"/>
          <w:color w:val="auto"/>
        </w:rPr>
      </w:pPr>
    </w:p>
    <w:p>
      <w:pPr>
        <w:jc w:val="both"/>
        <w:ind w:left="652" w:right="20" w:hanging="647"/>
        <w:spacing w:after="0" w:line="258" w:lineRule="auto"/>
        <w:tabs>
          <w:tab w:leader="none" w:pos="631"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Where a Trust has been established, subject to Rule 9.4 (and to the extent not prohibited by applicable laws and regulations), the Company may (a) issue and allot, or transfer (in the case of any treasury shares), Class A Ordinary Shares and/or ADSs to a Trustee; and/or (b) instruct the Trustee to acquire Class A Ordinary Shares and/or ADSs through on-market transactions at prevailing market prices from funds provided by the Company, in either case for purposes of satisfying the Awards upon their vesting or exercise.</w:t>
      </w:r>
    </w:p>
    <w:p>
      <w:pPr>
        <w:spacing w:after="0" w:line="183" w:lineRule="exact"/>
        <w:rPr>
          <w:sz w:val="20"/>
          <w:szCs w:val="20"/>
          <w:color w:val="auto"/>
        </w:rPr>
      </w:pPr>
    </w:p>
    <w:p>
      <w:pPr>
        <w:jc w:val="both"/>
        <w:ind w:left="652" w:hanging="647"/>
        <w:spacing w:after="0" w:line="256" w:lineRule="auto"/>
        <w:tabs>
          <w:tab w:leader="none" w:pos="631"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Subject to applicable laws and regulations, the Company may instruct the Trustee whether or not to apply any Returned Shares to satisfy any grant of Awards made, and, if the Returned Shares (as specified by the Company) are not sufficient to satisfy the Awards granted, the Company may, subject to Rule 9.4 (and to the extent not prohibited by applicable laws and regulations), for purposes of satisfying the Awards granted, issue and allot, or transfer (in the case of any treasury shares), further Class A Ordinary Shares and/or ADSs to the Trustee and/or transfer to the Trust the necessary funds and instruct the Trustee to acquire further Class A Ordinary Shares and/or ADSs through on-market transactions at prevailing market prices.</w:t>
      </w:r>
    </w:p>
    <w:p>
      <w:pPr>
        <w:spacing w:after="0" w:line="187" w:lineRule="exact"/>
        <w:rPr>
          <w:sz w:val="20"/>
          <w:szCs w:val="20"/>
          <w:color w:val="auto"/>
        </w:rPr>
      </w:pPr>
    </w:p>
    <w:p>
      <w:pPr>
        <w:jc w:val="both"/>
        <w:ind w:left="652" w:hanging="647"/>
        <w:spacing w:after="0" w:line="258" w:lineRule="auto"/>
        <w:tabs>
          <w:tab w:leader="none" w:pos="631"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Trustee shall hold the Award Shares, such dividends payable to a Selected Participant and Related Income (if any) on trust for the Selected Participant until the transfer of the Award Shares to the Selected Participant or the sale of the Award Shares for the benefit of Selected Participant in accordance with Rule 10. The Trustee shall not exercise any voting rights in respect of any unvested Award Shares held by it on matters that require Shareholders’ approval under the Listing Rules, unless otherwise required by law to vote in accordance with the beneficial owner’s direction and such direction is given.</w:t>
      </w:r>
    </w:p>
    <w:p>
      <w:pPr>
        <w:spacing w:after="0" w:line="183" w:lineRule="exact"/>
        <w:rPr>
          <w:sz w:val="20"/>
          <w:szCs w:val="20"/>
          <w:color w:val="auto"/>
        </w:rPr>
      </w:pPr>
    </w:p>
    <w:p>
      <w:pPr>
        <w:jc w:val="both"/>
        <w:ind w:left="652" w:hanging="647"/>
        <w:spacing w:after="0" w:line="262" w:lineRule="auto"/>
        <w:tabs>
          <w:tab w:leader="none" w:pos="631"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Notwithstanding the foregoing provisions, the Company shall not issue or allot, or transfer (in the case of any treasury shares), Class A Ordinary Shares and/or ADSs nor instruct the Trustee to acquire Class A Ordinary Shares and/or ADSs through on-market transactions, where such action (as applicable) is prohibited under the Listing Rules, the SFO or other applicable laws, rules or regulations from time to time. Where such a prohibition causes the prescribed timing imposed by the Scheme Rules or the Trust Deed to be missed, such prescribed timing shall be treated as extended until as soon as reasonably practicable after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on which the prohibition no longer prevents the relevant action.</w:t>
      </w:r>
    </w:p>
    <w:p>
      <w:pPr>
        <w:spacing w:after="0" w:line="52" w:lineRule="exact"/>
        <w:rPr>
          <w:sz w:val="20"/>
          <w:szCs w:val="20"/>
          <w:color w:val="auto"/>
        </w:rPr>
      </w:pPr>
    </w:p>
    <w:p>
      <w:pPr>
        <w:ind w:left="652" w:hanging="652"/>
        <w:spacing w:after="0"/>
        <w:tabs>
          <w:tab w:leader="none" w:pos="652"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OF AWARD / PROCEDURES AFTER VESTING</w:t>
      </w:r>
    </w:p>
    <w:p>
      <w:pPr>
        <w:spacing w:after="0" w:line="229" w:lineRule="exact"/>
        <w:rPr>
          <w:sz w:val="20"/>
          <w:szCs w:val="20"/>
          <w:color w:val="auto"/>
        </w:rPr>
      </w:pPr>
    </w:p>
    <w:p>
      <w:pPr>
        <w:jc w:val="both"/>
        <w:ind w:left="652" w:hanging="647"/>
        <w:spacing w:after="0" w:line="258" w:lineRule="auto"/>
        <w:tabs>
          <w:tab w:leader="none" w:pos="631"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Board (or the Scheme Administrator) may from time to time while the Scheme is in force and subject to all applicable laws, rules and regulations, determine the applicable Vesting Dates and any other criteria and conditions for vesting of the Awards in its sole and absolute discretion. The vesting period in respect of any Award shall not be less than 12 months from the Grant Date, except that with respect to a Selected Participant who is an Employee Participant, a shorter vesting period may be permitted in circumstances set out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51" w:name="page252"/>
    <w:bookmarkEnd w:id="251"/>
    <w:p>
      <w:pPr>
        <w:ind w:left="1280" w:right="20" w:hanging="644"/>
        <w:spacing w:after="0" w:line="282" w:lineRule="auto"/>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as “make whole” Awards to a new Employee Participant upon joining the Group to replace the share awards such Selected Participant forfeited when leaving his/her previous employer;</w:t>
      </w:r>
    </w:p>
    <w:p>
      <w:pPr>
        <w:spacing w:after="0" w:line="161" w:lineRule="exact"/>
        <w:rPr>
          <w:rFonts w:ascii="Times New Roman" w:cs="Times New Roman" w:eastAsia="Times New Roman" w:hAnsi="Times New Roman"/>
          <w:sz w:val="18"/>
          <w:szCs w:val="18"/>
          <w:color w:val="auto"/>
        </w:rPr>
      </w:pPr>
    </w:p>
    <w:p>
      <w:pPr>
        <w:ind w:left="1280" w:hanging="644"/>
        <w:spacing w:after="0" w:line="282" w:lineRule="auto"/>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to an Employee Participant whose employment is terminated due to death or Disability or occurrence of any out of control event;</w:t>
      </w:r>
    </w:p>
    <w:p>
      <w:pPr>
        <w:spacing w:after="0" w:line="161" w:lineRule="exact"/>
        <w:rPr>
          <w:rFonts w:ascii="Times New Roman" w:cs="Times New Roman" w:eastAsia="Times New Roman" w:hAnsi="Times New Roman"/>
          <w:sz w:val="18"/>
          <w:szCs w:val="18"/>
          <w:color w:val="auto"/>
        </w:rPr>
      </w:pPr>
    </w:p>
    <w:p>
      <w:pPr>
        <w:ind w:left="1280" w:hanging="644"/>
        <w:spacing w:after="0" w:line="282" w:lineRule="auto"/>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Awards which are subject to the fulfilment of performance-based vesting conditions pursuant to Rule 10.2, in lieu of time-based vesting criteria;</w:t>
      </w:r>
    </w:p>
    <w:p>
      <w:pPr>
        <w:spacing w:after="0" w:line="161" w:lineRule="exact"/>
        <w:rPr>
          <w:rFonts w:ascii="Times New Roman" w:cs="Times New Roman" w:eastAsia="Times New Roman" w:hAnsi="Times New Roman"/>
          <w:sz w:val="18"/>
          <w:szCs w:val="18"/>
          <w:color w:val="auto"/>
        </w:rPr>
      </w:pPr>
    </w:p>
    <w:p>
      <w:pPr>
        <w:jc w:val="both"/>
        <w:ind w:left="1280" w:hanging="644"/>
        <w:spacing w:after="0" w:line="266" w:lineRule="auto"/>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Awards the timing of which is set due to administrative and/or compliance reasons unrelated to the performance of the Employee Participant, in which case the Vesting Date may be adjusted to take account of the time from which the Award would have been granted if not for such administrative and/or compliance reasons;</w:t>
      </w:r>
    </w:p>
    <w:p>
      <w:pPr>
        <w:spacing w:after="0" w:line="175"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Awards with a mixed vesting schedule such that the Awards may vest evenly over a period of 12 months; or</w:t>
      </w:r>
    </w:p>
    <w:p>
      <w:pPr>
        <w:spacing w:after="0" w:line="225"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Awards with a total vesting and holding period of more than 12 months.</w:t>
      </w:r>
    </w:p>
    <w:p>
      <w:pPr>
        <w:spacing w:after="0" w:line="225"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Board (or the Scheme Administrator) may, in respect of each Award and subject to applicable laws and regulations, determine any performance targets or other criteria as condition(s) to the vesting of Awards. Such targets may comprise a mixture of performance criteria from both the corporate and the individual perspectives (such as the financial performance or achievement of milestones by a member of the Group and/or attainment of key performance indicators by the Selected Participant), having regard to the different roles and contributions of the Selected Participants and the purposes of the Scheme. Review and evaluation procedures should be put in place for an impartial assessment of such targets, provided that a determination of the Board (or the Scheme Administrator) as to whether such targets have been achieved or satisfied shall be conclusive and binding on all parties.</w:t>
      </w:r>
    </w:p>
    <w:p>
      <w:pPr>
        <w:spacing w:after="0" w:line="192"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If any of the vesting conditions (including any performance targets as referred to in Rule 10.2) for the Awards are not satisfied on the relevant Vesting Date, the relevant Awards shall not be vested in the Selected Participant, unless the Board (or the Scheme Administrator) elects to postpone the Vesting Date of the relevant Awards for an appropriate period (the “</w:t>
      </w:r>
      <w:r>
        <w:rPr>
          <w:rFonts w:ascii="Times New Roman" w:cs="Times New Roman" w:eastAsia="Times New Roman" w:hAnsi="Times New Roman"/>
          <w:sz w:val="18"/>
          <w:szCs w:val="18"/>
          <w:b w:val="1"/>
          <w:bCs w:val="1"/>
          <w:color w:val="auto"/>
        </w:rPr>
        <w:t>Postponed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in its sole and absolute discretion. If the vesting conditions of the postponed Awards are not satisfied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Postponed Vesting Date and the Vesting Date is not further postponed, the relevant Awards shall automatically lapse.</w:t>
      </w:r>
    </w:p>
    <w:p>
      <w:pPr>
        <w:spacing w:after="0" w:line="183"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Following the Vesting Date of a vested Award (other than an Option) or such other period as otherwise agreed between the Company and the Selected Participant, subject to Rule 16, the Company may satisfy the Award by either one (or a combination) of the following ways:</w:t>
      </w:r>
    </w:p>
    <w:p>
      <w:pPr>
        <w:spacing w:after="0" w:line="176" w:lineRule="exact"/>
        <w:rPr>
          <w:sz w:val="20"/>
          <w:szCs w:val="20"/>
          <w:color w:val="auto"/>
        </w:rPr>
      </w:pPr>
    </w:p>
    <w:p>
      <w:pPr>
        <w:ind w:left="1280" w:right="20" w:hanging="644"/>
        <w:spacing w:after="0" w:line="282" w:lineRule="auto"/>
        <w:tabs>
          <w:tab w:leader="none" w:pos="12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and issue, or transfer (in the case of any treasury shares), the relevant number of Award Shares to the Selected Participant;</w:t>
      </w:r>
    </w:p>
    <w:p>
      <w:pPr>
        <w:spacing w:after="0" w:line="161"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Trustee to transfer the Award Shares to the Selected Participant;</w:t>
      </w:r>
    </w:p>
    <w:p>
      <w:pPr>
        <w:spacing w:after="0" w:line="225" w:lineRule="exact"/>
        <w:rPr>
          <w:rFonts w:ascii="Times New Roman" w:cs="Times New Roman" w:eastAsia="Times New Roman" w:hAnsi="Times New Roman"/>
          <w:sz w:val="18"/>
          <w:szCs w:val="18"/>
          <w:color w:val="auto"/>
        </w:rPr>
      </w:pPr>
    </w:p>
    <w:p>
      <w:pPr>
        <w:ind w:left="1280" w:hanging="644"/>
        <w:spacing w:after="0" w:line="282" w:lineRule="auto"/>
        <w:tabs>
          <w:tab w:leader="none" w:pos="12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relevant Award Shares on-market at prevailing market prices and remit the Actual Selling Price to the Selected Participant; or</w:t>
      </w:r>
    </w:p>
    <w:p>
      <w:pPr>
        <w:spacing w:after="0" w:line="161" w:lineRule="exact"/>
        <w:rPr>
          <w:rFonts w:ascii="Times New Roman" w:cs="Times New Roman" w:eastAsia="Times New Roman" w:hAnsi="Times New Roman"/>
          <w:sz w:val="18"/>
          <w:szCs w:val="18"/>
          <w:color w:val="auto"/>
        </w:rPr>
      </w:pPr>
    </w:p>
    <w:p>
      <w:pPr>
        <w:ind w:left="1280" w:hanging="644"/>
        <w:spacing w:after="0"/>
        <w:tabs>
          <w:tab w:leader="none" w:pos="12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thereof.</w:t>
      </w:r>
    </w:p>
    <w:p>
      <w:pPr>
        <w:spacing w:after="0" w:line="225" w:lineRule="exact"/>
        <w:rPr>
          <w:sz w:val="20"/>
          <w:szCs w:val="20"/>
          <w:color w:val="auto"/>
        </w:rPr>
      </w:pPr>
    </w:p>
    <w:p>
      <w:pPr>
        <w:ind w:left="640" w:right="20" w:hanging="648"/>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10.5</w:t>
        <w:tab/>
        <w:t>Following the Vesting Date of a vested Option, subject to Rule 16, such Option may be exercised in whole or in part by the Selected Participant giving notice in writing or 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7" w:right="999" w:bottom="1440" w:gutter="0" w:footer="0" w:header="0"/>
        </w:sectPr>
      </w:pPr>
    </w:p>
    <w:bookmarkStart w:id="252" w:name="page253"/>
    <w:bookmarkEnd w:id="252"/>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electronic system to the Company, stating that the Option is thereby exercised and the number of Award Shares in respect of which the Option is exercised; provided, however, that an Option shall not be exercised for a fraction of an Award Share. Each such notice must be accompanied by payment of the full amount of the Exercise Price multiplied by the number of Award Shares in respect of which the notice is given to the Company. After the Company’s receipt of the notice and the related remittance, the Company may satisfy the Award by either one (or a combination) of the following ways:</w:t>
      </w:r>
    </w:p>
    <w:p>
      <w:pPr>
        <w:spacing w:after="0" w:line="183" w:lineRule="exact"/>
        <w:rPr>
          <w:sz w:val="20"/>
          <w:szCs w:val="20"/>
          <w:color w:val="auto"/>
        </w:rPr>
      </w:pPr>
    </w:p>
    <w:p>
      <w:pPr>
        <w:ind w:left="1300" w:hanging="644"/>
        <w:spacing w:after="0" w:line="282"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and issue, or transfer (in the case of any treasury shares), to the Selected Participant the number of Award Shares in respect of which the Option has been exercised;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Trustee to transfer the Award Shares to the Selected Participant;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relevant Award Shares on-market at prevailing market prices and remit the Actual Selling Price to the Selected Participant;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thereof.</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 xml:space="preserve">Award Shares to be allotted and issued, or transferred (in the case of any treasury shares) for the Awards shall be subject to all the provisions of the Articles and are to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fully paid Class A Ordinary Shares then in issue and accordingly will be entitled to dividends and other distributions paid or made on or after the date on which such Award Shares are registered on the Company’s register of members, other than any dividends or distributions previously declared or recommended or resolved to be paid or made if the record date therefor falls before the date on which such Award Shares are registered on the Company’s register of members.</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In satisfying the issuance or transfer of Award Shares pursuant to Rule 10.4 and/or Rule 10.5, to the extent, at the determination of the Board (or the Scheme Administrator), it may not be practicable for a Selected Participant to receive Award Shares due to any legal and/or regulatory restrictions, the Board (or the Scheme Administrator) may arrange to sell on-market at prevailing market prices, such number of Award Shares so vested in the Selected Participant and pay the Actual Selling Price arising from such sale of Award Shares to the Selected Participant.</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Where a Trust has been established or the purposes of administering the Scheme, the Board (or the Scheme Administrator) may at its discretion and in lieu of Rule 10.4 and/or Rule 10.5, direct the Trustee pursuant to the Trust Deed to hold the relevant number of Award Shares and Related Income on trust for a Selected Participant until such time as the Board (or the Scheme Administrator) directs the Trustee to:</w:t>
      </w:r>
    </w:p>
    <w:p>
      <w:pPr>
        <w:spacing w:after="0" w:line="180" w:lineRule="exact"/>
        <w:rPr>
          <w:sz w:val="20"/>
          <w:szCs w:val="20"/>
          <w:color w:val="auto"/>
        </w:rPr>
      </w:pPr>
    </w:p>
    <w:p>
      <w:pPr>
        <w:ind w:left="1300" w:hanging="644"/>
        <w:spacing w:after="0" w:line="282"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relevant Award Shares to the Selected Participant or sell the relevant Award Shares on-market at prevailing market prices and remit the Actual Selling Price to the Selected Participant;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 to the Selected Participant the Related Income (if any) which has accrued in respect of the relevant Award Shares from the relevant Vesting Date through to the date on which the Board (or the Scheme Administrator) gives a direction to the Trustee pursuant to this Rule.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7"/>
          <w:szCs w:val="17"/>
          <w:color w:val="auto"/>
        </w:rPr>
        <w:t>Notwithstanding the foregoing provisions:</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regardless of whether an Award has otherwise become exercisable, the Award may not be exercised if the Board (or the Scheme Administrator) determines that an exercise could violate any applicable laws, rules or regulations (including the Listing Rules) or any applicable policies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3" w:name="page254"/>
    <w:bookmarkEnd w:id="253"/>
    <w:p>
      <w:pPr>
        <w:jc w:val="both"/>
        <w:ind w:left="1280" w:hanging="644"/>
        <w:spacing w:after="0" w:line="261" w:lineRule="auto"/>
        <w:tabs>
          <w:tab w:leader="none" w:pos="12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and/or ADSs shall not be issued, or transferred (in the case of any treasury shares), pursuant to an Award unless the exercise of such Award and the issuance and/or delivery of such Class A Ordinary Shares and/or ADSs pursuant thereto shall comply with all applicable laws, rules and regulations, and further subject to the advice of counsel for the Company with respect to such compliance.</w:t>
      </w:r>
    </w:p>
    <w:p>
      <w:pPr>
        <w:spacing w:after="0" w:line="180"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10.10</w:t>
        <w:tab/>
        <w:t>Any stamp duty, levies, fees or other costs and expenses arising on the sale of the Award Shares due to the vesting or exercise of Awards and payment of the Actual Selling Price shall be borne by the Selected Participant and deducted from any amounts payable to the Selected Participant.</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10.11</w:t>
        <w:tab/>
        <w:t>All costs and expenses in relation to all dealings with the Award Shares after vesting and transfer of the Award Shares to the Selected Participant (as the case may be) shall be borne by the Selected Participant and neither the Company nor the Trustee shall be liable for any such costs and expenses thereafter.</w:t>
      </w:r>
    </w:p>
    <w:p>
      <w:pPr>
        <w:spacing w:after="0" w:line="17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10.12</w:t>
        <w:tab/>
        <w:t>All taxes (including personal income taxes, professional taxes, salary taxes and similar taxes, as applicable), duties, social security contributions, impositions, charges and other levies arising out of or in connection with the Selected Participant’s participation in the Scheme or in relation to the Award Shares, Actual Selling Price, Related Income or cash amount of equivalent value of the Award Shares (the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received by a Selected Participant shall be borne by the Selected Participant and neither the Company nor the Trustee shall be liable for any Taxes, unless otherwise required by applicable law. Each Selected Participant by acceptance of any grant of Awards agrees to and shall indemnify the Trustee and all members of the Group and any designated third parties against any liability each of them may have to pay or account for such Taxes, including any withholding liability in connection with any Taxes. To give effect to this, the Trustee (or any designated third parties) or any member of the Group may, notwithstanding anything else in these Scheme Rules (but subject to applicable laws and regulations):</w:t>
      </w:r>
    </w:p>
    <w:p>
      <w:pPr>
        <w:spacing w:after="0" w:line="194" w:lineRule="exact"/>
        <w:rPr>
          <w:sz w:val="20"/>
          <w:szCs w:val="20"/>
          <w:color w:val="auto"/>
        </w:rPr>
      </w:pPr>
    </w:p>
    <w:p>
      <w:pPr>
        <w:jc w:val="both"/>
        <w:ind w:left="1280" w:hanging="644"/>
        <w:spacing w:after="0" w:line="261"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withhold the number of the Selected Participant’s Award Shares underlying the Award or the amount of the Related Income or Actual Selling Price (the number of Award Shares underlying the Award that may be reduced or withheld shall be limited to the number of Award Shares that have a fair market value on the date of withholding that, in the reasonable opinion of the Company is sufficient to cover any such liability);</w:t>
      </w:r>
    </w:p>
    <w:p>
      <w:pPr>
        <w:spacing w:after="0" w:line="179" w:lineRule="exact"/>
        <w:rPr>
          <w:rFonts w:ascii="Times New Roman" w:cs="Times New Roman" w:eastAsia="Times New Roman" w:hAnsi="Times New Roman"/>
          <w:sz w:val="18"/>
          <w:szCs w:val="18"/>
          <w:color w:val="auto"/>
        </w:rPr>
      </w:pPr>
    </w:p>
    <w:p>
      <w:pPr>
        <w:jc w:val="both"/>
        <w:ind w:left="1280" w:hanging="644"/>
        <w:spacing w:after="0" w:line="266"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on the Selected Participant’s behalf, such number of Class A Ordinary Shares and/or ADSs to which the Selected Participant becomes entitled under the Scheme and retain the proceeds and/or pay them to the relevant authorities or government agency;</w:t>
      </w:r>
    </w:p>
    <w:p>
      <w:pPr>
        <w:spacing w:after="0" w:line="175" w:lineRule="exact"/>
        <w:rPr>
          <w:rFonts w:ascii="Times New Roman" w:cs="Times New Roman" w:eastAsia="Times New Roman" w:hAnsi="Times New Roman"/>
          <w:sz w:val="18"/>
          <w:szCs w:val="18"/>
          <w:color w:val="auto"/>
        </w:rPr>
      </w:pPr>
    </w:p>
    <w:p>
      <w:pPr>
        <w:jc w:val="both"/>
        <w:ind w:left="1280" w:hanging="644"/>
        <w:spacing w:after="0" w:line="266"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 or withhold, without notice to the Selected Participant, the amount of any such liability from any payment to the Selected Participant made under the Scheme or from any payments due from a member of the Group to the Selected Participant, including from the salary payable to the Selected Participant by any member of the Group; and/or</w:t>
      </w:r>
    </w:p>
    <w:p>
      <w:pPr>
        <w:spacing w:after="0" w:line="175" w:lineRule="exact"/>
        <w:rPr>
          <w:rFonts w:ascii="Times New Roman" w:cs="Times New Roman" w:eastAsia="Times New Roman" w:hAnsi="Times New Roman"/>
          <w:sz w:val="18"/>
          <w:szCs w:val="18"/>
          <w:color w:val="auto"/>
        </w:rPr>
      </w:pPr>
    </w:p>
    <w:p>
      <w:pPr>
        <w:jc w:val="both"/>
        <w:ind w:left="1280" w:hanging="644"/>
        <w:spacing w:after="0" w:line="258" w:lineRule="auto"/>
        <w:tabs>
          <w:tab w:leader="none" w:pos="12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Selected Participant to remit to any member of the Group or Trustee, in the form of cash or a certified bank cashier’s check, an amount sufficient to satisfy any Taxes or other amounts required by any governmental authority to be withheld and paid over to such authority by any member of the Group or Trustee on account of the Selected Participant or to otherwise make alternative arrangements satisfactory to the Company for the payment of such amounts.</w:t>
      </w:r>
    </w:p>
    <w:p>
      <w:pPr>
        <w:spacing w:after="0" w:line="183" w:lineRule="exact"/>
        <w:rPr>
          <w:sz w:val="20"/>
          <w:szCs w:val="20"/>
          <w:color w:val="auto"/>
        </w:rPr>
      </w:pPr>
    </w:p>
    <w:p>
      <w:pPr>
        <w:ind w:left="640" w:right="80"/>
        <w:spacing w:after="0" w:line="282" w:lineRule="auto"/>
        <w:rPr>
          <w:sz w:val="20"/>
          <w:szCs w:val="20"/>
          <w:color w:val="auto"/>
        </w:rPr>
      </w:pPr>
      <w:r>
        <w:rPr>
          <w:rFonts w:ascii="Times New Roman" w:cs="Times New Roman" w:eastAsia="Times New Roman" w:hAnsi="Times New Roman"/>
          <w:sz w:val="18"/>
          <w:szCs w:val="18"/>
          <w:color w:val="auto"/>
        </w:rPr>
        <w:t>The Trustee and the Company shall not be obliged to issue or transfer any Award Shares or pay the Actual Selling Price of such Award Shares or Related Income to a Selected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7" w:right="999" w:bottom="1440" w:gutter="0" w:footer="0" w:header="0"/>
        </w:sectPr>
      </w:pPr>
    </w:p>
    <w:bookmarkStart w:id="254" w:name="page255"/>
    <w:bookmarkEnd w:id="254"/>
    <w:p>
      <w:pPr>
        <w:ind w:left="660" w:right="20"/>
        <w:spacing w:after="0" w:line="282" w:lineRule="auto"/>
        <w:rPr>
          <w:sz w:val="20"/>
          <w:szCs w:val="20"/>
          <w:color w:val="auto"/>
        </w:rPr>
      </w:pPr>
      <w:r>
        <w:rPr>
          <w:rFonts w:ascii="Times New Roman" w:cs="Times New Roman" w:eastAsia="Times New Roman" w:hAnsi="Times New Roman"/>
          <w:sz w:val="18"/>
          <w:szCs w:val="18"/>
          <w:color w:val="auto"/>
        </w:rPr>
        <w:t>unless and until the Selected Participant satisfies the Trustee and the Company that such Selected Participant’s obligations under this Rule 10 have been met.</w:t>
      </w:r>
    </w:p>
    <w:p>
      <w:pPr>
        <w:spacing w:after="0" w:line="158"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LAPSE OR CANCELLATION OF AWARDS, CLAWBACK</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Without prejudice to other circumstances where an Award shall lapse pursuant to the terms in an Award Letter as determined by the Board (or the Scheme Administrator) at its discretion, an Award shall lapse automatically (to the extent not already vested in the Selected Participant and, where relevant, exercised) on the earliest of:</w:t>
      </w:r>
    </w:p>
    <w:p>
      <w:pPr>
        <w:spacing w:after="0" w:line="176" w:lineRule="exact"/>
        <w:rPr>
          <w:sz w:val="20"/>
          <w:szCs w:val="20"/>
          <w:color w:val="auto"/>
        </w:rPr>
      </w:pPr>
    </w:p>
    <w:p>
      <w:pPr>
        <w:ind w:left="1960" w:hanging="656"/>
        <w:spacing w:after="0"/>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the applicable Option Period;</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of any of the periods for exercising an Option referred to in Rule 16 or other circumstances as set out in Rule 16;</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Selected Participant commits a breach of any terms or conditions (if any) attached to the grant of the Award, unless otherwise resolved to the contrary by the Board or the Scheme Administrator;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non-satisfaction of any vesting conditions for the Awards as determined by the Board (or the Scheme Administrator) pursuant to Rule 10.2 and/or Rule 10.3;</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there is an actual or purported breach of Rule 12.1 (with respect to the transferability of the Award) by the Selected Participant as determined by the Board or the Scheme Administrator;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Board (or the Scheme Administrator) makes a determination that the Award shall lapse pursuant to Rule 11.3,</w:t>
      </w:r>
    </w:p>
    <w:p>
      <w:pPr>
        <w:spacing w:after="0" w:line="16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provided that a determination of the Board (or the Scheme Administrator) to the effect that the Award shall lapse and not be vested or exercisable on one or more of the grounds as specified above shall be conclusive and binding on the Selected Participant and that in each case above the Board (or the Scheme Administrator) in its absolute discretion may decide that such Award shall not so lapse or determine subject to such conditions or limitations as it may decide; and that any of such decision shall be conclusive and binding on the Selected Participant. The Company shall not owe any liability to any Selected Participant for the lapse of any Award under this Rule 11. Any Awards lapsed in accordance with the terms of the Scheme will not be regarded as utilized for the purpose of calculating the Scheme Limit or the Service Providers Limit set out in Rule 15.1.</w:t>
      </w:r>
    </w:p>
    <w:p>
      <w:pPr>
        <w:spacing w:after="0" w:line="19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Any Awards granted but not yet vested or exercised may be cancelled by the Board (or a the Scheme Administrator) in the event of any serious misconduct of the Selected Participant or in other specific circumstances as the Board (or the Scheme Administrator) deems appropriate. The Awards so cancelled will be regarded as utilized for the purpose of calculating the relevant Scheme Limit and the Service Providers Limit set out in Rule 15. Issuance of new Awards to the same Selected Participant whose Awards have been cancelled may only be made with Awards available under the Scheme Limit and in compliance with the Listing Rules.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In the event that:</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Selected Participant ceases to be an Eligible Person by reason of the termination of his/her/its employment or contractual engagement with any member of the Group for misconduct or without notice or with payment in lieu of notice;</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Selected Participant has contravened the relevant laws and regulations of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and/or Hong Kong involving his/her/its integrity or honesty;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5" w:name="page256"/>
    <w:bookmarkEnd w:id="255"/>
    <w:p>
      <w:pPr>
        <w:jc w:val="both"/>
        <w:ind w:left="1300" w:hanging="644"/>
        <w:spacing w:after="0" w:line="261"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Selected Participant has been involved in acceptance or solicitation of bribery, corruption, theft, leakage of any trade or technical secrets, or conducted any related transactions or other unlawful acts or misconduct which, in the reasonable opinion of the Board (or the Scheme Administrator), prejudiced the interest of or caused significant negative impact to the Company;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opinion of the Board (or the Scheme Administrator), the Selected Participant has failed to discharge, or failed to discharge properly, his/her/its duties and thereby resulting in serious and adverse consequences to the Company;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opinion of the Board (or the Scheme Administrator), the Selected Participant has engaged in any serious misconduct or breach of the terms of the Scheme or any terms or conditions attached to the grant of the Award in any material respect,</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Board (or the Scheme Administrator) may make a determination at its sole and absolute discretion that (1) any Awards issued to that Selected Participant but not yet exercised shall immediately lapse, regardless of whether such Awards have vested or not; and (2) with respect to any Class A Ordinary Shares and/or ADSs issued and/or transferred to that Selected Participant, the Selected Participant shall be required to transfer back to the Company or its nominee(s): (A) the equivalent number of Class A Ordinary Shares and/or ADSs, (B) an amount in cash equal to the market value of such Class A Ordinary Shares and/or ADSs, or (C) a combination of (A) and (B); and/or (3) with respect to any Award Shares held by the Trustee for the benefit of that Selected Participant, those Award Shares shall no longer be held on trust for nor inure to benefit of the Selected Participant.</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 the Board (or the Scheme Administrator) exercises its discretion under this Rule, it will give the relevant Selected Participant a notice of such determination and the determination of the Board (or a committee pf the Board) made pursuant to this Rule shall be final, conclusive and binding on all parties.</w:t>
      </w:r>
    </w:p>
    <w:p>
      <w:pPr>
        <w:spacing w:after="0" w:line="17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Board (or the Scheme Administrator) shall have full authority to implement any policies and procedures necessary to comply with Section 10D of the Exchange Act and any rules promulgated thereunder and any other regulatory regimes. Notwithstanding anything to the contrary contained herein, any Awards granted under the Scheme (including any amounts or benefits arising from such Awards) shall be subject to any clawback or recoupment arrangements or policies the Company has in place from time to time, and the Board (or the Scheme Administrator) may, to the extent permitted by applicable law and stock exchange rules or by any applicable Company policy or arrangement, and shall, to the extent required, cancel or require reimbursement of any Awards granted to the Selected Participant or any Class A Ordinary Shares issued or transferred or cash received upon vesting, exercise or settlement of any such Awards or sale of Class A Ordinary Shares underlying such Awards.</w:t>
      </w:r>
    </w:p>
    <w:p>
      <w:pPr>
        <w:spacing w:after="0" w:line="188"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Any Award granted hereunder shall be personal to the Selected Participant to whom it is made and shall not be assignable or transferable, except in circumstances where approval from the Board or the Scheme Administrator has been obtained and the transfer is in compliance with the Listing Rules (or a waiver has been granted by the Stock Exchange for such transfer) and provided that any such transferee agrees to be bound by the Scheme and the Scheme Rules as if the transferee were the Selected Participant.</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Any actual or purported breach of Rule 12.1 shall result in lapse of any outstanding Awards or part thereof granted to such Selected Participant. For this purpose, a determination by the Board (or the Scheme Administrator) to the effect that the Selected Participant has or has not breached Rule 12.1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6" w:name="page257"/>
    <w:bookmarkEnd w:id="256"/>
    <w:p>
      <w:pPr>
        <w:ind w:left="660" w:hanging="652"/>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IN THE TRUST / RETURNED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7"/>
          <w:szCs w:val="17"/>
          <w:color w:val="auto"/>
        </w:rPr>
        <w:t>For the avoidance of doubt,</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do not carry any right to vote at general meetings of the Company, nor any right to dividends, transfer or other rights. The Selected Participants do not have any rights to any cash or non-cash income, dividends or distributions and/or sale proceeds of non-cash and non-scrip distributions from any Class A Ordinary Shares and/or ADSs underlying an unvested Award or an unexercised Option;</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Selected Participant shall have no right to any dividend of the Returned Shares or any of the Returned Shares, all of which shall be retained by the Trustee for the benefit of the Scheme;</w:t>
      </w:r>
    </w:p>
    <w:p>
      <w:pPr>
        <w:spacing w:after="0" w:line="16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Selected Participant shall have no rights in the balance of the fractional shares arising out of consolidation of Class A Ordinary Shares and/or ADSs (if any) and such Class A Ordinary Shares and/or ADSs shall be deemed Returned Shares for the purposes of the Scheme;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Selected Participant ceases to be an Eligible Person on or prior to the relevant Vesting Date and any Awards and Related Income (if any) in respect of the relevant Vesting Date shall lapse or be forfeited pursuant to the terms of the Scheme and/or the Award Letter, such Awards and Related Income (if any) shall not vest on the relevant Vesting Date and the Selected Participant shall have no claims against the Company, any member of the Group or the Trustee, unless the Board or the Scheme Administrator determines otherwise at its discretion.</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The Trustee shall hold Returned Shares to be applied towards future Awards in accordance with the provisions hereof for the purpose of the Scheme. When Class A Ordinary Shares and/or ADSs have been deemed to be Returned Shares under the Scheme Rules, the Trustee shall notify the Company accordingly.</w:t>
      </w:r>
    </w:p>
    <w:p>
      <w:pPr>
        <w:spacing w:after="0" w:line="172"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OF CAPITAL STRUCTURE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Where there is any alteration in the capital structure of the Company by way of a sub-division, consolidation or reduction of the share capital of the Company, change in the ratio of ADSs to the Class A Ordinary Shares, a capitalization issue or a rights issue (other than an alteration in the Company’s capital structure as a result of an issue of Class A Ordinary Shares and/or ADSs as consideration in a transaction to which the Company is a party), the Board (or the Scheme Administrator) shall make such corresponding adjustments (if any) as it may deem appropriate to reflect such changes with respect to:</w:t>
      </w:r>
    </w:p>
    <w:p>
      <w:pPr>
        <w:spacing w:after="0" w:line="183" w:lineRule="exact"/>
        <w:rPr>
          <w:sz w:val="20"/>
          <w:szCs w:val="20"/>
          <w:color w:val="auto"/>
        </w:rPr>
      </w:pPr>
    </w:p>
    <w:p>
      <w:pPr>
        <w:jc w:val="both"/>
        <w:ind w:left="1300" w:hanging="644"/>
        <w:spacing w:after="0" w:line="258"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and/or ADSs constituting the Scheme Limit and/or the Service Providers Limit, provided that in the event of any subdivision or consolidation of Class A Ordinary Share and/or ADSs, the Scheme Limit and the Service Providers Limit as a percentage of the total issued Class A Ordinary Shares and/or ADSs (excluding treasury shares) of the Company at the date immediately before the consolidation or subdivision shall be the same on the date immediately after such consolidation or subdivision;</w:t>
      </w:r>
    </w:p>
    <w:p>
      <w:pPr>
        <w:spacing w:after="0" w:line="18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A Ordinary Shares and/or ADSs underlying each Award (to the extent any Award has not yet been exercised); and/or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any outstanding Options and/or the purchase price (if any) of the Award Shares subject to any outstanding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7" w:name="page258"/>
    <w:bookmarkEnd w:id="257"/>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or any combination thereof, to satisfy the relevant requirements of the Listing Rules and are, fair and reasonable generally or as regards any particular Selected Participant, provided that (i) any such adjustments should give each Selected Participant the same proportion of the equity capital of the Company (rounded to the nearest whole Class A Ordinary Share or ADS) as that to which that Selected Participant was previously entitled prior to such adjustments; and (ii) no such adjustments shall be made which would result in a Class A Ordinary Share and/or ADSs being issued or transferred at less than its nominal value (if any).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color w:val="auto"/>
        </w:rPr>
        <w:t>Based on the above principles and conditions, the adjustment formula shall be as follows.</w:t>
      </w:r>
    </w:p>
    <w:p>
      <w:pPr>
        <w:spacing w:after="0" w:line="225" w:lineRule="exact"/>
        <w:rPr>
          <w:sz w:val="20"/>
          <w:szCs w:val="20"/>
          <w:color w:val="auto"/>
        </w:rPr>
      </w:pPr>
    </w:p>
    <w:p>
      <w:pPr>
        <w:ind w:left="1300" w:right="4720" w:hanging="644"/>
        <w:spacing w:after="0" w:line="530" w:lineRule="auto"/>
        <w:tabs>
          <w:tab w:leader="none" w:pos="13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Scheme Limit or Service Providers Limit = Existing Scheme Limit or Service Providers Limit x F</w:t>
      </w:r>
    </w:p>
    <w:p>
      <w:pPr>
        <w:ind w:left="1300" w:right="2420" w:hanging="644"/>
        <w:spacing w:after="0" w:line="530" w:lineRule="auto"/>
        <w:tabs>
          <w:tab w:leader="none" w:pos="13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number of Class A Ordinary Shares and/or ADSs underlying each Award = Existing number of Class A Ordinary Shares and/or ADSs underlying each Award x F</w:t>
      </w:r>
    </w:p>
    <w:p>
      <w:pPr>
        <w:ind w:left="1300" w:right="6520" w:hanging="644"/>
        <w:spacing w:after="0" w:line="530" w:lineRule="auto"/>
        <w:tabs>
          <w:tab w:leader="none" w:pos="130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Exercise Price = Existing Exercise Price x 1/F</w:t>
      </w:r>
    </w:p>
    <w:p>
      <w:pPr>
        <w:ind w:left="1300" w:right="2020" w:hanging="644"/>
        <w:spacing w:after="0" w:line="500" w:lineRule="auto"/>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sub-division, consolidation or reduction of the share capital of the Company:-F = sub-division, consolidation or reduction factor.</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capitalization issue or a rights issue:- F = CUM / TEEP</w:t>
      </w:r>
    </w:p>
    <w:p>
      <w:pPr>
        <w:spacing w:after="0" w:line="225" w:lineRule="exact"/>
        <w:rPr>
          <w:rFonts w:ascii="Times New Roman" w:cs="Times New Roman" w:eastAsia="Times New Roman" w:hAnsi="Times New Roman"/>
          <w:sz w:val="18"/>
          <w:szCs w:val="18"/>
          <w:color w:val="auto"/>
        </w:rPr>
      </w:pPr>
    </w:p>
    <w:p>
      <w:pPr>
        <w:ind w:left="1300" w:right="11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 = Closing price of the ADSs on the NYSE on the last day of trading before going ex-entitlement TEEP (theoretical ex entitlement price) = [CUM + (M x R)] / (1+M) M = Entitlement per existing Share R = Subscription price</w:t>
      </w:r>
    </w:p>
    <w:p>
      <w:pPr>
        <w:spacing w:after="0" w:line="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change in the ration of ADSs, the adjustment formula shall be as follows.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Number of ADSs underlying a specific Award = Existing number of ADSs underlying a specific Award x β</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New Exercise Price per each ADS underlying a specific Award = Existing Exercise Price per each ADS underlying a specific Award x 1/β</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β = Ratio change factor of ADS to Class A Ordinary Share</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All fractional shares (if any) arising out of any such alterations in respect of the Award Shares of a Selected Participant shall be deemed as Returned Shares and shall not be transferred to the relevant Selected Participant on the relevant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8" w:name="page259"/>
    <w:bookmarkEnd w:id="258"/>
    <w:p>
      <w:pPr>
        <w:ind w:left="660" w:hanging="652"/>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SCHEME AND GRANT LIMITS</w:t>
      </w:r>
    </w:p>
    <w:p>
      <w:pPr>
        <w:spacing w:after="0" w:line="243"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The maximum number of Class A Ordinary Shares and/or ADSs which may be issued pursuant to the Awards granted and to be granted under the Scheme, when aggregated with the number of Class A Ordinary Shares and/or ADSs which may be issued pursuant to other awards schemes of the Company, shall not exceed 57,459,259 (being 10% of the total number of Shares in issue as at the Adoption Date (excluding any treasury shares)) (the “</w:t>
      </w:r>
      <w:r>
        <w:rPr>
          <w:rFonts w:ascii="Times New Roman" w:cs="Times New Roman" w:eastAsia="Times New Roman" w:hAnsi="Times New Roman"/>
          <w:sz w:val="18"/>
          <w:szCs w:val="18"/>
          <w:b w:val="1"/>
          <w:bCs w:val="1"/>
          <w:color w:val="auto"/>
        </w:rPr>
        <w:t>Scheme Limit</w:t>
      </w:r>
      <w:r>
        <w:rPr>
          <w:rFonts w:ascii="Times New Roman" w:cs="Times New Roman" w:eastAsia="Times New Roman" w:hAnsi="Times New Roman"/>
          <w:sz w:val="18"/>
          <w:szCs w:val="18"/>
          <w:color w:val="auto"/>
        </w:rPr>
        <w:t>”). Furthermore, the total number of Class A Ordinary Shares and/or ADSs which may be issued pursuant to the Awards granted and to be granted to Service Providers under the Scheme shall not exceed 5,745,925 (being 1.0% of the total number of Shares in issue as at the Adoption Date (excluding any treasury shares)) (the “</w:t>
      </w:r>
      <w:r>
        <w:rPr>
          <w:rFonts w:ascii="Times New Roman" w:cs="Times New Roman" w:eastAsia="Times New Roman" w:hAnsi="Times New Roman"/>
          <w:sz w:val="18"/>
          <w:szCs w:val="18"/>
          <w:b w:val="1"/>
          <w:bCs w:val="1"/>
          <w:color w:val="auto"/>
        </w:rPr>
        <w:t>Service Providers Limit</w:t>
      </w:r>
      <w:r>
        <w:rPr>
          <w:rFonts w:ascii="Times New Roman" w:cs="Times New Roman" w:eastAsia="Times New Roman" w:hAnsi="Times New Roman"/>
          <w:sz w:val="18"/>
          <w:szCs w:val="18"/>
          <w:color w:val="auto"/>
        </w:rPr>
        <w:t>”). For the avoidance of doubt, the Service Providers Limit is within and is subject to the Scheme Limit and that any Class A Ordinary Shares which would have been issued pursuant to the Awards which have lapsed in accordance with the terms of the Scheme Rules will not be regarded as utilized for the purpose of calculating the Scheme Limit or the Service Providers Limit. The Scheme Limit and the Service Providers Limit may be subject to refreshment in accordance with Rule 15.2.</w:t>
      </w:r>
    </w:p>
    <w:p>
      <w:pPr>
        <w:spacing w:after="0" w:line="1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The Company may refresh the Scheme Limit and/or the Service Providers Limit:</w:t>
      </w:r>
    </w:p>
    <w:p>
      <w:pPr>
        <w:spacing w:after="0" w:line="225" w:lineRule="exact"/>
        <w:rPr>
          <w:sz w:val="20"/>
          <w:szCs w:val="20"/>
          <w:color w:val="auto"/>
        </w:rPr>
      </w:pPr>
    </w:p>
    <w:p>
      <w:pPr>
        <w:ind w:left="1300" w:hanging="644"/>
        <w:spacing w:after="0" w:line="282" w:lineRule="auto"/>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later of three years after the Adoption Date or three years after the date of the previous refreshment of the Scheme Limit or the Service Providers Limit (as the case may be) by obtaining Shareholders’ approval;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of the aforementioned three-year period by obtaining Shareholders’ approval and subject to compliance with any additional requirements set out in the Listing Rules,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provided that the total number of Class A Ordinary Shares and/or ADSs which may be issued upon exercise of all Awards to be granted under the Scheme and other awards schemes of the Company under the Scheme Limit as refreshed must not exceed 10% of the total number of Shares in issue (excluding any treasury shares) as at the date of such Shareholders’ approval, and subject further to compliance with other requirements prescribed under the Listing Rules from time to time.</w:t>
      </w:r>
    </w:p>
    <w:p>
      <w:pPr>
        <w:spacing w:after="0" w:line="7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The Company may seek separate approval by its Shareholders in general meeting for granting Awards beyond the Scheme Limit, provided that the Awards in excess of the Scheme Limit are granted only to Eligible Persons specifically identified by the Company before such approval is sought and subject to compliance with other relevant requirements prescribed under the Listing Rules. In respect of any Options to be granted in such circumstances, the date of the meeting of the Board proposing such grant should be taken as the Grant Date for purpose of calculating the Exercise Price of such Options.</w:t>
      </w:r>
    </w:p>
    <w:p>
      <w:pPr>
        <w:spacing w:after="0" w:line="18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The total number of Class A Ordinary Shares and/or ADSs issued and to be issued upon the vesting or exercise of Awards granted and to be granted under the Scheme and other awards schemes of the Company to each Selected Participant (excluding Awards lapsed in accordance with the Scheme) in any 12-month period up to (and including) the date of the latest grant shall not exceed 5,745,925 (being 1% of the total number of Shares in issue as at the Adoption Date (excluding any treasury shares)) (the “</w:t>
      </w:r>
      <w:r>
        <w:rPr>
          <w:rFonts w:ascii="Times New Roman" w:cs="Times New Roman" w:eastAsia="Times New Roman" w:hAnsi="Times New Roman"/>
          <w:sz w:val="18"/>
          <w:szCs w:val="18"/>
          <w:b w:val="1"/>
          <w:bCs w:val="1"/>
          <w:color w:val="auto"/>
        </w:rPr>
        <w:t>Individual Limit</w:t>
      </w:r>
      <w:r>
        <w:rPr>
          <w:rFonts w:ascii="Times New Roman" w:cs="Times New Roman" w:eastAsia="Times New Roman" w:hAnsi="Times New Roman"/>
          <w:sz w:val="18"/>
          <w:szCs w:val="18"/>
          <w:color w:val="auto"/>
        </w:rPr>
        <w:t>”). Any further grant of Awards to a Selected Participant which would exceed the Individual Limit shall be subject to separate approval of the Shareholders in general meeting in accordance with the Listing Rules. In respect of any Options to be granted in such circumstances, the date of the meeting of the Board (or the Scheme Administrator) proposing any such further grant shall be taken as the Grant Date for the purpose of calculating the Exercise Price of such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9" w:name="page260"/>
    <w:bookmarkEnd w:id="259"/>
    <w:p>
      <w:pPr>
        <w:jc w:val="both"/>
        <w:ind w:left="652" w:hanging="647"/>
        <w:spacing w:after="0" w:line="266" w:lineRule="auto"/>
        <w:tabs>
          <w:tab w:leader="none" w:pos="631"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Any grant of Awards to any director, chief executive or substantial shareholder of the Company or any of their respective associates shall be subject to the prior approval of the independent non-executive directors of the Company (excluding any independent non-executive director who is a proposed recipient of the grant of Awards). Furthermore, where:</w:t>
      </w:r>
    </w:p>
    <w:p>
      <w:pPr>
        <w:spacing w:after="0" w:line="176" w:lineRule="exact"/>
        <w:rPr>
          <w:sz w:val="20"/>
          <w:szCs w:val="20"/>
          <w:color w:val="auto"/>
        </w:rPr>
      </w:pPr>
    </w:p>
    <w:p>
      <w:pPr>
        <w:jc w:val="both"/>
        <w:ind w:left="1952" w:right="20" w:hanging="656"/>
        <w:spacing w:after="0" w:line="258" w:lineRule="auto"/>
        <w:tabs>
          <w:tab w:leader="none" w:pos="195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grant of Awards (but excluding grant of Options) to any director (other than an independent non-executive director) or chief executive of the Company would result in the Class A Ordinary Shares and/or ADSs issued and to be issued in respect of all Awards granted (excluding Awards lapsed in accordance with the terms of the Scheme) to such person in the 12-month period up to and including the date of such grant representing in aggregate over 0.1% of the total number of Shares in issue (excluding any treasury shares); or</w:t>
      </w:r>
    </w:p>
    <w:p>
      <w:pPr>
        <w:spacing w:after="0" w:line="183" w:lineRule="exact"/>
        <w:rPr>
          <w:rFonts w:ascii="Times New Roman" w:cs="Times New Roman" w:eastAsia="Times New Roman" w:hAnsi="Times New Roman"/>
          <w:sz w:val="18"/>
          <w:szCs w:val="18"/>
          <w:color w:val="auto"/>
        </w:rPr>
      </w:pPr>
    </w:p>
    <w:p>
      <w:pPr>
        <w:jc w:val="both"/>
        <w:ind w:left="1952" w:hanging="656"/>
        <w:spacing w:after="0" w:line="258" w:lineRule="auto"/>
        <w:tabs>
          <w:tab w:leader="none" w:pos="195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grant of Awards to an independent non-executive director or substantial shareholder of the Company or any of their respective associates would result in the number of Class A Ordinary Shares and/or ADSs issued and to be issued in respect of all Awards granted (excluding Awards lapsed in accordance with the terms of the Scheme) to such person in the 12-month period up to and including the date of such grant representing in aggregate over 0.1% of the total number of Shares in issue (excluding any treasury shares),</w:t>
      </w:r>
    </w:p>
    <w:p>
      <w:pPr>
        <w:spacing w:after="0" w:line="183"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such further grant of Awards must be approved by the Shareholders in general meeting in the manner required and subject to the requirements set out in the Listing Rules.</w:t>
      </w:r>
    </w:p>
    <w:p>
      <w:pPr>
        <w:spacing w:after="0" w:line="252" w:lineRule="exact"/>
        <w:rPr>
          <w:sz w:val="20"/>
          <w:szCs w:val="20"/>
          <w:color w:val="auto"/>
        </w:rPr>
      </w:pPr>
    </w:p>
    <w:p>
      <w:pPr>
        <w:ind w:left="652" w:hanging="652"/>
        <w:spacing w:after="0"/>
        <w:tabs>
          <w:tab w:leader="none" w:pos="652"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PARTICIPANT CEASING TO BE AN ELIGIBLE PERSON</w:t>
      </w:r>
    </w:p>
    <w:p>
      <w:pPr>
        <w:spacing w:after="0" w:line="229" w:lineRule="exact"/>
        <w:rPr>
          <w:sz w:val="20"/>
          <w:szCs w:val="20"/>
          <w:color w:val="auto"/>
        </w:rPr>
      </w:pPr>
    </w:p>
    <w:p>
      <w:pPr>
        <w:ind w:left="652" w:right="20" w:hanging="647"/>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color w:val="auto"/>
        </w:rPr>
        <w:t>Subject to other terms and limitations set out in the Award Letter, if a Selected Participant ceases to be an Eligible Person by reason of his/her death:</w:t>
      </w:r>
    </w:p>
    <w:p>
      <w:pPr>
        <w:spacing w:after="0" w:line="162" w:lineRule="exact"/>
        <w:rPr>
          <w:sz w:val="20"/>
          <w:szCs w:val="20"/>
          <w:color w:val="auto"/>
        </w:rPr>
      </w:pPr>
    </w:p>
    <w:p>
      <w:pPr>
        <w:jc w:val="both"/>
        <w:ind w:left="1952" w:hanging="656"/>
        <w:spacing w:after="0" w:line="256" w:lineRule="auto"/>
        <w:tabs>
          <w:tab w:leader="none" w:pos="195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vested Option as of the date of the Selected Participant’s death may be exercised before the earlier of (a) the expiration date of the Option Period; and (b) the last day of the period immediately following the Selected Participant’s death, as the Board (or the Scheme Administrator) may determine, by the personal representatives (or the persons charged with the duty of representing the Selected Participant under applicable laws) of the Selected Participant. If the vested Option is not exercised within the time aforementioned, the Option shall automatically lapse;</w:t>
      </w:r>
    </w:p>
    <w:p>
      <w:pPr>
        <w:spacing w:after="0" w:line="187" w:lineRule="exact"/>
        <w:rPr>
          <w:rFonts w:ascii="Times New Roman" w:cs="Times New Roman" w:eastAsia="Times New Roman" w:hAnsi="Times New Roman"/>
          <w:sz w:val="18"/>
          <w:szCs w:val="18"/>
          <w:color w:val="auto"/>
        </w:rPr>
      </w:pPr>
    </w:p>
    <w:p>
      <w:pPr>
        <w:jc w:val="both"/>
        <w:ind w:left="1952" w:hanging="656"/>
        <w:spacing w:after="0" w:line="258" w:lineRule="auto"/>
        <w:tabs>
          <w:tab w:leader="none" w:pos="195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other than Options, the Company may issue and/or transfer the vested Award Shares as of the date of the Selected Participant’s death to the Selected Participant’s legal personal representatives (or the persons charged with the duty of representing the Selected Participant under applicable laws) as soon as practicable following the death of the Selected Participant or, if the vested Award Shares would otherwise become bona vacantia, the vested Award Shares shall be forfeited and shall lapse; and</w:t>
      </w:r>
    </w:p>
    <w:p>
      <w:pPr>
        <w:spacing w:after="0" w:line="183"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Awards not yet vested shall immediately be forfeited for no consideration and shall lapse, unless the Board (or the Scheme Administrator) determines otherwise at its sole and absolute discretion,</w:t>
      </w:r>
    </w:p>
    <w:p>
      <w:pPr>
        <w:spacing w:after="0" w:line="162" w:lineRule="exact"/>
        <w:rPr>
          <w:sz w:val="20"/>
          <w:szCs w:val="20"/>
          <w:color w:val="auto"/>
        </w:rPr>
      </w:pPr>
    </w:p>
    <w:p>
      <w:pPr>
        <w:ind w:left="652" w:right="20"/>
        <w:spacing w:after="0" w:line="282" w:lineRule="auto"/>
        <w:rPr>
          <w:sz w:val="20"/>
          <w:szCs w:val="20"/>
          <w:color w:val="auto"/>
        </w:rPr>
      </w:pPr>
      <w:r>
        <w:rPr>
          <w:rFonts w:ascii="Times New Roman" w:cs="Times New Roman" w:eastAsia="Times New Roman" w:hAnsi="Times New Roman"/>
          <w:sz w:val="18"/>
          <w:szCs w:val="18"/>
          <w:color w:val="auto"/>
        </w:rPr>
        <w:t>and references in the Scheme Rules to “Selected Participant” shall be construed as references to a Selected Participant’s personal representative or estate where the context requires and to the extent necessary to give effect to this Rule 16.</w:t>
      </w:r>
    </w:p>
    <w:p>
      <w:pPr>
        <w:spacing w:after="0" w:line="162" w:lineRule="exact"/>
        <w:rPr>
          <w:sz w:val="20"/>
          <w:szCs w:val="20"/>
          <w:color w:val="auto"/>
        </w:rPr>
      </w:pPr>
    </w:p>
    <w:p>
      <w:pPr>
        <w:ind w:left="652" w:hanging="647"/>
        <w:spacing w:after="0" w:line="282" w:lineRule="auto"/>
        <w:tabs>
          <w:tab w:leader="none" w:pos="631"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8"/>
          <w:szCs w:val="18"/>
          <w:color w:val="auto"/>
        </w:rPr>
        <w:t>Subject to other terms and limitations set out in the Award Letter, if a Selected Participant ceases to be an Eligible Person for reasons other than those set out in Rules 13.1(i) and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60" w:name="page261"/>
    <w:bookmarkEnd w:id="260"/>
    <w:p>
      <w:pPr>
        <w:ind w:left="652"/>
        <w:spacing w:after="0" w:line="282" w:lineRule="auto"/>
        <w:rPr>
          <w:sz w:val="20"/>
          <w:szCs w:val="20"/>
          <w:color w:val="auto"/>
        </w:rPr>
      </w:pPr>
      <w:r>
        <w:rPr>
          <w:rFonts w:ascii="Times New Roman" w:cs="Times New Roman" w:eastAsia="Times New Roman" w:hAnsi="Times New Roman"/>
          <w:sz w:val="18"/>
          <w:szCs w:val="18"/>
          <w:color w:val="auto"/>
        </w:rPr>
        <w:t>(including but not limited to the termination of employment or contractual engagement with any member of the Group without misconduct or other cause):</w:t>
      </w:r>
    </w:p>
    <w:p>
      <w:pPr>
        <w:spacing w:after="0" w:line="162" w:lineRule="exact"/>
        <w:rPr>
          <w:sz w:val="20"/>
          <w:szCs w:val="20"/>
          <w:color w:val="auto"/>
        </w:rPr>
      </w:pPr>
    </w:p>
    <w:p>
      <w:pPr>
        <w:jc w:val="both"/>
        <w:ind w:left="1952" w:hanging="656"/>
        <w:spacing w:after="0" w:line="258" w:lineRule="auto"/>
        <w:tabs>
          <w:tab w:leader="none" w:pos="195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in Rule 11.3, a Selected Participant may exercise any vested Options as of the date that he/she ceases to be an Eligible Person before the earliest of (i) the expiration date of the Option Period; and (ii) the last day of the period following the termination of the Selected Participant’s status as an Eligible Person as the Board (or the Scheme Administrator) may determine;. If the vested Option is not exercised within the time aforementioned, the Option shall be forfeited and shall lapse; and</w:t>
      </w:r>
    </w:p>
    <w:p>
      <w:pPr>
        <w:spacing w:after="0" w:line="183"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95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outstanding Awards not yet vested shall immediately be forfeited for no consideration and shall lapse, unless the Board (or the Scheme Administrator) determines otherwise at its sole and absolute discretion.</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 / DISPUTES</w:t>
      </w:r>
    </w:p>
    <w:p>
      <w:pPr>
        <w:spacing w:after="0" w:line="229" w:lineRule="exact"/>
        <w:rPr>
          <w:sz w:val="20"/>
          <w:szCs w:val="20"/>
          <w:color w:val="auto"/>
        </w:rPr>
      </w:pPr>
    </w:p>
    <w:p>
      <w:pPr>
        <w:jc w:val="both"/>
        <w:ind w:left="652" w:hanging="647"/>
        <w:spacing w:after="0" w:line="266" w:lineRule="auto"/>
        <w:tabs>
          <w:tab w:leader="none" w:pos="631"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Any decision to be made under the Scheme, including matters of interpretation with respect to the Scheme Rules, shall be made by the Board or the Scheme Administrator. The decision by the Board or the Scheme Administrator shall be final and binding on all parties.</w:t>
      </w:r>
    </w:p>
    <w:p>
      <w:pPr>
        <w:spacing w:after="0" w:line="176" w:lineRule="exact"/>
        <w:rPr>
          <w:sz w:val="20"/>
          <w:szCs w:val="20"/>
          <w:color w:val="auto"/>
        </w:rPr>
      </w:pPr>
    </w:p>
    <w:p>
      <w:pPr>
        <w:jc w:val="both"/>
        <w:ind w:left="652" w:hanging="647"/>
        <w:spacing w:after="0" w:line="256" w:lineRule="auto"/>
        <w:tabs>
          <w:tab w:leader="none" w:pos="631"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Disputes arising in connection with the Scheme shall be referred to the decision of the Board or the Scheme Administrator in the first instance, which decision shall be final and binding. Should the Board or the Scheme Administrator decide, any dispute referred to it may be subsequently referred to the decision of the independent professional parties appointed by the Board or the Scheme Administrator, who shall then act as experts and not as arbitrators and whose decision shall, in the absence of manifest error, be final and binding on all parties. In such cases, the costs of such independent professional parties shall be shared equally between the Company and the relevant Selected Participants.</w:t>
      </w:r>
    </w:p>
    <w:p>
      <w:pPr>
        <w:spacing w:after="0" w:line="183" w:lineRule="exact"/>
        <w:rPr>
          <w:sz w:val="20"/>
          <w:szCs w:val="20"/>
          <w:color w:val="auto"/>
        </w:rPr>
      </w:pPr>
    </w:p>
    <w:p>
      <w:pPr>
        <w:ind w:left="652" w:hanging="652"/>
        <w:spacing w:after="0"/>
        <w:tabs>
          <w:tab w:leader="none" w:pos="652"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ALTERATION OF THE SCHEME</w:t>
      </w:r>
    </w:p>
    <w:p>
      <w:pPr>
        <w:spacing w:after="0" w:line="229" w:lineRule="exact"/>
        <w:rPr>
          <w:sz w:val="20"/>
          <w:szCs w:val="20"/>
          <w:color w:val="auto"/>
        </w:rPr>
      </w:pPr>
    </w:p>
    <w:p>
      <w:pPr>
        <w:jc w:val="both"/>
        <w:ind w:left="652" w:hanging="647"/>
        <w:spacing w:after="0" w:line="256" w:lineRule="auto"/>
        <w:tabs>
          <w:tab w:leader="none" w:pos="631"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the Scheme Limit and this Rule 18, the Board (or the Scheme Administrator) may amend any of the provisions of the Scheme or any Awards granted under the Scheme at any time and in any respect, provided that the terms of the Scheme or Awards so amended must still comply with the requirements of Chapter 17 of the Listing Rules (as applicable). Approval of the Shareholders in general meeting is required for any amendment to the terms of the Scheme which are of a material nature or to any provisions of the Scheme which relate to the matters set out in Rule 17.03 of the Listing Rules to the extent that such amendment operates to the advantage of Selected Participants.</w:t>
      </w:r>
    </w:p>
    <w:p>
      <w:pPr>
        <w:spacing w:after="0" w:line="187" w:lineRule="exact"/>
        <w:rPr>
          <w:sz w:val="20"/>
          <w:szCs w:val="20"/>
          <w:color w:val="auto"/>
        </w:rPr>
      </w:pPr>
    </w:p>
    <w:p>
      <w:pPr>
        <w:jc w:val="both"/>
        <w:ind w:left="652" w:hanging="647"/>
        <w:spacing w:after="0" w:line="254" w:lineRule="auto"/>
        <w:tabs>
          <w:tab w:leader="none" w:pos="631"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Any change to the terms of any Award the grant of which was subject to the approval of a particular authority (such as the Board or any committee thereof, the independent non-executive directors or the Shareholders in general meeting, as the case may be) shall be subject to approval by that same authority, provided that this requirement does not apply where the relevant alteration takes effect automatically under the terms of the Scheme. Without limiting the foregoing, any change in the terms of the Awards granted to any Selected Participant who is a director, chief executive or substantial shareholder of the Company, or any of their respective associates, must be approved by the Shareholders in general meeting in the manner required by the Listing Rules if the initial grant of the Awards requires such approval (except where the changes take effect automatically under the terms of the Scheme).</w:t>
      </w:r>
    </w:p>
    <w:p>
      <w:pPr>
        <w:spacing w:after="0" w:line="192" w:lineRule="exact"/>
        <w:rPr>
          <w:sz w:val="20"/>
          <w:szCs w:val="20"/>
          <w:color w:val="auto"/>
        </w:rPr>
      </w:pPr>
    </w:p>
    <w:p>
      <w:pPr>
        <w:jc w:val="both"/>
        <w:ind w:left="652" w:hanging="647"/>
        <w:spacing w:after="0" w:line="266" w:lineRule="auto"/>
        <w:tabs>
          <w:tab w:leader="none" w:pos="631"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No amendment shall be made to any Awards to the extent that such amendment has a material adverse effect on the subsisting rights of a Selected Participant at that date in respect of the Awards already granted to that Selected Participant and to the extent that such Awards have not vested or lapsed or been forfeited, without the consent of such Selected Participant, provided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61" w:name="page262"/>
    <w:bookmarkEnd w:id="261"/>
    <w:p>
      <w:pPr>
        <w:ind w:left="660"/>
        <w:spacing w:after="0" w:line="282" w:lineRule="auto"/>
        <w:rPr>
          <w:sz w:val="20"/>
          <w:szCs w:val="20"/>
          <w:color w:val="auto"/>
        </w:rPr>
      </w:pPr>
      <w:r>
        <w:rPr>
          <w:rFonts w:ascii="Times New Roman" w:cs="Times New Roman" w:eastAsia="Times New Roman" w:hAnsi="Times New Roman"/>
          <w:sz w:val="18"/>
          <w:szCs w:val="18"/>
          <w:color w:val="auto"/>
        </w:rPr>
        <w:t>no such consent shall be required if the Board (or the Scheme Administrator) determines in its sole and absolute discretion that such amendment or alteration either:</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necessary or advisable in order for the Company, the Scheme or the Award to satisfy any applicable laws, rules or regulations (including the Listing Rules) or to meet the requirements of, or avoid any adverse consequences under, any accounting standards;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reasonably likely to diminish materially the benefits provided under such Award, or that any such diminishment has been adequately compensated.</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Any change to the authority of the Board or the Scheme Administrator to alter the terms of the Scheme must be approved by Shareholders in general meeting.</w:t>
      </w:r>
    </w:p>
    <w:p>
      <w:pPr>
        <w:spacing w:after="0" w:line="158"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color w:val="auto"/>
        </w:rPr>
        <w:t>The Scheme shall terminate on the earlier of:</w:t>
      </w:r>
    </w:p>
    <w:p>
      <w:pPr>
        <w:spacing w:after="0" w:line="225" w:lineRule="exact"/>
        <w:rPr>
          <w:sz w:val="20"/>
          <w:szCs w:val="20"/>
          <w:color w:val="auto"/>
        </w:rPr>
      </w:pPr>
    </w:p>
    <w:p>
      <w:pPr>
        <w:ind w:left="1300" w:right="20" w:hanging="644"/>
        <w:spacing w:after="0" w:line="282" w:lineRule="auto"/>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Award Period, except otherwise as may be required in accordance with the provisions of the Scheme;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of early termination as determined by the Board,</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following which no further Awards will be offered or granted under the Scheme, provided that notwithstanding such termination, the Scheme and the Scheme Rules shall continue to be valid and effective to the extent necessary to give effect to the vesting and exercise of any Awards granted and remaining unvested, unexercised and unexpired prior to the termination of the Scheme, and that such termination shall not affect the subsisting rights already granted to a Selected Participant.</w:t>
      </w:r>
    </w:p>
    <w:p>
      <w:pPr>
        <w:spacing w:after="0" w:line="176"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The Scheme shall not form part of any contract of employment or other contract between the Company (or any Subsidiary) and any Eligible Person or Selected Participant, and the rights and obligations of any Eligible Person or Selected Participant under the terms of his/her/its office or employment or engagement shall not be affected by his/her/its participation in the Scheme or any right which he/she/it may have to participate in it and the Scheme shall afford such Eligible Person or Selected Participant no additional rights to compensation or damages in consequence of the termination of such office or employment or engagement for any reason.</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The Company shall not be responsible to (i) any Eligible Person or Selected Participant for any failure by the Company or any person involved in the management or administration of the Scheme; or (ii) any person (including any Eligible Person and Selected Participant) to obtain any consent or approval required for such person to participate in the Scheme; or (iii) any Eligible Person or Selected Participant for any Taxes, expenses, fees or any other liability to which such Eligible Person or Selected Participant may become subject as a result of participation in the Scheme.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Company shall bear the costs of establishing and administering the Scheme.</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Any notice or other communication between the Company and any Eligible Person or Selected Participant may be given by sending the same by prepaid post or by personal delivery to, in the case of the Company, its registered office in Hong Kong or such other address as notified to the Eligible Person or Selected Participant from time to time and in the case of an Eligible Person or Selected Participant, his/her/its address as notified to the Company from time to time or by hand delivery. In addition, any notice or other communication from the Company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62" w:name="page263"/>
    <w:bookmarkEnd w:id="262"/>
    <w:p>
      <w:pPr>
        <w:ind w:left="640" w:right="600"/>
        <w:spacing w:after="0" w:line="282" w:lineRule="auto"/>
        <w:rPr>
          <w:sz w:val="20"/>
          <w:szCs w:val="20"/>
          <w:color w:val="auto"/>
        </w:rPr>
      </w:pPr>
      <w:r>
        <w:rPr>
          <w:rFonts w:ascii="Times New Roman" w:cs="Times New Roman" w:eastAsia="Times New Roman" w:hAnsi="Times New Roman"/>
          <w:sz w:val="18"/>
          <w:szCs w:val="18"/>
          <w:color w:val="auto"/>
        </w:rPr>
        <w:t>Eligible Person or Selected Participant may be given by any electronic means or through the Trustee, as the Board or the Scheme Administrator considers appropriate.</w:t>
      </w:r>
    </w:p>
    <w:p>
      <w:pPr>
        <w:spacing w:after="0" w:line="162"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20.5</w:t>
      </w:r>
      <w:r>
        <w:rPr>
          <w:sz w:val="20"/>
          <w:szCs w:val="20"/>
          <w:color w:val="auto"/>
        </w:rPr>
        <w:tab/>
      </w:r>
      <w:r>
        <w:rPr>
          <w:rFonts w:ascii="Times New Roman" w:cs="Times New Roman" w:eastAsia="Times New Roman" w:hAnsi="Times New Roman"/>
          <w:sz w:val="18"/>
          <w:szCs w:val="18"/>
          <w:color w:val="auto"/>
        </w:rPr>
        <w:t>Any notice or other communication served by post shall be deemed to have been served 24 hours after the same was put in the post. Any notice or other communication served by electronic means shall be deemed to have been received on the day following that on which it was sent. Any notice or other communication served by personal delivery shall be deemed to have been received when delivered. Any notice or other communication if sent by the Selected Participant shall be irrevocable and shall not be effective until actually received by the Company.</w:t>
      </w:r>
    </w:p>
    <w:p>
      <w:pPr>
        <w:spacing w:after="0" w:line="183"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color w:val="auto"/>
        </w:rPr>
        <w:t>Each Selected Participant shall be responsible for obtaining any governmental or other official consent or approval that may be required by any jurisdiction in order to permit the grant, holding or exercise of any Award. By accepting a grant of an Award or exercising an Award, the Selected Participant thereof is deemed to have represented to the Company that the Selected Participant has obtained all such consents and approvals. Compliance with this Rule shall be a condition precedent to an acceptance of an Award by a Selected Participant and an exercise by a Selected Participant of their Awards.</w:t>
      </w:r>
    </w:p>
    <w:p>
      <w:pPr>
        <w:spacing w:after="0" w:line="183"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20.7</w:t>
      </w:r>
      <w:r>
        <w:rPr>
          <w:sz w:val="20"/>
          <w:szCs w:val="20"/>
          <w:color w:val="auto"/>
        </w:rPr>
        <w:tab/>
      </w:r>
      <w:r>
        <w:rPr>
          <w:rFonts w:ascii="Times New Roman" w:cs="Times New Roman" w:eastAsia="Times New Roman" w:hAnsi="Times New Roman"/>
          <w:sz w:val="18"/>
          <w:szCs w:val="18"/>
          <w:color w:val="auto"/>
        </w:rPr>
        <w:t>No member of the Group shall be responsible for any failure by any Eligible Person to obtain any consent or approval required for such Eligible Person to participate in the Scheme as a Selected Participant or for any Taxes, expenses, fees or any other liability to which an Eligible Person may become subject as a result of participation in the Scheme. Each Selected Participant by their acceptance of any Award thereby agrees to indemnify each member of the Group fully against all claims, demands, liabilities, actions, proceedings, fees, costs and expenses which they may suffer or incur (whether alone or jointly with other party or parties) for or in respect of any failure on the part of the Selected Participant to obtain any necessary consent or approval or to pay tax or other liabilities referred therein.</w:t>
      </w:r>
    </w:p>
    <w:p>
      <w:pPr>
        <w:spacing w:after="0" w:line="189"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20.8</w:t>
      </w:r>
      <w:r>
        <w:rPr>
          <w:sz w:val="20"/>
          <w:szCs w:val="20"/>
          <w:color w:val="auto"/>
        </w:rPr>
        <w:tab/>
      </w:r>
      <w:r>
        <w:rPr>
          <w:rFonts w:ascii="Times New Roman" w:cs="Times New Roman" w:eastAsia="Times New Roman" w:hAnsi="Times New Roman"/>
          <w:sz w:val="18"/>
          <w:szCs w:val="18"/>
          <w:color w:val="auto"/>
        </w:rPr>
        <w:t>Each and every provision hereof shall be treated as a separate provision and shall be severally enforceable as such in the event of any provision or provisions being or becoming unenforceable in whole or in part. To the extent that any provision or provisions are unenforceable they shall be deemed to be deleted from these Scheme Rules, and any such deletion shall not affect the enforceability of the Scheme Rules as remain not so deleted.</w:t>
      </w:r>
    </w:p>
    <w:p>
      <w:pPr>
        <w:spacing w:after="0" w:line="180"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20.9</w:t>
      </w:r>
      <w:r>
        <w:rPr>
          <w:sz w:val="20"/>
          <w:szCs w:val="20"/>
          <w:color w:val="auto"/>
        </w:rPr>
        <w:tab/>
      </w:r>
      <w:r>
        <w:rPr>
          <w:rFonts w:ascii="Times New Roman" w:cs="Times New Roman" w:eastAsia="Times New Roman" w:hAnsi="Times New Roman"/>
          <w:sz w:val="18"/>
          <w:szCs w:val="18"/>
          <w:color w:val="auto"/>
        </w:rPr>
        <w:t>Save as specifically provided herein, the Scheme shall not confer on any person any legal or equitable rights against any member of the Group directly or indirectly or give rise to any cause of action at law or in equity against any member of the Group. No person shall, under any circumstances, hold the Board, the Scheme Administrator and/or the Company or any other member of the Group or any Trustee or designated third party liable for any costs, losses, expenses and/or damages whatsoever arising from or in connection with the Scheme or the administration thereof.</w:t>
      </w:r>
    </w:p>
    <w:p>
      <w:pPr>
        <w:spacing w:after="0" w:line="183"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20.10</w:t>
        <w:tab/>
        <w:t>In the event that an Award lapses or is cancelled or forfeited in accordance with the Scheme Rules, no Selected Participants shall be entitled to any compensation for any loss or any right or benefit or prospective right or benefit under the Scheme which he / she or it might otherwise have enjoyed.</w:t>
      </w:r>
    </w:p>
    <w:p>
      <w:pPr>
        <w:spacing w:after="0" w:line="176"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20.11</w:t>
        <w:tab/>
        <w:t>The Scheme shall operate subject to the Articles and to any restrictions under any applicable laws, rules and regulations (including the Listing Rules). To the extent any rules herein are inconsistent with the Listing Rules, the provisions of the Listing Rules shall prevail.</w:t>
      </w:r>
    </w:p>
    <w:p>
      <w:pPr>
        <w:spacing w:after="0" w:line="17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20.12</w:t>
        <w:tab/>
        <w:t>By participating in the Scheme, the Selected Participant consents to the holding, processing, storage and use of personal data or information concerning him or her by any member of the Group, the Trustee or other third party service provider, in Hong Kong or elsewhere,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360045</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877" w:right="999" w:bottom="1440" w:gutter="0" w:footer="0" w:header="0"/>
        </w:sectPr>
      </w:pPr>
    </w:p>
    <w:bookmarkStart w:id="263" w:name="page264"/>
    <w:bookmarkEnd w:id="263"/>
    <w:p>
      <w:pPr>
        <w:ind w:left="660"/>
        <w:spacing w:after="0" w:line="282" w:lineRule="auto"/>
        <w:rPr>
          <w:sz w:val="20"/>
          <w:szCs w:val="20"/>
          <w:color w:val="auto"/>
        </w:rPr>
      </w:pPr>
      <w:r>
        <w:rPr>
          <w:rFonts w:ascii="Times New Roman" w:cs="Times New Roman" w:eastAsia="Times New Roman" w:hAnsi="Times New Roman"/>
          <w:sz w:val="18"/>
          <w:szCs w:val="18"/>
          <w:color w:val="auto"/>
        </w:rPr>
        <w:t>purpose of the administration, management or operation of the Scheme. Such consent permits, but is not limited to, the following:</w:t>
      </w:r>
    </w:p>
    <w:p>
      <w:pPr>
        <w:spacing w:after="0" w:line="162" w:lineRule="exact"/>
        <w:rPr>
          <w:sz w:val="20"/>
          <w:szCs w:val="20"/>
          <w:color w:val="auto"/>
        </w:rPr>
      </w:pPr>
    </w:p>
    <w:p>
      <w:pPr>
        <w:ind w:left="1300" w:hanging="644"/>
        <w:spacing w:after="0"/>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and maintenance of records of the Selected Participant;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data or information to without limitation members of the Group any Trustee, registrars, brokers or third party administrators or managers of the Scheme, in Hong Kong or elsewhere;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data or information to future purchasers or merger partners of the Company or any other member of the Group, the Selected Participant’s employing company, or the business in which the Selected Participant works;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data or information about the Selected Participant to a country or territory outside China, Hong Kong or the Selected Participant’s home country or region of residence which may not provide the same statutory protection for the information as the Selected Participant’s home country or region or residence;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where an announcement is required to be made pursuant to the Listing Rules for the purposes of granting an Award, the disclosure of the identity of such Selected Participant, the number of Award Shares and the terms of the Award granted and/or to be granted and all other information as required under the Listing Rules from time to time.</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Selected Participant is entitled, on payment of a reasonable fee, to a copy of the personal data held about him or her, and if such personal data is inaccurate, the Selected Participant has the right to have it corrected.</w:t>
      </w:r>
    </w:p>
    <w:p>
      <w:pPr>
        <w:spacing w:after="0" w:line="158"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Scheme shall be governed by and construed in accordance with the laws of Hong Kong.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List of Principal Subsidiaries and Variable Interest Entity of the Registrant</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Subsidiaries</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8"/>
        </w:trPr>
        <w:tc>
          <w:tcPr>
            <w:tcW w:w="4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Tuya (HK) Limited</w:t>
            </w:r>
          </w:p>
        </w:tc>
        <w:tc>
          <w:tcPr>
            <w:tcW w:w="240" w:type="dxa"/>
            <w:vAlign w:val="bottom"/>
          </w:tcPr>
          <w:p>
            <w:pPr>
              <w:spacing w:after="0"/>
              <w:rPr>
                <w:sz w:val="17"/>
                <w:szCs w:val="17"/>
                <w:color w:val="auto"/>
              </w:rPr>
            </w:pPr>
          </w:p>
        </w:tc>
        <w:tc>
          <w:tcPr>
            <w:tcW w:w="4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 Smart Inc.</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 Global Inc.</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Tuyasmart (Colombia) S.A.S</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 GmbH</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 Japan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Tuyasmart (India) Private Limited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Hangzhou Tuya Information Technology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Zhejiang Tuya Smart Electronics Co.,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 Smart Australia Pty Ltd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 France</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Tuya UK Limited</w:t>
            </w:r>
          </w:p>
        </w:tc>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U.K.</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Variable Interest Entity</w:t>
            </w:r>
          </w:p>
        </w:tc>
        <w:tc>
          <w:tcPr>
            <w:tcW w:w="5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34"/>
        </w:trPr>
        <w:tc>
          <w:tcPr>
            <w:tcW w:w="20" w:type="dxa"/>
            <w:vAlign w:val="bottom"/>
          </w:tcPr>
          <w:p>
            <w:pPr>
              <w:spacing w:after="0"/>
              <w:rPr>
                <w:sz w:val="20"/>
                <w:szCs w:val="20"/>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Hangzhou Tuya Technology Co., Ltd.</w:t>
            </w:r>
          </w:p>
        </w:tc>
        <w:tc>
          <w:tcPr>
            <w:tcW w:w="240" w:type="dxa"/>
            <w:vAlign w:val="bottom"/>
          </w:tcPr>
          <w:p>
            <w:pPr>
              <w:spacing w:after="0"/>
              <w:rPr>
                <w:sz w:val="20"/>
                <w:szCs w:val="20"/>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PRC</w:t>
            </w:r>
          </w:p>
        </w:tc>
        <w:tc>
          <w:tcPr>
            <w:tcW w:w="20" w:type="dxa"/>
            <w:vAlign w:val="bottom"/>
          </w:tcPr>
          <w:p>
            <w:pPr>
              <w:spacing w:after="0"/>
              <w:rPr>
                <w:sz w:val="20"/>
                <w:szCs w:val="20"/>
                <w:color w:val="auto"/>
              </w:rPr>
            </w:pPr>
          </w:p>
        </w:tc>
      </w:tr>
      <w:tr>
        <w:trPr>
          <w:trHeight w:val="758"/>
        </w:trPr>
        <w:tc>
          <w:tcPr>
            <w:tcW w:w="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Tuya Inc.</w:t>
      </w:r>
    </w:p>
    <w:p>
      <w:pPr>
        <w:spacing w:after="0" w:line="20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Statement of Policy Concerning Trading in Company Securities</w:t>
      </w: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Adopted in February 2021</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Last amended in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854710</wp:posOffset>
            </wp:positionV>
            <wp:extent cx="629221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395"/>
        </w:trPr>
        <w:tc>
          <w:tcPr>
            <w:tcW w:w="92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Summary of Policy Concerning Trading in Company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I.</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Prevention Of Insider Dealing Policy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Purpose of this Policy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Rule under U.S. Securities Laws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Rule under Hong Kong Securities Laws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Applicability of This Policy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Companies’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Hedging and Derivatives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Pledging of Securities, Margin Accounts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Guidelines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Restrictions on the Window Group</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Applicability of U.S. and Hong Kong Securities Laws to International Transactions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II.</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Directors’ Dealing Policy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Dealing When in Possession of Inside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Notification of all dealings in Company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Prohibition against dealing during Blackout Periods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Validity of Acknowledgement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Maintenance of Register by the Company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III.</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Staff’s Dealing Policy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dealing When in Possession of Inside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Notification of All Dealings in Company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Prohibition Against Dealing During Blackout Periods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Validity of Acknowledgement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IV.</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Limitations On Securities Transactions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Public Resales – Rule 144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Private Resales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Restrictions on Purchases of Company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405"/>
        </w:trPr>
        <w:tc>
          <w:tcPr>
            <w:tcW w:w="80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w:t>
            </w:r>
          </w:p>
        </w:tc>
        <w:tc>
          <w:tcPr>
            <w:tcW w:w="80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Filing Requirement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405"/>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Annex A</w:t>
            </w:r>
          </w:p>
        </w:tc>
        <w:tc>
          <w:tcPr>
            <w:tcW w:w="4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A-1</w:t>
            </w:r>
          </w:p>
        </w:tc>
      </w:tr>
    </w:tbl>
    <w:p>
      <w:pPr>
        <w:spacing w:after="0" w:line="200" w:lineRule="exact"/>
        <w:rPr>
          <w:sz w:val="20"/>
          <w:szCs w:val="20"/>
          <w:color w:val="auto"/>
        </w:rPr>
      </w:pPr>
    </w:p>
    <w:p>
      <w:pPr>
        <w:sectPr>
          <w:pgSz w:w="11900" w:h="16838" w:orient="portrait"/>
          <w:cols w:equalWidth="0" w:num="1">
            <w:col w:w="9920"/>
          </w:cols>
          <w:pgMar w:left="980" w:top="873" w:right="99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629221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color w:val="auto"/>
        </w:rPr>
        <w:t>SUMMARY OF POLICY CONCERNING TRADING IN COMPANY SECURITIES</w:t>
      </w:r>
    </w:p>
    <w:p>
      <w:pPr>
        <w:spacing w:after="0" w:line="225" w:lineRule="exact"/>
        <w:rPr>
          <w:sz w:val="20"/>
          <w:szCs w:val="20"/>
          <w:color w:val="auto"/>
        </w:rPr>
      </w:pPr>
    </w:p>
    <w:p>
      <w:pPr>
        <w:ind w:left="20" w:hanging="11"/>
        <w:spacing w:after="0" w:line="286" w:lineRule="auto"/>
        <w:rPr>
          <w:sz w:val="20"/>
          <w:szCs w:val="20"/>
          <w:color w:val="auto"/>
        </w:rPr>
      </w:pPr>
      <w:r>
        <w:rPr>
          <w:rFonts w:ascii="Times New Roman" w:cs="Times New Roman" w:eastAsia="Times New Roman" w:hAnsi="Times New Roman"/>
          <w:sz w:val="18"/>
          <w:szCs w:val="18"/>
          <w:color w:val="auto"/>
        </w:rPr>
        <w:t>It is the policy of Tuya Inc. (the “</w:t>
      </w:r>
      <w:r>
        <w:rPr>
          <w:rFonts w:ascii="Times New Roman" w:cs="Times New Roman" w:eastAsia="Times New Roman" w:hAnsi="Times New Roman"/>
          <w:sz w:val="18"/>
          <w:szCs w:val="18"/>
          <w:b w:val="1"/>
          <w:bCs w:val="1"/>
          <w:color w:val="auto"/>
        </w:rPr>
        <w:t>Listed Entity</w:t>
      </w:r>
      <w:r>
        <w:rPr>
          <w:rFonts w:ascii="Times New Roman" w:cs="Times New Roman" w:eastAsia="Times New Roman" w:hAnsi="Times New Roman"/>
          <w:sz w:val="18"/>
          <w:szCs w:val="18"/>
          <w:color w:val="auto"/>
        </w:rPr>
        <w:t>”), its subsidiaries and its consolidated affiliated entities (collectively,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Company will, without exception, comply with all applicable laws and regulations in conducting its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contains four parts:</w:t>
      </w:r>
    </w:p>
    <w:p>
      <w:pPr>
        <w:spacing w:after="0" w:line="223" w:lineRule="exact"/>
        <w:rPr>
          <w:sz w:val="20"/>
          <w:szCs w:val="20"/>
          <w:color w:val="auto"/>
        </w:rPr>
      </w:pPr>
    </w:p>
    <w:p>
      <w:pPr>
        <w:ind w:left="660" w:right="20" w:hanging="328"/>
        <w:spacing w:after="0" w:line="284" w:lineRule="auto"/>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w:t>
      </w:r>
      <w:r>
        <w:rPr>
          <w:rFonts w:ascii="Times New Roman" w:cs="Times New Roman" w:eastAsia="Times New Roman" w:hAnsi="Times New Roman"/>
          <w:sz w:val="18"/>
          <w:szCs w:val="18"/>
          <w:i w:val="1"/>
          <w:iCs w:val="1"/>
          <w:color w:val="auto"/>
        </w:rPr>
        <w:t>Prevention of Insider Dealing Policy</w:t>
      </w:r>
      <w:r>
        <w:rPr>
          <w:rFonts w:ascii="Times New Roman" w:cs="Times New Roman" w:eastAsia="Times New Roman" w:hAnsi="Times New Roman"/>
          <w:sz w:val="18"/>
          <w:szCs w:val="18"/>
          <w:color w:val="auto"/>
        </w:rPr>
        <w:t>) sets out the general law on prohibition against insider dealing and is applicable to all directors, officers, employees of the Company.</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w:t>
      </w:r>
      <w:r>
        <w:rPr>
          <w:rFonts w:ascii="Times New Roman" w:cs="Times New Roman" w:eastAsia="Times New Roman" w:hAnsi="Times New Roman"/>
          <w:sz w:val="18"/>
          <w:szCs w:val="18"/>
          <w:i w:val="1"/>
          <w:iCs w:val="1"/>
          <w:color w:val="auto"/>
        </w:rPr>
        <w:t>Directors’ Dealing Policy</w:t>
      </w:r>
      <w:r>
        <w:rPr>
          <w:rFonts w:ascii="Times New Roman" w:cs="Times New Roman" w:eastAsia="Times New Roman" w:hAnsi="Times New Roman"/>
          <w:sz w:val="18"/>
          <w:szCs w:val="18"/>
          <w:color w:val="auto"/>
        </w:rPr>
        <w:t>) is applicable to all directors in their dealing in Company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III (</w:t>
      </w:r>
      <w:r>
        <w:rPr>
          <w:rFonts w:ascii="Times New Roman" w:cs="Times New Roman" w:eastAsia="Times New Roman" w:hAnsi="Times New Roman"/>
          <w:sz w:val="18"/>
          <w:szCs w:val="18"/>
          <w:i w:val="1"/>
          <w:iCs w:val="1"/>
          <w:color w:val="auto"/>
        </w:rPr>
        <w:t>Staff’s Dealing Policy</w:t>
      </w:r>
      <w:r>
        <w:rPr>
          <w:rFonts w:ascii="Times New Roman" w:cs="Times New Roman" w:eastAsia="Times New Roman" w:hAnsi="Times New Roman"/>
          <w:sz w:val="18"/>
          <w:szCs w:val="18"/>
          <w:color w:val="auto"/>
        </w:rPr>
        <w:t>) is applicable to all staff designated as Restricted Persons in their dealing in Company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IV (</w:t>
      </w:r>
      <w:r>
        <w:rPr>
          <w:rFonts w:ascii="Times New Roman" w:cs="Times New Roman" w:eastAsia="Times New Roman" w:hAnsi="Times New Roman"/>
          <w:sz w:val="18"/>
          <w:szCs w:val="18"/>
          <w:i w:val="1"/>
          <w:iCs w:val="1"/>
          <w:color w:val="auto"/>
        </w:rPr>
        <w:t>Other Limitations on Securities Transactions</w:t>
      </w:r>
      <w:r>
        <w:rPr>
          <w:rFonts w:ascii="Times New Roman" w:cs="Times New Roman" w:eastAsia="Times New Roman" w:hAnsi="Times New Roman"/>
          <w:sz w:val="18"/>
          <w:szCs w:val="18"/>
          <w:color w:val="auto"/>
        </w:rPr>
        <w:t>) sets forth other limitations under U.S. Securities Laws.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Prevention of Insider Dealing Policy, the Directors’ Dealing Policy, the Staff’s Dealing Policy and the Policy on Other Limitations on Securities Transactions are collectively referred to as the </w:t>
      </w:r>
      <w:r>
        <w:rPr>
          <w:rFonts w:ascii="Times New Roman" w:cs="Times New Roman" w:eastAsia="Times New Roman" w:hAnsi="Times New Roman"/>
          <w:sz w:val="18"/>
          <w:szCs w:val="18"/>
          <w:b w:val="1"/>
          <w:bCs w:val="1"/>
          <w:color w:val="auto"/>
        </w:rPr>
        <w:t>“Trading Policy”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Company director, officer and employee (including part-time employees) and consultant, contractor and person seconded to the Company is expected to abide by this Trading Policy. This Trading Policy is subject to any provisions in the applicable laws and regulations and the rules of the stock exchanges on which the securities of the Listed Entity are listed (including without limitation, The New York Stock Exchange (the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and The Stock Exchange of Hong Kong Limited (the “</w:t>
      </w:r>
      <w:r>
        <w:rPr>
          <w:rFonts w:ascii="Times New Roman" w:cs="Times New Roman" w:eastAsia="Times New Roman" w:hAnsi="Times New Roman"/>
          <w:sz w:val="18"/>
          <w:szCs w:val="18"/>
          <w:b w:val="1"/>
          <w:bCs w:val="1"/>
          <w:color w:val="auto"/>
        </w:rPr>
        <w:t>HKEx</w:t>
      </w:r>
      <w:r>
        <w:rPr>
          <w:rFonts w:ascii="Times New Roman" w:cs="Times New Roman" w:eastAsia="Times New Roman" w:hAnsi="Times New Roman"/>
          <w:sz w:val="18"/>
          <w:szCs w:val="18"/>
          <w:color w:val="auto"/>
        </w:rPr>
        <w:t>”). In the event of inconsistency, the applicable laws and regulations and the rules of the stock exchanges on which the shares of the Listed Entity are listed should prevail.</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Compliance with this Trading Policy is mandatory; any breach may subject you, as well as the Company, to civil or criminal liability prescribed by applicable laws and regulations. It is important that you familiarize yourself with and comply with all the restrictions and requirements contained in this Trading Policy.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employees who may receive or are particularly likely to have access to Inside Information (as defined below) whether indirectly, incidentally or accidentally, and who are notified that they are Restricted Persons (also as defined below) must comply with the Staff’s Dealing Policy set out in the Staff’s Dealing Policy.</w:t>
      </w:r>
    </w:p>
    <w:p>
      <w:pPr>
        <w:spacing w:after="0" w:line="172" w:lineRule="exact"/>
        <w:rPr>
          <w:sz w:val="20"/>
          <w:szCs w:val="20"/>
          <w:color w:val="auto"/>
        </w:rPr>
      </w:pPr>
    </w:p>
    <w:p>
      <w:pPr>
        <w:ind w:left="340" w:right="6880" w:hanging="332"/>
        <w:spacing w:after="0" w:line="503" w:lineRule="auto"/>
        <w:tabs>
          <w:tab w:leader="none" w:pos="221"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Prevention Of Insider Dealing Policy A. </w:t>
      </w:r>
      <w:r>
        <w:rPr>
          <w:rFonts w:ascii="Times New Roman" w:cs="Times New Roman" w:eastAsia="Times New Roman" w:hAnsi="Times New Roman"/>
          <w:sz w:val="18"/>
          <w:szCs w:val="18"/>
          <w:b w:val="1"/>
          <w:bCs w:val="1"/>
          <w:i w:val="1"/>
          <w:iCs w:val="1"/>
          <w:color w:val="auto"/>
        </w:rPr>
        <w:t>Purpose of this Policy</w:t>
      </w:r>
    </w:p>
    <w:p>
      <w:pPr>
        <w:jc w:val="both"/>
        <w:spacing w:after="0" w:line="256" w:lineRule="auto"/>
        <w:rPr>
          <w:sz w:val="20"/>
          <w:szCs w:val="20"/>
          <w:color w:val="auto"/>
        </w:rPr>
      </w:pPr>
      <w:r>
        <w:rPr>
          <w:rFonts w:ascii="Times New Roman" w:cs="Times New Roman" w:eastAsia="Times New Roman" w:hAnsi="Times New Roman"/>
          <w:sz w:val="18"/>
          <w:szCs w:val="18"/>
          <w:color w:val="auto"/>
        </w:rPr>
        <w:t>When carrying out Company business, directors, officers and employees must avoid any activity that violates applicable laws or regulations. In order to avoid even an appearance of impropriety, the Company’s directors, officers and certain other employees are subject to pre-approval requirements described below and other limitations on their ability to enter into transactions involving the Company’s securities. Although these limitations do not apply to transactions pursuant to written plans for trading securities that comply with Rule 10b5-1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amended, the adoption, amendment, suspension or termination of any such written trading plan is subject to pre-approval requirements and other limitations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8" w:name="page269"/>
    <w:bookmarkEnd w:id="268"/>
    <w:p>
      <w:pPr>
        <w:jc w:val="both"/>
        <w:spacing w:after="0" w:line="266" w:lineRule="auto"/>
        <w:rPr>
          <w:sz w:val="20"/>
          <w:szCs w:val="20"/>
          <w:color w:val="auto"/>
        </w:rPr>
      </w:pPr>
      <w:r>
        <w:rPr>
          <w:rFonts w:ascii="Times New Roman" w:cs="Times New Roman" w:eastAsia="Times New Roman" w:hAnsi="Times New Roman"/>
          <w:sz w:val="18"/>
          <w:szCs w:val="18"/>
          <w:color w:val="auto"/>
        </w:rPr>
        <w:t>(including Annex A (Rule 10b5-1 Trading Plan Guidelines) hereto). The Company’s directors, officers and employees must also be aware of and comply at all times with the Hong Kong laws relating to insider dealing and market misconduct which are contained in Parts XIII and XIV of the Securities and Futures Ordinance (the “</w:t>
      </w:r>
      <w:r>
        <w:rPr>
          <w:rFonts w:ascii="Times New Roman" w:cs="Times New Roman" w:eastAsia="Times New Roman" w:hAnsi="Times New Roman"/>
          <w:sz w:val="18"/>
          <w:szCs w:val="18"/>
          <w:b w:val="1"/>
          <w:bCs w:val="1"/>
          <w:color w:val="auto"/>
        </w:rPr>
        <w:t>SFO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60" w:hanging="328"/>
        <w:spacing w:after="0"/>
        <w:tabs>
          <w:tab w:leader="none" w:pos="6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 Rule under U.S. Securities Laws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securities laws regulate the sale and purchase of securities in the interest of protecting the investing public. U.S. securities laws give the Company, its directors, officers and other employees the responsibility to ensure that information about the Company is not used unlawfully in the purchase and sale of securities (such as stocks, bonds, notes, debentures, limited partnership units or other equity or debt securities).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directors, officers and employees should pay particularly close attention to the laws against trading on material non-public information. These laws are based upon the belief that all persons trading in a company’s securities should have equal access to all “material” information about that company. Information is considered to be “material” if its disclosure would be reasonably likely to affect (1) an investor’s decision to buy or sell the securities of the company to which the information relates, or (2) the market price of that company’s securities. While it is not possible to identify in advance all information that will be deemed to be material, some examples of such information would include the following: earnings; financial results or projections; dividend actions; mergers and acquisitions; capital raising and borrowing activities; major dispositions; major new customers, projects or products; significant advances in product development; new technologies; major personnel changes in management or change in control; expansion into new markets; unusual gains or losses in major operations; major litigation or legal proceedings; granting of stock options; and major sales and marketing changes. When doubt exists, the information should be presumed to be material. If you are unsure whether information of which you are aware is inside information, you should consult with the Company’s Chief Financial Officer. No individuals other than specifically authorized personnel may release material information to the public or respond to inquiries from the media, analysts or others. If you are contacted by the media or by a research analyst seeking information about the Company and if you have not been expressly authorized by the Company’s Chief Financial Officer and General Counsel to provide information to the media or to analysts, you should refer the call to the Chief Financial Officer and the General Counsel. On occasion, it may be necessary for legitimate business reasons to disclose inside information to outside persons. Such persons might include investment bankers, lawyers, auditors or other companies seeking to engage in a potential transaction with the Company. In such circumstances, the information should not be conveyed until an express understanding has been reached that such information is not to be used for trading purposes and may not be further disclosed other than for legitimate business reasons. For example, if a director, officer or employee of a company knows material non-public information (e.g., certain material financial information), that person is prohibited from buying or selling shares in the company until the information has been adequately disclosed to the public. This is because the director, officer or employee knows information that could cause the share price to change, and it would be unfair for the director, officer or employee to have an advantage (knowledge that the share price could change) that the rest of the investing public does not have. In fact, it is more than unfair; it is considered to be fraudulent and illegal. Civil and criminal penalties for this kind of activity are severe.</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general rule can be stated as follows: It is a violation of federal securities laws for any person to buy or sell securities if he or she is in possession of material non-public information. Information is material if there is a substantial likelihood that a reasonable investor would consider it important in making an investment decision. Material information can be favorable or unfavorable. If it is not clear whether inside information is material, it should be treated as if it was material. Some examples of information that could be considered material include (but are not limited to):</w:t>
      </w:r>
    </w:p>
    <w:p>
      <w:pPr>
        <w:spacing w:after="0" w:line="183" w:lineRule="exact"/>
        <w:rPr>
          <w:sz w:val="20"/>
          <w:szCs w:val="20"/>
          <w:color w:val="auto"/>
        </w:rPr>
      </w:pPr>
    </w:p>
    <w:p>
      <w:pPr>
        <w:ind w:left="660" w:hanging="328"/>
        <w:spacing w:after="0"/>
        <w:tabs>
          <w:tab w:leader="none" w:pos="6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prospects and key performance indicators of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69" w:name="page270"/>
    <w:bookmarkEnd w:id="269"/>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anticipated or targeted earnings and dividends and other financial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sales and other significant internal business forecasts, or a change in previously released estimates,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mergers, business acquisitions, tender offers, joint ventures, restructurings, or dispositions, or the expansion or curtailment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 security or data protection events affecting the Company’s operations, including any breach of information systems that compromises the functioning of the Company’s information or other systems or results in the exposure or loss of customer information, in particular personal information,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 or significant borrowing,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 or analyst upgrades or downgrades of the issuer or one of its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accounting treatment, write-offs or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governmental investigation, or the resolution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 or pending impending bankruptcy,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auditor notification that the Company may no longer rely on an audit report,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of the Company or changes in the Board or top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splits or other corporate 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non-public information if it has not been publicly disclosed in a manner making it available to investors generally on a broad-based non-exclusionary basis and/or the investing public has not had time to fully absorb the information. If it is not clear whether material information has been sufficiently publicized, it should be treated as if it is non-public information. Furthermore, it is illegal for any person (including any director, officer or other employee) in possession of material non-public information to provide other people with such information or to recommend that they buy or sell the securities (this is called “tipping”). In that case, they may both be held liable.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prosecutors, the stock exchanges and plaintiffs’ lawyers focus on uncovering insider trading. A breach of the U.S. insider trading laws could expose the insider or anyone who trades on information provided by an insider to criminal fines up to three times the profits earned and imprisonment up to ten years, in addition to civil penalties (up to three times of the profits earned), and injunctive actions.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Non-public information does not belong to the individual directors, officers or other employees who may handle it or otherwise become knowledgeable about it. It is an asset of the Company. Any person who uses such information for personal benefit or discloses it to others outside the Company violates the Company’s interests, and may be in breach of his or her fiduciary, loyalty or other duties to the Company. More particularly, in connection with trading in the Company’s securities, it is a fraud against members of the investing public and against the Company. The mere perception that a director, officer or employee traded with the knowledge of material non-public information could harm the reputation of both the Company and that director, officer or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0" w:name="page271"/>
    <w:bookmarkEnd w:id="270"/>
    <w:p>
      <w:pPr>
        <w:spacing w:after="0" w:line="282" w:lineRule="auto"/>
        <w:rPr>
          <w:sz w:val="20"/>
          <w:szCs w:val="20"/>
          <w:color w:val="auto"/>
        </w:rPr>
      </w:pPr>
      <w:r>
        <w:rPr>
          <w:rFonts w:ascii="Times New Roman" w:cs="Times New Roman" w:eastAsia="Times New Roman" w:hAnsi="Times New Roman"/>
          <w:sz w:val="18"/>
          <w:szCs w:val="18"/>
          <w:color w:val="auto"/>
        </w:rPr>
        <w:t>All directors, officers and employees of the Company must observe these policies at all times. Your failure to do so will be grounds for internal disciplinary action, up to and including termination of your directorship or employment.</w:t>
      </w:r>
    </w:p>
    <w:p>
      <w:pPr>
        <w:spacing w:after="0" w:line="158" w:lineRule="exact"/>
        <w:rPr>
          <w:sz w:val="20"/>
          <w:szCs w:val="20"/>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 Rule under Hong Kong Securities 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Parts XIII and XIV of the SFO, there are various forms of market misconduct, including insider trading, which are all serious offences that attract significant civil and criminal penalties.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is issued for the purpose of preventing market misconduct, as well as preventing directors, officers and employees of the Company from engaging in speculative trading in Company Securities and Securities other than Company Securities (as defined below). It sets out the required standards and controls to ensure compliance with the relevant regulatory requirements.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general rule is that if a person is in possession of Inside Information, they must not, directly or indirectly (a) deal in Company Securities; (b) pass any Inside Information to any other person (except in the proper performance of their duties); (c) recommend anyone to deal in Company Securities; or (d) use Inside Information in any manner (except in the proper performance of their duties), whether or not to achieve any advantage.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means information about:</w:t>
      </w:r>
    </w:p>
    <w:p>
      <w:pPr>
        <w:spacing w:after="0" w:line="229" w:lineRule="exact"/>
        <w:rPr>
          <w:sz w:val="20"/>
          <w:szCs w:val="20"/>
          <w:color w:val="auto"/>
        </w:rPr>
      </w:pPr>
    </w:p>
    <w:p>
      <w:pPr>
        <w:ind w:left="340" w:hanging="332"/>
        <w:spacing w:after="0"/>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or officer of the Listed Entity;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Securities,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which is not generally known to the persons who are accustomed to or would be likely to deal in Company Securities but which would, if it were generally known to those persons, be likely to materially affect the price of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means, for the purpose of the Prevention of Insider Dealing Policy:</w:t>
      </w:r>
    </w:p>
    <w:p>
      <w:pPr>
        <w:spacing w:after="0" w:line="229" w:lineRule="exact"/>
        <w:rPr>
          <w:sz w:val="20"/>
          <w:szCs w:val="20"/>
          <w:color w:val="auto"/>
        </w:rPr>
      </w:pPr>
    </w:p>
    <w:p>
      <w:pPr>
        <w:ind w:left="340" w:hanging="332"/>
        <w:spacing w:after="0"/>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equity interests in the Listed Entity;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in respect of shares in the Listed Entity, including options, warrants, rights, forwards, futures and swaps;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issued by the Listed Entity, including debentures and bonds.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Dealing</w:t>
      </w:r>
      <w:r>
        <w:rPr>
          <w:rFonts w:ascii="Times New Roman" w:cs="Times New Roman" w:eastAsia="Times New Roman" w:hAnsi="Times New Roman"/>
          <w:sz w:val="18"/>
          <w:szCs w:val="18"/>
          <w:color w:val="auto"/>
        </w:rPr>
        <w:t>” means acting in (i) any sale, purchase or exchange of or subscription for listed securities or their derivatives; or (ii) any acquisition or disposal of the right to sell, purchase, exchange or subscribe for listed securities or their derivatives; or (iii) any agreement to do any of those things described in (i) or (ii), either for yourself or as agent for another person.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i w:val="1"/>
          <w:iCs w:val="1"/>
          <w:color w:val="auto"/>
        </w:rPr>
        <w:t>Applicability of This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prohibition against trading on inside information applies 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20" w:hanging="328"/>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officers and all other domestic and international employees of the Company and its subsidiaries and other people who gain access to Company inside information, including contractors and consultants,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spouses, domestic partners, minor children (even if financially independent) of such directors, officers or employees (collectively, “</w:t>
      </w:r>
      <w:r>
        <w:rPr>
          <w:rFonts w:ascii="Times New Roman" w:cs="Times New Roman" w:eastAsia="Times New Roman" w:hAnsi="Times New Roman"/>
          <w:sz w:val="18"/>
          <w:szCs w:val="18"/>
          <w:b w:val="1"/>
          <w:bCs w:val="1"/>
          <w:color w:val="auto"/>
        </w:rPr>
        <w:t>Family Members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to whom Company directors, officers or employees provide significant financial support,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1" w:name="page272"/>
    <w:bookmarkEnd w:id="271"/>
    <w:p>
      <w:pPr>
        <w:jc w:val="both"/>
        <w:ind w:left="660" w:hanging="328"/>
        <w:spacing w:after="0" w:line="261" w:lineRule="auto"/>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or account over which directors, officers or employees, Family Members, or the persons listed in 3. above, have or share the power, directly or indirectly, to make investment decisions (whether or not such persons have a financial interest in the entity or account) and those entities or accounts established or maintained by such persons with their consent or knowledge and in which such persons have a direct or indirect financial interest.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their access to confidential information on a regular basis, Company policy subjects members of the Window Group (as defined below) to additional restrictions on trading in Company securities. The restrictions for the Window Group are discussed in Section J below. In addition, directors, officers and certain employees with inside knowledge of material information may be subject to ad hoc restrictions on trading from time to time.</w:t>
      </w:r>
    </w:p>
    <w:p>
      <w:pPr>
        <w:spacing w:after="0" w:line="176" w:lineRule="exact"/>
        <w:rPr>
          <w:sz w:val="20"/>
          <w:szCs w:val="20"/>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Restricted Persons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Persons, as determined by the Chief Executive Officer, Chief Financial Officer or other person as designated by the board of directors of the Listed Entity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include designated employees, officers and directors of the Company who, because of their office or employment in the Company, are likely to possess Inside Information. You will be notified if you are a Restricted Person. Restricted Persons may apply for removal from this status by application to the (i) company secretary, (ii) the legal department, or (iii) the personnel who is authorized by the Board or designated pursuant to this Trading Policy to determine such Restricted Person, for example when moving to a job where they will not have access to Inside Information. If you are a Restricted Person, you must comply with the Directors’ Dealing Policy in the same way as if you were a director, as well as complying with this policy.</w:t>
      </w:r>
    </w:p>
    <w:p>
      <w:pPr>
        <w:spacing w:after="0" w:line="185" w:lineRule="exact"/>
        <w:rPr>
          <w:sz w:val="20"/>
          <w:szCs w:val="20"/>
          <w:color w:val="auto"/>
        </w:rPr>
      </w:pPr>
    </w:p>
    <w:p>
      <w:pPr>
        <w:ind w:left="660" w:hanging="328"/>
        <w:spacing w:after="0"/>
        <w:tabs>
          <w:tab w:leader="none" w:pos="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Other Companies’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officers and employees who learn material information about suppliers, customers, or competitors through their work at the Company, should keep it confidential and not buy or sell stock in such companies until the information becomes public. Directors, officers and employees should not give tips about such stock.</w:t>
      </w:r>
    </w:p>
    <w:p>
      <w:pPr>
        <w:spacing w:after="0" w:line="172" w:lineRule="exact"/>
        <w:rPr>
          <w:sz w:val="20"/>
          <w:szCs w:val="20"/>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Hedging and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Insiders are prohibited from engaging in any derivative transactions (including transactions involving options, puts, calls, prepaid variable forward contracts, equity swaps, collars and exchange funds or other derivatives) that are designed to hedge or speculate on any change in the market value of the Company’s equity securities. As discussed below, Insiders are also prohibited from shorting the Company’s securities.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Trading in options or other derivatives is generally highly speculative and very risky. People who buy options are betting that the stock price will move rapidly. For that reason, when a person trades in options in his or her employer’s stock, it may arouse suspicion in the eyes of the SEC that the person was trading on the basis of inside information, particularly where the trading occurs before a company announcement or major event. It is difficult for a director, officer or employee to prove that he or she did not know about the announcement or event.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SEC or the NYSE were to notice active options trading by one or more directors, officers or employees of the Company prior to an announcement, this could trigger an investigation with potential legal action. Such an investigation could be embarrassing to the Company (as well as expensive), and could result in severe penalties and expense for the persons involved. For all of these reasons, the Company prohibits Insiders from trading in options or other securities involving the Company’s shares. This policy does not pertain to employee share options granted by the Company. Employee share options cannot be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2" w:name="page273"/>
    <w:bookmarkEnd w:id="272"/>
    <w:p>
      <w:pPr>
        <w:ind w:left="660" w:hanging="341"/>
        <w:spacing w:after="0"/>
        <w:tabs>
          <w:tab w:leader="none" w:pos="6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Pledging of Securities, Margin Accounts</w:t>
      </w:r>
    </w:p>
    <w:p>
      <w:pPr>
        <w:spacing w:after="0" w:line="229" w:lineRule="exact"/>
        <w:rPr>
          <w:sz w:val="20"/>
          <w:szCs w:val="20"/>
          <w:color w:val="auto"/>
        </w:rPr>
      </w:pPr>
    </w:p>
    <w:p>
      <w:pPr>
        <w:jc w:val="both"/>
        <w:ind w:left="20" w:hanging="8"/>
        <w:spacing w:after="0" w:line="258" w:lineRule="auto"/>
        <w:rPr>
          <w:sz w:val="20"/>
          <w:szCs w:val="20"/>
          <w:color w:val="auto"/>
        </w:rPr>
      </w:pPr>
      <w:r>
        <w:rPr>
          <w:rFonts w:ascii="Times New Roman" w:cs="Times New Roman" w:eastAsia="Times New Roman" w:hAnsi="Times New Roman"/>
          <w:sz w:val="18"/>
          <w:szCs w:val="18"/>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material inside information or is otherwise not permitted to trade in Company securities, the Company prohibits Insiders from pledging Company securities in any circumstance, including by purchasing Company securities on margin or holding Company securities in a margin account.</w:t>
      </w:r>
    </w:p>
    <w:p>
      <w:pPr>
        <w:spacing w:after="0" w:line="179" w:lineRule="exact"/>
        <w:rPr>
          <w:sz w:val="20"/>
          <w:szCs w:val="20"/>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 Guidelines</w:t>
      </w:r>
    </w:p>
    <w:p>
      <w:pPr>
        <w:spacing w:after="0" w:line="229"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The following guidelines should be followed in order to ensure compliance with applicable antifraud laws and with the Company’s policies:</w:t>
      </w:r>
    </w:p>
    <w:p>
      <w:pPr>
        <w:spacing w:after="0" w:line="160" w:lineRule="exact"/>
        <w:rPr>
          <w:sz w:val="20"/>
          <w:szCs w:val="20"/>
          <w:color w:val="auto"/>
        </w:rPr>
      </w:pPr>
    </w:p>
    <w:p>
      <w:pPr>
        <w:jc w:val="both"/>
        <w:ind w:firstLine="332"/>
        <w:spacing w:after="0" w:line="267" w:lineRule="auto"/>
        <w:tabs>
          <w:tab w:leader="none" w:pos="64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Nondisclosure</w:t>
      </w:r>
      <w:r>
        <w:rPr>
          <w:rFonts w:ascii="Times New Roman" w:cs="Times New Roman" w:eastAsia="Times New Roman" w:hAnsi="Times New Roman"/>
          <w:sz w:val="18"/>
          <w:szCs w:val="18"/>
          <w:color w:val="auto"/>
        </w:rPr>
        <w:t>. Material inside information must not be disclosed to anyone, except to persons within the Company whose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require them to know it. No director, officer or employee should discuss material inside information in public places or in common areas on Company property.</w:t>
      </w:r>
    </w:p>
    <w:p>
      <w:pPr>
        <w:spacing w:after="0" w:line="173" w:lineRule="exact"/>
        <w:rPr>
          <w:rFonts w:ascii="Times New Roman" w:cs="Times New Roman" w:eastAsia="Times New Roman" w:hAnsi="Times New Roman"/>
          <w:sz w:val="18"/>
          <w:szCs w:val="18"/>
          <w:color w:val="auto"/>
        </w:rPr>
      </w:pPr>
    </w:p>
    <w:p>
      <w:pPr>
        <w:jc w:val="both"/>
        <w:ind w:firstLine="332"/>
        <w:spacing w:after="0" w:line="254" w:lineRule="auto"/>
        <w:tabs>
          <w:tab w:leader="none" w:pos="64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Company Securities</w:t>
      </w:r>
      <w:r>
        <w:rPr>
          <w:rFonts w:ascii="Times New Roman" w:cs="Times New Roman" w:eastAsia="Times New Roman" w:hAnsi="Times New Roman"/>
          <w:sz w:val="18"/>
          <w:szCs w:val="18"/>
          <w:color w:val="auto"/>
        </w:rPr>
        <w:t>. No Insider may place a purchase or sale order, or recommend that another person place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or sale order in the Company’s securities when he or she has knowledge of material information concerning the Company that has not been disclosed to the public. This includes orders for purchases and sales of shares, convertible securities and other securities (e.g., bonds) and includes increasing or decreasing investment in Company securities through a retirement account. The exercise of employee share options is not subject to this policy. However, shares that were acquired upon exercise of a share option will be treated like any other shares, and may not be sold by an employee who is in possession of material inside information. Any Insider who possesses material inside information should wait until the start of the second business day after the information has been publicly released before trading. There is no exception to this policy, even for hardship to the Insider or based on the use of proceeds (such as making a mortgage payment or for an emergency expenditure).</w:t>
      </w:r>
    </w:p>
    <w:p>
      <w:pPr>
        <w:spacing w:after="0" w:line="188" w:lineRule="exact"/>
        <w:rPr>
          <w:rFonts w:ascii="Times New Roman" w:cs="Times New Roman" w:eastAsia="Times New Roman" w:hAnsi="Times New Roman"/>
          <w:sz w:val="18"/>
          <w:szCs w:val="18"/>
          <w:color w:val="auto"/>
        </w:rPr>
      </w:pPr>
    </w:p>
    <w:p>
      <w:pPr>
        <w:jc w:val="both"/>
        <w:ind w:firstLine="332"/>
        <w:spacing w:after="0" w:line="258" w:lineRule="auto"/>
        <w:tabs>
          <w:tab w:leader="none" w:pos="64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Avoid Speculation</w:t>
      </w:r>
      <w:r>
        <w:rPr>
          <w:rFonts w:ascii="Times New Roman" w:cs="Times New Roman" w:eastAsia="Times New Roman" w:hAnsi="Times New Roman"/>
          <w:sz w:val="18"/>
          <w:szCs w:val="18"/>
          <w:color w:val="auto"/>
        </w:rPr>
        <w:t>. Investing in the Company’s ordinary shares or other securities provides an opportunity to share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of the Company. But investment in the Company and sharing in the growth of the Company does not mean short range speculation based on fluctuations in the market. Such activities put the personal gain of the Insider in conflict with the best interests of the Company and its stockholders. Although this policy does not mean that Insiders may never sell shares, the Company encourages Insiders to avoid frequent trading in Company securities. Speculating in Company shares is not part of the Company culture.</w:t>
      </w:r>
    </w:p>
    <w:p>
      <w:pPr>
        <w:spacing w:after="0" w:line="183" w:lineRule="exact"/>
        <w:rPr>
          <w:rFonts w:ascii="Times New Roman" w:cs="Times New Roman" w:eastAsia="Times New Roman" w:hAnsi="Times New Roman"/>
          <w:sz w:val="18"/>
          <w:szCs w:val="18"/>
          <w:color w:val="auto"/>
        </w:rPr>
      </w:pPr>
    </w:p>
    <w:p>
      <w:pPr>
        <w:jc w:val="both"/>
        <w:ind w:firstLine="332"/>
        <w:spacing w:after="0" w:line="257" w:lineRule="auto"/>
        <w:tabs>
          <w:tab w:leader="none" w:pos="64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Other Securities</w:t>
      </w:r>
      <w:r>
        <w:rPr>
          <w:rFonts w:ascii="Times New Roman" w:cs="Times New Roman" w:eastAsia="Times New Roman" w:hAnsi="Times New Roman"/>
          <w:sz w:val="18"/>
          <w:szCs w:val="18"/>
          <w:color w:val="auto"/>
        </w:rPr>
        <w:t>. No director, officer or employee should place a purchase or sale order (including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 retirement account), or recommend that another person place a purchase or sale order, in the securities of another corporation, if the director, officer or employee learns in the course of his or her employment confidential information about the other corporation that is likely to affect the value of those securities. For example, it would be a violation of the securities laws if a director, officer or employee learned through Company sources that the Company intended to purchase assets from a company, and then placed an order to buy or sell stock in that other company because of the likely increase or decrease in the value of its securities.</w:t>
      </w:r>
    </w:p>
    <w:p>
      <w:pPr>
        <w:spacing w:after="0" w:line="180" w:lineRule="exact"/>
        <w:rPr>
          <w:rFonts w:ascii="Times New Roman" w:cs="Times New Roman" w:eastAsia="Times New Roman" w:hAnsi="Times New Roman"/>
          <w:sz w:val="18"/>
          <w:szCs w:val="18"/>
          <w:color w:val="auto"/>
        </w:rPr>
      </w:pPr>
    </w:p>
    <w:p>
      <w:pPr>
        <w:ind w:left="660" w:hanging="341"/>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Restrictions on the Window Group</w:t>
      </w:r>
    </w:p>
    <w:p>
      <w:pPr>
        <w:spacing w:after="0" w:line="229" w:lineRule="exact"/>
        <w:rPr>
          <w:sz w:val="20"/>
          <w:szCs w:val="20"/>
          <w:color w:val="auto"/>
        </w:rPr>
      </w:pPr>
    </w:p>
    <w:p>
      <w:pPr>
        <w:jc w:val="both"/>
        <w:ind w:left="20" w:hanging="8"/>
        <w:spacing w:after="0" w:line="256" w:lineRule="auto"/>
        <w:rPr>
          <w:sz w:val="20"/>
          <w:szCs w:val="20"/>
          <w:color w:val="auto"/>
        </w:rPr>
      </w:pPr>
      <w:r>
        <w:rPr>
          <w:rFonts w:ascii="Times New Roman" w:cs="Times New Roman" w:eastAsia="Times New Roman" w:hAnsi="Times New Roman"/>
          <w:sz w:val="18"/>
          <w:szCs w:val="18"/>
          <w:color w:val="auto"/>
        </w:rPr>
        <w:t>The Window Group consists of (i) directors and executive officers of the Company (including but not limited to all general managers and deputy general managers of the Company and Company secretary) and their assistants and Family Members, (ii) subset of employees in the financial reporting, business development or legal group, (iii) such other persons as may be designated from time to time and informed of such status by the Company’s Chief Financial Officer and general counsel or an officer with similar duties and responsibilities of the Company (the “</w:t>
      </w:r>
      <w:r>
        <w:rPr>
          <w:rFonts w:ascii="Times New Roman" w:cs="Times New Roman" w:eastAsia="Times New Roman" w:hAnsi="Times New Roman"/>
          <w:sz w:val="18"/>
          <w:szCs w:val="18"/>
          <w:b w:val="1"/>
          <w:bCs w:val="1"/>
          <w:color w:val="auto"/>
        </w:rPr>
        <w:t>General Counsel</w:t>
      </w:r>
      <w:r>
        <w:rPr>
          <w:rFonts w:ascii="Times New Roman" w:cs="Times New Roman" w:eastAsia="Times New Roman" w:hAnsi="Times New Roman"/>
          <w:sz w:val="18"/>
          <w:szCs w:val="18"/>
          <w:color w:val="auto"/>
        </w:rPr>
        <w:t>” and together with the Company’s Chief Financial Officer, the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(iv) all other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3" w:name="page274"/>
    <w:bookmarkEnd w:id="27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who may receive or are particularly likely to have access to any material inside information of the Company whether indirectly, incidentally or accidentally, including but not limited to all secretaries to the foregoing individuals. The Window Group is subject to the following restrictions on trading in Company securities </w:t>
      </w:r>
      <w:r>
        <w:rPr>
          <w:rFonts w:ascii="Times New Roman" w:cs="Times New Roman" w:eastAsia="Times New Roman" w:hAnsi="Times New Roman"/>
          <w:sz w:val="18"/>
          <w:szCs w:val="18"/>
          <w:u w:val="single" w:color="auto"/>
          <w:color w:val="auto"/>
        </w:rPr>
        <w:t>in addition to</w:t>
      </w:r>
      <w:r>
        <w:rPr>
          <w:rFonts w:ascii="Times New Roman" w:cs="Times New Roman" w:eastAsia="Times New Roman" w:hAnsi="Times New Roman"/>
          <w:sz w:val="18"/>
          <w:szCs w:val="18"/>
          <w:color w:val="auto"/>
        </w:rPr>
        <w:t xml:space="preserve"> those set forth above:</w:t>
      </w:r>
    </w:p>
    <w:p>
      <w:pPr>
        <w:spacing w:after="0" w:line="174" w:lineRule="exact"/>
        <w:rPr>
          <w:sz w:val="20"/>
          <w:szCs w:val="20"/>
          <w:color w:val="auto"/>
        </w:rPr>
      </w:pPr>
    </w:p>
    <w:p>
      <w:pPr>
        <w:jc w:val="both"/>
        <w:ind w:firstLine="332"/>
        <w:spacing w:after="0" w:line="267" w:lineRule="auto"/>
        <w:tabs>
          <w:tab w:leader="none" w:pos="64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Window</w:t>
      </w:r>
      <w:r>
        <w:rPr>
          <w:rFonts w:ascii="Times New Roman" w:cs="Times New Roman" w:eastAsia="Times New Roman" w:hAnsi="Times New Roman"/>
          <w:sz w:val="18"/>
          <w:szCs w:val="18"/>
          <w:color w:val="auto"/>
        </w:rPr>
        <w:t>. Trading is permitted from market opens on the NYSE on the second business day following the release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quarterly and annual earnings until market closes on the NYSE on the last trading day of the last month of the then current fiscal quarter (the “</w:t>
      </w:r>
      <w:r>
        <w:rPr>
          <w:rFonts w:ascii="Times New Roman" w:cs="Times New Roman" w:eastAsia="Times New Roman" w:hAnsi="Times New Roman"/>
          <w:sz w:val="18"/>
          <w:szCs w:val="18"/>
          <w:b w:val="1"/>
          <w:bCs w:val="1"/>
          <w:color w:val="auto"/>
        </w:rPr>
        <w:t>Window</w:t>
      </w:r>
      <w:r>
        <w:rPr>
          <w:rFonts w:ascii="Times New Roman" w:cs="Times New Roman" w:eastAsia="Times New Roman" w:hAnsi="Times New Roman"/>
          <w:sz w:val="18"/>
          <w:szCs w:val="18"/>
          <w:color w:val="auto"/>
        </w:rPr>
        <w:t>”), subject to the restrictions below:</w:t>
      </w:r>
    </w:p>
    <w:p>
      <w:pPr>
        <w:spacing w:after="0" w:line="175" w:lineRule="exact"/>
        <w:rPr>
          <w:sz w:val="20"/>
          <w:szCs w:val="20"/>
          <w:color w:val="auto"/>
        </w:rPr>
      </w:pPr>
    </w:p>
    <w:p>
      <w:pPr>
        <w:ind w:left="660" w:hanging="328"/>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trades are subject to prior review by the General Counsel;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for all trades must be obtained from the Company’s General Counsel;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is permitted outside the Window except for reasons of exceptional personal hardship and subject to prior approval by the Chief Financial Officer and General Counsel; provided that, if one of these individuals wishes to trade outside the Window, it shall be subject to prior approval by the other.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that all individuals within the Window Group should continue abiding by the foregoing trading window restrictions in the quarter that such individual ceases to be an employee of the Company or ceases to provide service to the Company and the following quarter.</w:t>
      </w:r>
    </w:p>
    <w:p>
      <w:pPr>
        <w:spacing w:after="0" w:line="160" w:lineRule="exact"/>
        <w:rPr>
          <w:sz w:val="20"/>
          <w:szCs w:val="20"/>
          <w:color w:val="auto"/>
        </w:rPr>
      </w:pPr>
    </w:p>
    <w:p>
      <w:pPr>
        <w:jc w:val="both"/>
        <w:ind w:firstLine="332"/>
        <w:spacing w:after="0" w:line="261" w:lineRule="auto"/>
        <w:tabs>
          <w:tab w:leader="none" w:pos="64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Closing of Trading Window. </w:t>
      </w:r>
      <w:r>
        <w:rPr>
          <w:rFonts w:ascii="Times New Roman" w:cs="Times New Roman" w:eastAsia="Times New Roman" w:hAnsi="Times New Roman"/>
          <w:sz w:val="18"/>
          <w:szCs w:val="18"/>
          <w:color w:val="auto"/>
        </w:rPr>
        <w:t>Note that at times the Chief Financial Officer and the General Counsel may determine that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trades may occur even during the Window when clearance is requested. This may occur as a result of a pending business transaction, a cyber-breach, or any material development that has not yet been publicly disclosed. No reasons may be provided and the closing of the Window may itself constitute material inside information that should not be communicated.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Window Group restrictions do not apply to transactions pursuant to written plans for trading securities that comply with Rule 10b5-1 under the Exchange Act (“</w:t>
      </w:r>
      <w:r>
        <w:rPr>
          <w:rFonts w:ascii="Times New Roman" w:cs="Times New Roman" w:eastAsia="Times New Roman" w:hAnsi="Times New Roman"/>
          <w:sz w:val="18"/>
          <w:szCs w:val="18"/>
          <w:b w:val="1"/>
          <w:bCs w:val="1"/>
          <w:color w:val="auto"/>
        </w:rPr>
        <w:t>10b5-1 Plans</w:t>
      </w:r>
      <w:r>
        <w:rPr>
          <w:rFonts w:ascii="Times New Roman" w:cs="Times New Roman" w:eastAsia="Times New Roman" w:hAnsi="Times New Roman"/>
          <w:sz w:val="18"/>
          <w:szCs w:val="18"/>
          <w:color w:val="auto"/>
        </w:rPr>
        <w:t>”) described in Annex A (Rule 10b5-1 Trading Plan Guidelines) hereto. However, Window Group members may not enter into, amend or terminate a 10b5-1 Plan relating to Company securities without the prior approval of the Chief Financial Officer and the General Counsel, which will only be given during a Window period and only if the Window Group member does not have knowledge of material nonpublic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restrictions applicable to the Window Group should generally not apply to “sale-to-cover” transactions (where shares acquired through exercise of share options or vesting of awards are sold by agents or trustees designated by the Company pursuant to certain predetermined parameters for funds to satisfy the grantees’ tax obligations in compliance with applicable laws and regulations) authorized by the Company at a time when the Company is not in possession of material inside information.</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Trading Officers from time to time may also impose an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trading freeze on all officers, directors, and other members of the Window Group due to significant unannounced corporate developments. These trading freezes may vary in length. No reasons may be provided for the imposition of any trading freezes, and the imposition, modification and lifting of any trading freeze itself may constitute material non-public information concerning the Company and its securities that should not be communicated. No trading by the affected member(s) of the Window Group is permitted during the trading freeze except for trades pursuant to an existing 10b5-1 Plan adopted by the affected member(s) of the Window Group, or for reasons of exceptional personal hardship and subject to prior approval by the Trading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4" w:name="page275"/>
    <w:bookmarkEnd w:id="274"/>
    <w:p>
      <w:pPr>
        <w:jc w:val="both"/>
        <w:spacing w:after="0" w:line="266" w:lineRule="auto"/>
        <w:rPr>
          <w:sz w:val="20"/>
          <w:szCs w:val="20"/>
          <w:color w:val="auto"/>
        </w:rPr>
      </w:pPr>
      <w:r>
        <w:rPr>
          <w:rFonts w:ascii="Times New Roman" w:cs="Times New Roman" w:eastAsia="Times New Roman" w:hAnsi="Times New Roman"/>
          <w:sz w:val="18"/>
          <w:szCs w:val="18"/>
          <w:color w:val="auto"/>
        </w:rPr>
        <w:t>Executive officers, directors or any other member of the Window Group must promptly report to the Chief Financial Officer and General Counsel any transaction in any of the Company’s securities by his or her or any of their respective assistants or family members other than transactions made pursuant to an approved 10b5-1 Plan (as defined below).</w:t>
      </w:r>
    </w:p>
    <w:p>
      <w:pPr>
        <w:spacing w:after="0" w:line="172" w:lineRule="exact"/>
        <w:rPr>
          <w:sz w:val="20"/>
          <w:szCs w:val="20"/>
          <w:color w:val="auto"/>
        </w:rPr>
      </w:pPr>
    </w:p>
    <w:p>
      <w:pPr>
        <w:ind w:left="660" w:hanging="341"/>
        <w:spacing w:after="0"/>
        <w:tabs>
          <w:tab w:leader="none" w:pos="6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Applicability of U.S. and Hong Kong Securities Laws to International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directors, officers and employees of the Company are subject to the restrictions on trading in Company securities and the securities of other companies. The U.S. and Hong Kong securities laws may be applicable to trades in the Company Securities executed outside the United States or Hong Kong, as well as to the securities of the Listed Entity’s subsidiaries or affiliates, even if they are located outside the United States or Hong Kong or if you are located outside the United States or Hong Kong. Transactions involving securities of the Company’s subsidiaries or affiliates in the PRC or other jurisdictions should be carefully reviewed by counsel for compliance not only with applicable local law but also for possible application of U.S. and Hong Kong securities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Directors’ Dealing Policy</w:t>
      </w:r>
    </w:p>
    <w:p>
      <w:pPr>
        <w:spacing w:after="0" w:line="225" w:lineRule="exact"/>
        <w:rPr>
          <w:sz w:val="20"/>
          <w:szCs w:val="20"/>
          <w:color w:val="auto"/>
        </w:rPr>
      </w:pPr>
    </w:p>
    <w:p>
      <w:pPr>
        <w:ind w:left="340" w:hanging="332"/>
        <w:spacing w:after="0"/>
        <w:tabs>
          <w:tab w:leader="none" w:pos="34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Policy</w:t>
      </w:r>
    </w:p>
    <w:p>
      <w:pPr>
        <w:spacing w:after="0" w:line="229"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18"/>
          <w:szCs w:val="18"/>
          <w:color w:val="auto"/>
        </w:rPr>
        <w:t>1.1 All directors of any member of the Company are required to comply with the Model Code for Securities Transactions by Directors of Listed Issuers as set out in Appendix 10 (the “</w:t>
      </w:r>
      <w:r>
        <w:rPr>
          <w:rFonts w:ascii="Times New Roman" w:cs="Times New Roman" w:eastAsia="Times New Roman" w:hAnsi="Times New Roman"/>
          <w:sz w:val="18"/>
          <w:szCs w:val="18"/>
          <w:b w:val="1"/>
          <w:bCs w:val="1"/>
          <w:color w:val="auto"/>
        </w:rPr>
        <w:t>Model Code</w:t>
      </w:r>
      <w:r>
        <w:rPr>
          <w:rFonts w:ascii="Times New Roman" w:cs="Times New Roman" w:eastAsia="Times New Roman" w:hAnsi="Times New Roman"/>
          <w:sz w:val="18"/>
          <w:szCs w:val="18"/>
          <w:color w:val="auto"/>
        </w:rPr>
        <w:t>”) to the Rules Governing the Listing of Securities of The Stock Exchange of Hong Kong Limited (the “</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and Part XV of the SFO relating to disclosure of directors’ interests in shares of the Company.</w:t>
      </w:r>
    </w:p>
    <w:p>
      <w:pPr>
        <w:spacing w:after="0" w:line="176"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18"/>
          <w:szCs w:val="18"/>
          <w:color w:val="auto"/>
        </w:rPr>
        <w:t>1.2 This policy has been adopted by the board of directors of the Listed Entity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order to ensure compliance with the Model Code and Part XV of the SFO. It sets out the procedures and requirements with which you must comply with when dealing in Company Securities (as defined below). In addition, you are required to comply with the Prevention of Insider Dealing Policy, which is based on the provisions of the SFO relating to market misconduct (including insider dealing). Any breach of these policies may constitute a breach of the SFO or the Listing Rules and may attract a public inquiry or civil and criminal liabilities.</w:t>
      </w:r>
    </w:p>
    <w:p>
      <w:pPr>
        <w:spacing w:after="0" w:line="183" w:lineRule="exact"/>
        <w:rPr>
          <w:sz w:val="20"/>
          <w:szCs w:val="20"/>
          <w:color w:val="auto"/>
        </w:rPr>
      </w:pPr>
    </w:p>
    <w:p>
      <w:pPr>
        <w:jc w:val="both"/>
        <w:ind w:left="340" w:right="20" w:hanging="323"/>
        <w:spacing w:after="0" w:line="266" w:lineRule="auto"/>
        <w:rPr>
          <w:sz w:val="20"/>
          <w:szCs w:val="20"/>
          <w:color w:val="auto"/>
        </w:rPr>
      </w:pPr>
      <w:r>
        <w:rPr>
          <w:rFonts w:ascii="Times New Roman" w:cs="Times New Roman" w:eastAsia="Times New Roman" w:hAnsi="Times New Roman"/>
          <w:sz w:val="18"/>
          <w:szCs w:val="18"/>
          <w:color w:val="auto"/>
        </w:rPr>
        <w:t>1.3 Under the Model Code, directors must endeavour to ensure that all Restricted Persons (as defined in the Prevention of Insider Dealing Policy) do not deal in Company Securities at a time when they would be prohibited from so dealing if they were directors of the Listed Entity.</w:t>
      </w:r>
    </w:p>
    <w:p>
      <w:pPr>
        <w:spacing w:after="0" w:line="176"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1.4 Directors who are aware of or privy to any negotiations or agreements related to intended acquisitions or disposals which are notifiable transactions under Chapter 14 of the Listing Rules or connected transactions under Chapter 14A of the Listing Rules or any Inside Information must refrain from dealing in Company Securities as soon as they become aware of them until they have been properly disclosed in accordance with the Listing Rules. Directors privy to relevant negotiations, agreements or information should caution other directors that there may be Inside Information and that they must not deal in Company Securities for a similar period.</w:t>
      </w:r>
    </w:p>
    <w:p>
      <w:pPr>
        <w:spacing w:after="0" w:line="179" w:lineRule="exact"/>
        <w:rPr>
          <w:sz w:val="20"/>
          <w:szCs w:val="20"/>
          <w:color w:val="auto"/>
        </w:rPr>
      </w:pPr>
    </w:p>
    <w:p>
      <w:pPr>
        <w:ind w:left="340" w:hanging="332"/>
        <w:spacing w:after="0"/>
        <w:tabs>
          <w:tab w:leader="none" w:pos="34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Your “</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partner or other person with whom you live as if he or she were a spouse;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children (natural or adopted) and stepchildren under the age of 18 of yourself or of your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5" w:name="page276"/>
    <w:bookmarkEnd w:id="275"/>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whom you have an agreement or arrangement: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dealing in Company Securities;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you undertake to act together in exercising your voting power at general meetings of the Listed Entity;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of which you or any of the above persons or entities control 30 per cent or more of the voting power at general meetings of the corporation or of which you control the majority of the board of directors, any corporation which is accustomed to acting or whose directors are accustomed to acting in accordance with the directions or instructions of yourself or any of the above persons or entities, and any of its subsidiaries;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any of the above persons or entities is/are a beneficiary;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founder of the trust with the ability to exert any influence over the trustee;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trustee, other than a trust of which:</w:t>
      </w:r>
    </w:p>
    <w:p>
      <w:pPr>
        <w:spacing w:after="0" w:line="22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bare trustee i.e. a trustee with no powers or duties except to transfer the shares according to the directions of the beneficial owners, or</w:t>
      </w:r>
    </w:p>
    <w:p>
      <w:pPr>
        <w:spacing w:after="0" w:line="161"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co-trustee and you have not participated in or influenced the decision to deal in the securities, and of which neither you nor any of your Related Persons are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beneficiaries, or such other persons as the Listed Entity may notify you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means, for the purpose of the Directors’ Dealing Policy:</w:t>
      </w:r>
    </w:p>
    <w:p>
      <w:pPr>
        <w:spacing w:after="0" w:line="229" w:lineRule="exact"/>
        <w:rPr>
          <w:sz w:val="20"/>
          <w:szCs w:val="20"/>
          <w:color w:val="auto"/>
        </w:rPr>
      </w:pPr>
    </w:p>
    <w:p>
      <w:pPr>
        <w:ind w:left="660" w:hanging="328"/>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shares and equity interests in the Listed Entity;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unlisted securities that are exchangeable into listed shares or equity interests in the Listed Entity and structured products and derivative contracts issued in respect of listed shares and equity interests in the Listed Entity, including options, warrants, rights, forwards, futures and swaps, whether issued by the Listed Entity or a third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means any day on which the Listed Entity’s financial results are published and:</w:t>
      </w:r>
    </w:p>
    <w:p>
      <w:pPr>
        <w:spacing w:after="0" w:line="229" w:lineRule="exact"/>
        <w:rPr>
          <w:sz w:val="20"/>
          <w:szCs w:val="20"/>
          <w:color w:val="auto"/>
        </w:rPr>
      </w:pPr>
    </w:p>
    <w:p>
      <w:pPr>
        <w:ind w:left="660" w:hanging="328"/>
        <w:spacing w:after="0" w:line="282"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60 days immediately preceding the publication date of the annual results or, if shorter, the period from the end of the relevant financial year up to the publication date of the results;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30 days immediately preceding the publication date of the quarterly results (if any) and half-year results or, if shorter, the period from the end of the relevant quarterly or half-year period up to the publication date of the results.</w:t>
      </w:r>
    </w:p>
    <w:p>
      <w:pPr>
        <w:spacing w:after="0" w:line="162" w:lineRule="exact"/>
        <w:rPr>
          <w:sz w:val="20"/>
          <w:szCs w:val="20"/>
          <w:color w:val="auto"/>
        </w:rPr>
      </w:pPr>
    </w:p>
    <w:p>
      <w:pPr>
        <w:jc w:val="both"/>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2.4 The Listed Entity will notify all directors, Restricted Persons and the HKEx in advance of the commencement of any Blackout Period.</w:t>
      </w:r>
    </w:p>
    <w:p>
      <w:pPr>
        <w:spacing w:after="0" w:line="158" w:lineRule="exact"/>
        <w:rPr>
          <w:sz w:val="20"/>
          <w:szCs w:val="20"/>
          <w:color w:val="auto"/>
        </w:rPr>
      </w:pPr>
    </w:p>
    <w:p>
      <w:pPr>
        <w:jc w:val="both"/>
        <w:ind w:left="340" w:hanging="323"/>
        <w:spacing w:after="0" w:line="257"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Dealing</w:t>
      </w:r>
      <w:r>
        <w:rPr>
          <w:rFonts w:ascii="Times New Roman" w:cs="Times New Roman" w:eastAsia="Times New Roman" w:hAnsi="Times New Roman"/>
          <w:sz w:val="18"/>
          <w:szCs w:val="18"/>
          <w:color w:val="auto"/>
        </w:rPr>
        <w:t>” includes, subject to sections 6 and 7 below, any acquisition, disposal or transfer of, subscription for or underwriting of or creation of pledge, charge or any other security interest in, any Company Securities or any entity whose assets solely or substantially comprise Company Securities, and the grant, acceptance, acquisition, disposal, transfer, exercise or discharge of any option (whether call, put or both) or other right or obligation, present or future, conditional or unconditional, to acquire, dispose of or transfer Company Securities, or any interest in Company Securities or any such entity, in each case whether or not for consideration and whether on- or off- market, and the making of or offering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76" w:name="page277"/>
    <w:bookmarkEnd w:id="276"/>
    <w:p>
      <w:pPr>
        <w:ind w:left="340"/>
        <w:spacing w:after="0"/>
        <w:rPr>
          <w:sz w:val="20"/>
          <w:szCs w:val="20"/>
          <w:color w:val="auto"/>
        </w:rPr>
      </w:pPr>
      <w:r>
        <w:rPr>
          <w:rFonts w:ascii="Times New Roman" w:cs="Times New Roman" w:eastAsia="Times New Roman" w:hAnsi="Times New Roman"/>
          <w:sz w:val="18"/>
          <w:szCs w:val="18"/>
          <w:color w:val="auto"/>
        </w:rPr>
        <w:t>make any agreements to do any of the foregoing, and “</w:t>
      </w:r>
      <w:r>
        <w:rPr>
          <w:rFonts w:ascii="Times New Roman" w:cs="Times New Roman" w:eastAsia="Times New Roman" w:hAnsi="Times New Roman"/>
          <w:sz w:val="18"/>
          <w:szCs w:val="18"/>
          <w:b w:val="1"/>
          <w:bCs w:val="1"/>
          <w:color w:val="auto"/>
        </w:rPr>
        <w:t>deal</w:t>
      </w:r>
      <w:r>
        <w:rPr>
          <w:rFonts w:ascii="Times New Roman" w:cs="Times New Roman" w:eastAsia="Times New Roman" w:hAnsi="Times New Roman"/>
          <w:sz w:val="18"/>
          <w:szCs w:val="18"/>
          <w:color w:val="auto"/>
        </w:rPr>
        <w:t>” shall be construed accordingly.</w:t>
      </w:r>
    </w:p>
    <w:p>
      <w:pPr>
        <w:spacing w:after="0" w:line="225" w:lineRule="exact"/>
        <w:rPr>
          <w:sz w:val="20"/>
          <w:szCs w:val="20"/>
          <w:color w:val="auto"/>
        </w:rPr>
      </w:pPr>
    </w:p>
    <w:p>
      <w:pPr>
        <w:ind w:left="340" w:hanging="332"/>
        <w:spacing w:after="0"/>
        <w:tabs>
          <w:tab w:leader="none" w:pos="34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Absolute Prohibitions</w:t>
      </w:r>
    </w:p>
    <w:p>
      <w:pPr>
        <w:spacing w:after="0" w:line="225" w:lineRule="exact"/>
        <w:rPr>
          <w:sz w:val="20"/>
          <w:szCs w:val="20"/>
          <w:color w:val="auto"/>
        </w:rPr>
      </w:pPr>
    </w:p>
    <w:p>
      <w:pPr>
        <w:ind w:left="340" w:hanging="332"/>
        <w:spacing w:after="0"/>
        <w:tabs>
          <w:tab w:leader="none" w:pos="3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Dealing When in Possession of Inside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You and your Related Persons must not, directly or indirectly:</w:t>
      </w:r>
    </w:p>
    <w:p>
      <w:pPr>
        <w:spacing w:after="0" w:line="225" w:lineRule="exact"/>
        <w:rPr>
          <w:sz w:val="20"/>
          <w:szCs w:val="20"/>
          <w:color w:val="auto"/>
        </w:rPr>
      </w:pPr>
    </w:p>
    <w:p>
      <w:pPr>
        <w:ind w:left="660" w:hanging="328"/>
        <w:spacing w:after="0"/>
        <w:tabs>
          <w:tab w:leader="none" w:pos="6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any Company Securities at any time when you possess Inside Information in relation to Company Securities;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the securities of any other listed company when, by virtue of your position in the Listed Entity, you possess Inside Information in relation to those securities.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 of all dealings in Company Securities</w:t>
      </w:r>
    </w:p>
    <w:p>
      <w:pPr>
        <w:spacing w:after="0" w:line="229"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3.2 You and your Related Persons must not, directly or indirectly, deal in Company Securities at any time without first obtaining the acknowledgement of your notification in accordance with the procedure set out in section 4 below.</w:t>
      </w:r>
    </w:p>
    <w:p>
      <w:pPr>
        <w:spacing w:after="0" w:line="158" w:lineRule="exact"/>
        <w:rPr>
          <w:sz w:val="20"/>
          <w:szCs w:val="20"/>
          <w:color w:val="auto"/>
        </w:rPr>
      </w:pPr>
    </w:p>
    <w:p>
      <w:pPr>
        <w:ind w:left="340" w:hanging="332"/>
        <w:spacing w:after="0"/>
        <w:tabs>
          <w:tab w:leader="none" w:pos="34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Prohibition against dealing during Blackout Periods</w:t>
      </w:r>
    </w:p>
    <w:p>
      <w:pPr>
        <w:spacing w:after="0" w:line="229"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3.3 You and your Related Persons must not, directly or indirectly, deal in Company Securities during Blackout Periods. In exceptional circumstances you may submit a written notification for dealing during a Blackout Period under section 4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The company secretary will inform you in advance of the commencement and duration of Blackout Periods.</w:t>
      </w:r>
    </w:p>
    <w:p>
      <w:pPr>
        <w:spacing w:after="0" w:line="221" w:lineRule="exact"/>
        <w:rPr>
          <w:sz w:val="20"/>
          <w:szCs w:val="20"/>
          <w:color w:val="auto"/>
        </w:rPr>
      </w:pPr>
    </w:p>
    <w:p>
      <w:pPr>
        <w:ind w:left="340" w:hanging="332"/>
        <w:spacing w:after="0"/>
        <w:tabs>
          <w:tab w:leader="none" w:pos="34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Procedures</w:t>
      </w:r>
    </w:p>
    <w:p>
      <w:pPr>
        <w:spacing w:after="0" w:line="229"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4.1 Before obtaining any acknowledgement of your notification for any proposed dealing in Company Securities, whether by you or by your Related Persons, you should ensure that the proposed dealing:</w:t>
      </w:r>
    </w:p>
    <w:p>
      <w:pPr>
        <w:spacing w:after="0" w:line="162" w:lineRule="exact"/>
        <w:rPr>
          <w:sz w:val="20"/>
          <w:szCs w:val="20"/>
          <w:color w:val="auto"/>
        </w:rPr>
      </w:pPr>
    </w:p>
    <w:p>
      <w:pPr>
        <w:ind w:left="660" w:hanging="328"/>
        <w:spacing w:after="0" w:line="282" w:lineRule="auto"/>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place when you or your Related Persons are in possession of Inside Information and would not otherwise be prohibited from dealing under Insider Dealing Policy;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place during a Blackout Period (unless there are exceptional circumstances, in which case see section 4.4 below).</w:t>
      </w:r>
    </w:p>
    <w:p>
      <w:pPr>
        <w:spacing w:after="0" w:line="225"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4.2 You should submit a written request notifying the proposed transaction to the chairman of the Board or such other director of the Listed Entity as has been designated by the Board as being responsible for acknowledgement (which cannot be you, if you are seeking the acknowledgement). In his/her own case, the chairman shall submit a request to another designated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7" w:name="page278"/>
    <w:bookmarkEnd w:id="277"/>
    <w:p>
      <w:pPr>
        <w:jc w:val="both"/>
        <w:ind w:left="332" w:hanging="323"/>
        <w:spacing w:after="0" w:line="266" w:lineRule="auto"/>
        <w:rPr>
          <w:sz w:val="20"/>
          <w:szCs w:val="20"/>
          <w:color w:val="auto"/>
        </w:rPr>
      </w:pPr>
      <w:r>
        <w:rPr>
          <w:rFonts w:ascii="Times New Roman" w:cs="Times New Roman" w:eastAsia="Times New Roman" w:hAnsi="Times New Roman"/>
          <w:sz w:val="18"/>
          <w:szCs w:val="18"/>
          <w:color w:val="auto"/>
        </w:rPr>
        <w:t>4.3 The chairman or the designated director will decide whether or not to clear the proposed transaction and will notify you in writing of their decision within five trading days of receipt of the notification. The chairman and designated director have full discretion in making their decision and may decide not to clear a dealing for any reason they consider appropriate.</w:t>
      </w:r>
    </w:p>
    <w:p>
      <w:pPr>
        <w:spacing w:after="0" w:line="176" w:lineRule="exact"/>
        <w:rPr>
          <w:sz w:val="20"/>
          <w:szCs w:val="20"/>
          <w:color w:val="auto"/>
        </w:rPr>
      </w:pPr>
    </w:p>
    <w:p>
      <w:pPr>
        <w:jc w:val="both"/>
        <w:ind w:left="332" w:hanging="323"/>
        <w:spacing w:after="0" w:line="255" w:lineRule="auto"/>
        <w:rPr>
          <w:sz w:val="20"/>
          <w:szCs w:val="20"/>
          <w:color w:val="auto"/>
        </w:rPr>
      </w:pPr>
      <w:r>
        <w:rPr>
          <w:rFonts w:ascii="Times New Roman" w:cs="Times New Roman" w:eastAsia="Times New Roman" w:hAnsi="Times New Roman"/>
          <w:sz w:val="18"/>
          <w:szCs w:val="18"/>
          <w:color w:val="auto"/>
        </w:rPr>
        <w:t>4.4 If you or your Related Persons wish to deal in Company Securities during a Blackout Period due to exceptional circumstances, you must submit a written notification to the chairman or designated director for determination. You must be able to satisfy the chairman or the designated director that the circumstances are exceptional and that the proposed dealing is the only reasonable course of action available; for example, where there is a pressing financial commitment that cannot otherwise be satisfied. Before starting this procedure of notification under exceptional circumstances, you should consult the company secretary or the legal department whether your circumstances are exceptional as acknowledgement to notification for dealing during a Blackout Period is very rarely given.</w:t>
      </w:r>
    </w:p>
    <w:p>
      <w:pPr>
        <w:spacing w:after="0" w:line="189" w:lineRule="exact"/>
        <w:rPr>
          <w:sz w:val="20"/>
          <w:szCs w:val="20"/>
          <w:color w:val="auto"/>
        </w:rPr>
      </w:pPr>
    </w:p>
    <w:p>
      <w:pPr>
        <w:jc w:val="both"/>
        <w:ind w:left="332" w:hanging="323"/>
        <w:spacing w:after="0" w:line="261" w:lineRule="auto"/>
        <w:rPr>
          <w:sz w:val="20"/>
          <w:szCs w:val="20"/>
          <w:color w:val="auto"/>
        </w:rPr>
      </w:pPr>
      <w:r>
        <w:rPr>
          <w:rFonts w:ascii="Times New Roman" w:cs="Times New Roman" w:eastAsia="Times New Roman" w:hAnsi="Times New Roman"/>
          <w:sz w:val="18"/>
          <w:szCs w:val="18"/>
          <w:color w:val="auto"/>
        </w:rPr>
        <w:t>4.5 If any acknowledgement to notification is granted to a director due to exceptional circumstances, the Listed Entity will, as soon as practicable after the approved dealing, give written notice to the HKEx stating why it considered the circumstances to be exceptional and shall make a public announcement in accordance with Rule C.14 of the Model Code and Rule 2.07C of the Listing Rules stating that the chairman or designated director is satisfied that there were exceptional circumstances justifying such dealing.</w:t>
      </w:r>
    </w:p>
    <w:p>
      <w:pPr>
        <w:spacing w:after="0" w:line="176" w:lineRule="exact"/>
        <w:rPr>
          <w:sz w:val="20"/>
          <w:szCs w:val="20"/>
          <w:color w:val="auto"/>
        </w:rPr>
      </w:pPr>
    </w:p>
    <w:p>
      <w:pPr>
        <w:ind w:left="332" w:hanging="332"/>
        <w:spacing w:after="0"/>
        <w:tabs>
          <w:tab w:leader="none" w:pos="332"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Validity of Acknowledgement</w:t>
      </w:r>
    </w:p>
    <w:p>
      <w:pPr>
        <w:spacing w:after="0" w:line="229" w:lineRule="exact"/>
        <w:rPr>
          <w:sz w:val="20"/>
          <w:szCs w:val="20"/>
          <w:color w:val="auto"/>
        </w:rPr>
      </w:pPr>
    </w:p>
    <w:p>
      <w:pPr>
        <w:jc w:val="both"/>
        <w:ind w:left="332" w:right="20" w:hanging="323"/>
        <w:spacing w:after="0" w:line="266" w:lineRule="auto"/>
        <w:rPr>
          <w:sz w:val="20"/>
          <w:szCs w:val="20"/>
          <w:color w:val="auto"/>
        </w:rPr>
      </w:pPr>
      <w:r>
        <w:rPr>
          <w:rFonts w:ascii="Times New Roman" w:cs="Times New Roman" w:eastAsia="Times New Roman" w:hAnsi="Times New Roman"/>
          <w:sz w:val="18"/>
          <w:szCs w:val="18"/>
          <w:color w:val="auto"/>
        </w:rPr>
        <w:t>4.6 The acknowledgement of the chairman or the designated director is only valid for five trading days from the date on which it is granted. If the proposed dealing is not executed within this period, the acknowledgement will lapse and a new notification will need to be submitted.</w:t>
      </w:r>
    </w:p>
    <w:p>
      <w:pPr>
        <w:spacing w:after="0" w:line="176" w:lineRule="exact"/>
        <w:rPr>
          <w:sz w:val="20"/>
          <w:szCs w:val="20"/>
          <w:color w:val="auto"/>
        </w:rPr>
      </w:pPr>
    </w:p>
    <w:p>
      <w:pPr>
        <w:jc w:val="both"/>
        <w:ind w:left="332" w:hanging="323"/>
        <w:spacing w:after="0" w:line="282" w:lineRule="auto"/>
        <w:rPr>
          <w:sz w:val="20"/>
          <w:szCs w:val="20"/>
          <w:color w:val="auto"/>
        </w:rPr>
      </w:pPr>
      <w:r>
        <w:rPr>
          <w:rFonts w:ascii="Times New Roman" w:cs="Times New Roman" w:eastAsia="Times New Roman" w:hAnsi="Times New Roman"/>
          <w:sz w:val="18"/>
          <w:szCs w:val="18"/>
          <w:color w:val="auto"/>
        </w:rPr>
        <w:t>4.7 You and your Related Persons are immediately and absolutely prohibited from dealing in Company Securities if you or your Related Persons come into possession of Inside Information at any point after submitting your notification to deal.</w:t>
      </w:r>
    </w:p>
    <w:p>
      <w:pPr>
        <w:spacing w:after="0" w:line="162" w:lineRule="exact"/>
        <w:rPr>
          <w:sz w:val="20"/>
          <w:szCs w:val="20"/>
          <w:color w:val="auto"/>
        </w:rPr>
      </w:pPr>
    </w:p>
    <w:p>
      <w:pPr>
        <w:jc w:val="both"/>
        <w:ind w:left="332" w:hanging="323"/>
        <w:spacing w:after="0" w:line="266" w:lineRule="auto"/>
        <w:rPr>
          <w:sz w:val="20"/>
          <w:szCs w:val="20"/>
          <w:color w:val="auto"/>
        </w:rPr>
      </w:pPr>
      <w:r>
        <w:rPr>
          <w:rFonts w:ascii="Times New Roman" w:cs="Times New Roman" w:eastAsia="Times New Roman" w:hAnsi="Times New Roman"/>
          <w:sz w:val="18"/>
          <w:szCs w:val="18"/>
          <w:color w:val="auto"/>
        </w:rPr>
        <w:t>4.8 You should inform the company secretary of the details of any approved dealing by yourself or your Related Persons as soon as possible after executing the dealing, and in any event no later than the next business day after execution, so that the relevant person(s) can make the relevant disclosure of interests filings under Part XV of the SFO.</w:t>
      </w:r>
    </w:p>
    <w:p>
      <w:pPr>
        <w:spacing w:after="0" w:line="172" w:lineRule="exact"/>
        <w:rPr>
          <w:sz w:val="20"/>
          <w:szCs w:val="20"/>
          <w:color w:val="auto"/>
        </w:rPr>
      </w:pPr>
    </w:p>
    <w:p>
      <w:pPr>
        <w:ind w:left="332" w:hanging="332"/>
        <w:spacing w:after="0"/>
        <w:tabs>
          <w:tab w:leader="none" w:pos="332"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Records And Disclosure</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secretary will keep a written record of notification received and the acknowledgements which are granted.</w:t>
      </w:r>
    </w:p>
    <w:p>
      <w:pPr>
        <w:spacing w:after="0" w:line="225" w:lineRule="exact"/>
        <w:rPr>
          <w:rFonts w:ascii="Times New Roman" w:cs="Times New Roman" w:eastAsia="Times New Roman" w:hAnsi="Times New Roman"/>
          <w:sz w:val="18"/>
          <w:szCs w:val="18"/>
          <w:color w:val="auto"/>
        </w:rPr>
      </w:pPr>
    </w:p>
    <w:p>
      <w:pPr>
        <w:jc w:val="both"/>
        <w:ind w:left="652" w:hanging="328"/>
        <w:spacing w:after="0" w:line="258" w:lineRule="auto"/>
        <w:tabs>
          <w:tab w:leader="none" w:pos="652"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Entity is required to disclose in the Corporate Governance Report contained in its annual report and in its interim reports whether it has adopted a policy regarding directors’ security transactions on no less exacting terms than those set out in the Model Code; whether, having made specific enquiry of all directors, the directors have complied with the policy and the Model Code; and, in the event of any non- compliance, details of the non-compliance and an explanation of remedial steps taken to address the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278" w:name="page279"/>
    <w:bookmarkEnd w:id="278"/>
    <w:p>
      <w:pPr>
        <w:ind w:left="340" w:hanging="332"/>
        <w:spacing w:after="0"/>
        <w:tabs>
          <w:tab w:leader="none" w:pos="3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Exempted From Notification Requirement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The following transactions do not require notification:</w:t>
      </w:r>
    </w:p>
    <w:p>
      <w:pPr>
        <w:spacing w:after="0" w:line="225" w:lineRule="exact"/>
        <w:rPr>
          <w:sz w:val="20"/>
          <w:szCs w:val="20"/>
          <w:color w:val="auto"/>
        </w:rPr>
      </w:pPr>
    </w:p>
    <w:p>
      <w:pPr>
        <w:jc w:val="both"/>
        <w:ind w:left="660" w:hanging="328"/>
        <w:spacing w:after="0" w:line="258"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shares or interests in any publicly-traded mutual funds including Mandatory Provident Funds, other provident funds, open-ended mutual funds and, in certain cases, exchange-traded funds which may invest into Company Securities, provided that in each case (i) the funds are professionally managed by a third-party investment manager and (ii) you or your Related Persons have no discretion over or ability to influence the investment decisions of the fund manager in respect of the securities constituting the funds;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taking up entitlements (or allowing them to lapse) under a rights or bonus issue, or capitalisation made by the Listed Entity, including an offer of shares in lieu of a cash dividend (although disposals or transfers to another person or applications for excess entitlements would be subject to this policy);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entitlements to lapse under a rights issue or other offer made by the Listed Entity to holders of its securities (including an offer of shares in lieu of a cash dividend);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undertakings to accept or acceptance of a general offer for Company Securities made to the shareholders of the Listed Entity other than those who are concert parties (as defined under the Codes on Takeovers and Mergers and Share Buy-backs) of the offeror;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share options or warrants or acceptance of an offer for shares pursuant to an agreement entered into with the Listed Entity before a period during which dealing is prohibited under this policy at a price fixed at the time of grant of the share option or warrant or acceptance of an offer for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qualification shares where, under the Listed Entity’s constitutional documents, the final date for acquiring such shares falls within a period when dealing is prohibited under this policy and such shares cannot be acquired at another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the beneficial interest in Company Securities does not change;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a shareholder places out his/her existing shares in a “top-up” placing where the number of new shares subscribed by him/her pursuant to an irrevocable, binding obligation equals the number of existing shares placed out and the subscription price (after expenses) is the same as the price at which the existing shares were placed out;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the beneficial ownership of Company Securities is transferred from another party by operation of law e.g. upon death.</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Awards</w:t>
      </w:r>
    </w:p>
    <w:p>
      <w:pPr>
        <w:spacing w:after="0" w:line="229"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7.1 The Listed Entity shall not grant any option, award, restricted share unit or share appreciation right in respect of Company Securities after inside information has come to its knowledge until (and including) the trading day after it has announced the information. In particular, the Listed Entity shall not grant any such aforesaid share-based award during the period commencing one month immediately before the earlier of: (i) the date of the Board meeting (as such date is first notified to the HKEx under the Listing Rules) for approving the Listed Entity’s results for any year, half-year, quarterly or any other interim period (whether or not required under the Listing Rules); and (ii) the deadline for the Listed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79" w:name="page280"/>
    <w:bookmarkEnd w:id="279"/>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to announce its results for any year or half-year under the Listing Rules, or quarterly or any other interim period (whether or not required under the Listing Rules), and ending on the date of the results announcement. No such share-based award may be granted during any period of delay in publishing a results announcement. Furthermore, no Awards shall be granted (i) during the period of 60 days immediately preceding the publication date of the annual results of the Listed Entity or if shorter, the period from the end of the relevant financial year up to the publication date of such results; and (ii) during the period of 30 days immediately preceding the publication date of the half-year results of the Listed Entity or if shorter, the period from the end of the relevant half-year period up to the publication date of such results.</w:t>
      </w:r>
    </w:p>
    <w:p>
      <w:pPr>
        <w:spacing w:after="0" w:line="189" w:lineRule="exact"/>
        <w:rPr>
          <w:sz w:val="20"/>
          <w:szCs w:val="20"/>
          <w:color w:val="auto"/>
        </w:rPr>
      </w:pPr>
    </w:p>
    <w:p>
      <w:pPr>
        <w:jc w:val="both"/>
        <w:ind w:left="340" w:right="20" w:hanging="323"/>
        <w:spacing w:after="0" w:line="266" w:lineRule="auto"/>
        <w:rPr>
          <w:sz w:val="20"/>
          <w:szCs w:val="20"/>
          <w:color w:val="auto"/>
        </w:rPr>
      </w:pPr>
      <w:r>
        <w:rPr>
          <w:rFonts w:ascii="Times New Roman" w:cs="Times New Roman" w:eastAsia="Times New Roman" w:hAnsi="Times New Roman"/>
          <w:sz w:val="18"/>
          <w:szCs w:val="18"/>
          <w:color w:val="auto"/>
        </w:rPr>
        <w:t>7.2 In respect of any grant of an option, award, restricted share unit or share appreciation right in respect of Company Securities which is made to you under an approved share award scheme of the Listed Entity, the Listed Entity may, at its discretion, require you to confirm that you are not in possession of any Inside Information at the time of grant.</w:t>
      </w:r>
    </w:p>
    <w:p>
      <w:pPr>
        <w:spacing w:after="0" w:line="176"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7.3 For the purpose of the Directors’ Dealing Policy, the grant to you of a share-based award to subscribe or purchase the Company Securities shall be regarded as a dealing by you, if the price at which such share-based award may be exercised is fixed at the time of such grant, if applicable. If, however, a share-based award is granted to you on terms whereby the price at which such share-based award may be exercised is to be fixed at the time of exercise, if applicable, the dealing is to be regarded as taking place at the time of exercise.</w:t>
      </w:r>
    </w:p>
    <w:p>
      <w:pPr>
        <w:spacing w:after="0" w:line="179" w:lineRule="exact"/>
        <w:rPr>
          <w:sz w:val="20"/>
          <w:szCs w:val="20"/>
          <w:color w:val="auto"/>
        </w:rPr>
      </w:pPr>
    </w:p>
    <w:p>
      <w:pPr>
        <w:ind w:left="340" w:hanging="332"/>
        <w:spacing w:after="0"/>
        <w:tabs>
          <w:tab w:leader="none" w:pos="34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In addition to complying with the requirements and restrictions on dealing contained in this policy, you must do the following:</w:t>
      </w:r>
    </w:p>
    <w:p>
      <w:pPr>
        <w:spacing w:after="0" w:line="225" w:lineRule="exact"/>
        <w:rPr>
          <w:sz w:val="20"/>
          <w:szCs w:val="20"/>
          <w:color w:val="auto"/>
        </w:rPr>
      </w:pPr>
    </w:p>
    <w:p>
      <w:pPr>
        <w:ind w:left="660" w:hanging="328"/>
        <w:spacing w:after="0"/>
        <w:tabs>
          <w:tab w:leader="none" w:pos="6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your Related Persons also comply with this policy;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(i) co-trustee(s) of any trust of which you or your Related Persons are a trustee; (ii) trustee(s) of any trust of which you or your Related Persons are a beneficiary; and (iii) investment managers whom you or your Related Persons have engaged for the purpose of managing funds, of your directorship in the Listed Entity and of their duty to comply with this policy, so as to enable them to anticipate possible difficulties;</w:t>
      </w:r>
    </w:p>
    <w:p>
      <w:pPr>
        <w:spacing w:after="0" w:line="179"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endeavour to ensure that the trustees of any trust of which you or your Related Persons are a beneficiary (but of which you are not a trustee) notify you after they have dealt in Company Securities on behalf of the trust, in order that you may notify the Listed Entity;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you do not place investment funds comprising Company Securities under professional management, discretionary or otherwise, unless the manager(s) is/are made subject to the same restrictions and procedures as you yourself in respect of any proposed dealings in Company Securities.</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Maintenance of Register by the Listed Entity</w:t>
      </w:r>
    </w:p>
    <w:p>
      <w:pPr>
        <w:spacing w:after="0" w:line="229"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8.2 You are required to complete and submit to the company secretary a statement of interests form within seven business days of becoming a director and on a quarterly basis during which you are a director.</w:t>
      </w:r>
    </w:p>
    <w:p>
      <w:pPr>
        <w:spacing w:after="0" w:line="162"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8.3 The Listed Entity shall maintain a register of directors’ interests and short positions in accordance with section 352 of the SFO and this will be made available at every meeting of the Board, at every annual general meeting and on all other occasions as required by the SFO.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color w:val="auto"/>
        </w:rPr>
        <w:t>III. Staff’s Dealing Policy</w:t>
      </w:r>
    </w:p>
    <w:p>
      <w:pPr>
        <w:spacing w:after="0" w:line="225" w:lineRule="exact"/>
        <w:rPr>
          <w:sz w:val="20"/>
          <w:szCs w:val="20"/>
          <w:color w:val="auto"/>
        </w:rPr>
      </w:pPr>
    </w:p>
    <w:p>
      <w:pPr>
        <w:ind w:left="340" w:hanging="332"/>
        <w:spacing w:after="0"/>
        <w:tabs>
          <w:tab w:leader="none" w:pos="34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Policy</w:t>
      </w:r>
    </w:p>
    <w:p>
      <w:pPr>
        <w:spacing w:after="0" w:line="229" w:lineRule="exact"/>
        <w:rPr>
          <w:sz w:val="20"/>
          <w:szCs w:val="20"/>
          <w:color w:val="auto"/>
        </w:rPr>
      </w:pPr>
    </w:p>
    <w:p>
      <w:pPr>
        <w:jc w:val="both"/>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1.1 All Restricted Persons of any member of the Group are required to comply with the Model Code as well as the relevant inside dealing provisions under the SFO.</w:t>
      </w:r>
    </w:p>
    <w:p>
      <w:pPr>
        <w:spacing w:after="0" w:line="158"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1.2 This Staff’s Dealing Policy has been adopted by the board of directors of the Listed Entity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 order to ensure compliance with the Model Code and the SFO by all Restricted Persons other than a director of the Listed Entity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It sets out the procedures and requirements with which you, as a Staff, must comply when dealing in Company Securities (as defined below). In addition, you are required to comply with the Prevention of Insider Dealing Policy, which is based on the provisions of the SFO relating to market misconduct (including insider dealing). Any breach of these policies may constitute a breach of the SFO or the Listing Rules and may attract a public inquiry or civil and criminal liabilities. The compliance with the Model Code and the SFO by a director of the Listed Entity is dealt with in the Director’s Dealing Policy.</w:t>
      </w:r>
    </w:p>
    <w:p>
      <w:pPr>
        <w:spacing w:after="0" w:line="187"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1.3 Under the Model Code, directors must endeavour to ensure that all Staff does not deal in Company Securities at a time when they would be prohibited from so dealing if they were directors of the Listed Entity.</w:t>
      </w:r>
    </w:p>
    <w:p>
      <w:pPr>
        <w:spacing w:after="0" w:line="162"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1.4 A Staff who is aware of or privy to any negotiations or agreements related to intended acquisitions or disposals which are notifiable transactions under Chapter 14 of the Listing Rules or connected transactions under Chapter 14A of the Listing Rules or any Inside Information must refrain from dealing in Company Securities as soon as he/she becomes aware of them until they have been properly disclosed in accordance with the Listing Rules. To the extent feasible, a Staff privy to relevant negotiations, agreements or information should caution other Staff that there may be Inside Information and that they must not deal in Company Securities for a similar period.</w:t>
      </w:r>
    </w:p>
    <w:p>
      <w:pPr>
        <w:spacing w:after="0" w:line="183" w:lineRule="exact"/>
        <w:rPr>
          <w:sz w:val="20"/>
          <w:szCs w:val="20"/>
          <w:color w:val="auto"/>
        </w:rPr>
      </w:pPr>
    </w:p>
    <w:p>
      <w:pPr>
        <w:ind w:left="340" w:hanging="332"/>
        <w:spacing w:after="0"/>
        <w:tabs>
          <w:tab w:leader="none" w:pos="34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Your “</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spouse, partner or other person with whom you live as if he or she were a spouse;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children (natural or adopted) and stepchildren under the age of 18 of yourself or of your spouse;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whom you have an agreement or arrangement: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dealing in Company Securities;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you undertake to act together in exercising your voting power at general meetings of the Listed Entity;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of which you or any of the above persons or entities control 30 per cent or more of the voting power at general meetings of the corporation or of which you control the majority of the board of directors, any corporation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1" w:name="page282"/>
    <w:bookmarkEnd w:id="281"/>
    <w:p>
      <w:pPr>
        <w:ind w:left="660"/>
        <w:spacing w:after="0" w:line="282" w:lineRule="auto"/>
        <w:rPr>
          <w:sz w:val="20"/>
          <w:szCs w:val="20"/>
          <w:color w:val="auto"/>
        </w:rPr>
      </w:pPr>
      <w:r>
        <w:rPr>
          <w:rFonts w:ascii="Times New Roman" w:cs="Times New Roman" w:eastAsia="Times New Roman" w:hAnsi="Times New Roman"/>
          <w:sz w:val="18"/>
          <w:szCs w:val="18"/>
          <w:color w:val="auto"/>
        </w:rPr>
        <w:t>accustomed to acting or whose directors are accustomed to acting in accordance with the directions or instructions of yourself or any of the above persons or entities, and any of its subsidiaries; and</w:t>
      </w:r>
    </w:p>
    <w:p>
      <w:pPr>
        <w:spacing w:after="0" w:line="162" w:lineRule="exact"/>
        <w:rPr>
          <w:sz w:val="20"/>
          <w:szCs w:val="20"/>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or any of the above persons or entities is/are a beneficiary;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founder of the trust with the ability to exert any influence over the trustee;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trustee, other than a trust of which:</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bare trustee i.e. a trustee with no powers or duties except to transfer the shares according to the directions of the beneficial owners, or</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 co-trustee and you have not participated in or influenced the decision to deal in the securities, and of which neither you nor any of your Related Persons are beneficiaries,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such other persons as the Listed Entity may notify you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means, for the purpose of the Staff’s Dealing Policy:</w:t>
      </w:r>
    </w:p>
    <w:p>
      <w:pPr>
        <w:spacing w:after="0" w:line="229" w:lineRule="exact"/>
        <w:rPr>
          <w:sz w:val="20"/>
          <w:szCs w:val="20"/>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shares and equity interests in the Listed Entity;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unlisted securities that are exchangeable into listed shares or equity interests in the Listed Entity and structured products and derivative contracts issued in respect of listed shares and equity interests in the Listed Entity, including options, warrants, rights, forwards, futures and swaps, whether issued by the Listed Entity or a third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Blackout Period</w:t>
      </w:r>
      <w:r>
        <w:rPr>
          <w:rFonts w:ascii="Times New Roman" w:cs="Times New Roman" w:eastAsia="Times New Roman" w:hAnsi="Times New Roman"/>
          <w:sz w:val="18"/>
          <w:szCs w:val="18"/>
          <w:color w:val="auto"/>
        </w:rPr>
        <w:t>” means any day on which the Listed Entity’s financial results are published and:</w:t>
      </w:r>
    </w:p>
    <w:p>
      <w:pPr>
        <w:spacing w:after="0" w:line="229" w:lineRule="exact"/>
        <w:rPr>
          <w:sz w:val="20"/>
          <w:szCs w:val="20"/>
          <w:color w:val="auto"/>
        </w:rPr>
      </w:pPr>
    </w:p>
    <w:p>
      <w:pPr>
        <w:ind w:left="660" w:hanging="328"/>
        <w:spacing w:after="0" w:line="282"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60 days immediately preceding the publication date of the annual results or, if shorter, the period from the end of the relevant financial year up to the publication date of the results;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30 days immediately preceding the publication date of the quarterly results (if any) and half-year results or, if shorter, the period from the end of the relevant quarterly or half-year period up to the publication date of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The Listed Entity will notify all relevant Staff and the HKEx in advance of the commencement of any Blackout Period.</w:t>
      </w:r>
    </w:p>
    <w:p>
      <w:pPr>
        <w:spacing w:after="0" w:line="221"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Dealing</w:t>
      </w:r>
      <w:r>
        <w:rPr>
          <w:rFonts w:ascii="Times New Roman" w:cs="Times New Roman" w:eastAsia="Times New Roman" w:hAnsi="Times New Roman"/>
          <w:sz w:val="18"/>
          <w:szCs w:val="18"/>
          <w:color w:val="auto"/>
        </w:rPr>
        <w:t>” includes, subject to sections 6 and 7 below, any acquisition, disposal or transfer of, subscription for or underwriting of or creation of pledge, charge or any other security interest in, any Company Securities or any entity whose assets solely or substantially comprise Company Securities, and the grant, acceptance, acquisition, disposal, transfer, exercise or discharge of any option (whether call, put or both) or other right or obligation, present or future, conditional or unconditional, to acquire, dispose of or transfer Company Securities, or any interest in Company Securities or any such entity, in each case whether or not for consideration and whether on- or off- market, and the making of or offering to make any agreements to do any of the foregoing, and “</w:t>
      </w:r>
      <w:r>
        <w:rPr>
          <w:rFonts w:ascii="Times New Roman" w:cs="Times New Roman" w:eastAsia="Times New Roman" w:hAnsi="Times New Roman"/>
          <w:sz w:val="18"/>
          <w:szCs w:val="18"/>
          <w:b w:val="1"/>
          <w:bCs w:val="1"/>
          <w:color w:val="auto"/>
        </w:rPr>
        <w:t>deal</w:t>
      </w:r>
      <w:r>
        <w:rPr>
          <w:rFonts w:ascii="Times New Roman" w:cs="Times New Roman" w:eastAsia="Times New Roman" w:hAnsi="Times New Roman"/>
          <w:sz w:val="18"/>
          <w:szCs w:val="18"/>
          <w:color w:val="auto"/>
        </w:rPr>
        <w:t>” shall be construed accordingly.</w:t>
      </w:r>
    </w:p>
    <w:p>
      <w:pPr>
        <w:spacing w:after="0" w:line="183" w:lineRule="exact"/>
        <w:rPr>
          <w:sz w:val="20"/>
          <w:szCs w:val="20"/>
          <w:color w:val="auto"/>
        </w:rPr>
      </w:pPr>
    </w:p>
    <w:p>
      <w:pPr>
        <w:ind w:left="340" w:hanging="332"/>
        <w:spacing w:after="0"/>
        <w:tabs>
          <w:tab w:leader="none" w:pos="34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Absolute Prohibitions</w:t>
      </w:r>
    </w:p>
    <w:p>
      <w:pPr>
        <w:spacing w:after="0" w:line="225" w:lineRule="exact"/>
        <w:rPr>
          <w:sz w:val="20"/>
          <w:szCs w:val="20"/>
          <w:color w:val="auto"/>
        </w:rPr>
      </w:pPr>
    </w:p>
    <w:p>
      <w:pPr>
        <w:ind w:left="340" w:hanging="332"/>
        <w:spacing w:after="0"/>
        <w:tabs>
          <w:tab w:leader="none" w:pos="3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dealing When in Possession of Inside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You and your Related Persons must not,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2" w:name="page283"/>
    <w:bookmarkEnd w:id="282"/>
    <w:p>
      <w:pPr>
        <w:ind w:left="660" w:hanging="328"/>
        <w:spacing w:after="0"/>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any Company Securities at any time when you possess Inside Information in relation to Company Securities;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the securities of any other listed company when, by virtue of your position in the Listed Entity, you possess Inside Information in relation to those securities.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 of All Dealings in Company Securities</w:t>
      </w:r>
    </w:p>
    <w:p>
      <w:pPr>
        <w:spacing w:after="0" w:line="229"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3.2 You and your Related Persons must not, directly or indirectly, deal in Company Securities at any time without first obtaining the acknowledgement of your notification in accordance with the procedure set out in section 4 below.</w:t>
      </w:r>
    </w:p>
    <w:p>
      <w:pPr>
        <w:spacing w:after="0" w:line="158" w:lineRule="exact"/>
        <w:rPr>
          <w:sz w:val="20"/>
          <w:szCs w:val="20"/>
          <w:color w:val="auto"/>
        </w:rPr>
      </w:pPr>
    </w:p>
    <w:p>
      <w:pPr>
        <w:ind w:left="340" w:hanging="332"/>
        <w:spacing w:after="0"/>
        <w:tabs>
          <w:tab w:leader="none" w:pos="34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Prohibition Against Dealing During Blackout Periods</w:t>
      </w:r>
    </w:p>
    <w:p>
      <w:pPr>
        <w:spacing w:after="0" w:line="229"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3.3 You and your Related Persons must not, directly or indirectly, deal in Company Securities during Blackout Periods. In exceptional circumstances you may submit a written notification for dealing during a Blackout Period under section 4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The company secretary will inform you in advance of the commencement and duration of Blackout Periods.</w:t>
      </w:r>
    </w:p>
    <w:p>
      <w:pPr>
        <w:spacing w:after="0" w:line="221" w:lineRule="exact"/>
        <w:rPr>
          <w:sz w:val="20"/>
          <w:szCs w:val="20"/>
          <w:color w:val="auto"/>
        </w:rPr>
      </w:pPr>
    </w:p>
    <w:p>
      <w:pPr>
        <w:ind w:left="340" w:hanging="332"/>
        <w:spacing w:after="0"/>
        <w:tabs>
          <w:tab w:leader="none" w:pos="34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Notification Procedures</w:t>
      </w:r>
    </w:p>
    <w:p>
      <w:pPr>
        <w:spacing w:after="0" w:line="229"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4.1 Before obtaining any acknowledgement of your notification for any proposed dealing in Company Securities, whether by you or by your Related Persons, you should ensure that the proposed dealing:</w:t>
      </w:r>
    </w:p>
    <w:p>
      <w:pPr>
        <w:spacing w:after="0" w:line="162" w:lineRule="exact"/>
        <w:rPr>
          <w:sz w:val="20"/>
          <w:szCs w:val="20"/>
          <w:color w:val="auto"/>
        </w:rPr>
      </w:pPr>
    </w:p>
    <w:p>
      <w:pPr>
        <w:ind w:left="660" w:hanging="328"/>
        <w:spacing w:after="0" w:line="282" w:lineRule="auto"/>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place when you or your Related Persons are in possession of Inside Information and would not otherwise be prohibited from dealing under the Insider Dealing Policy;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place during a Blackout Period (unless there are exceptional circumstances, in which case see section 4.4 below).</w:t>
      </w:r>
    </w:p>
    <w:p>
      <w:pPr>
        <w:spacing w:after="0" w:line="225"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4.2 You should submit a written request notifying the proposed transaction to the chairman of the Board or such other director of the Listed Entity as has been designated by the Board as being responsible for acknowledgement.</w:t>
      </w:r>
    </w:p>
    <w:p>
      <w:pPr>
        <w:spacing w:after="0" w:line="162"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4.3 The chairman or the designated director will decide whether or not to clear the proposed transaction and will notify you in writing of their decision within five trading days of receipt of the notification. The chairman and designated director have full discretion in making their decision and may decide not to clear a dealing for any reason they consider appropriate.</w:t>
      </w:r>
    </w:p>
    <w:p>
      <w:pPr>
        <w:spacing w:after="0" w:line="176"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4.4 If you or your Related Persons wish to deal in Company Securities during a Blackout Period due to exceptional circumstances, you must submit a written notification to the chairman or designated director for determination. You must be able to satisfy the chairman or the designated director that the circumstances are exceptional and that the proposed dealing is the only reasonable course of action available; for example, where there is a pressing financial commitment that cannot otherwise be satisfied. Before starting this procedure of notification under exceptional circumstances, you should consult the company secretary or the legal department whether your circumstances are exceptional as acknowledgement to notification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3" w:name="page284"/>
    <w:bookmarkEnd w:id="283"/>
    <w:p>
      <w:pPr>
        <w:ind w:left="340"/>
        <w:spacing w:after="0"/>
        <w:rPr>
          <w:sz w:val="20"/>
          <w:szCs w:val="20"/>
          <w:color w:val="auto"/>
        </w:rPr>
      </w:pPr>
      <w:r>
        <w:rPr>
          <w:rFonts w:ascii="Times New Roman" w:cs="Times New Roman" w:eastAsia="Times New Roman" w:hAnsi="Times New Roman"/>
          <w:sz w:val="18"/>
          <w:szCs w:val="18"/>
          <w:color w:val="auto"/>
        </w:rPr>
        <w:t>dealing during a Blackout Period is very rarely given.</w:t>
      </w:r>
    </w:p>
    <w:p>
      <w:pPr>
        <w:spacing w:after="0" w:line="221" w:lineRule="exact"/>
        <w:rPr>
          <w:sz w:val="20"/>
          <w:szCs w:val="20"/>
          <w:color w:val="auto"/>
        </w:rPr>
      </w:pPr>
    </w:p>
    <w:p>
      <w:pPr>
        <w:ind w:left="340" w:hanging="332"/>
        <w:spacing w:after="0"/>
        <w:tabs>
          <w:tab w:leader="none" w:pos="34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Validity of Acknowledgement</w:t>
      </w:r>
    </w:p>
    <w:p>
      <w:pPr>
        <w:spacing w:after="0" w:line="229" w:lineRule="exact"/>
        <w:rPr>
          <w:sz w:val="20"/>
          <w:szCs w:val="20"/>
          <w:color w:val="auto"/>
        </w:rPr>
      </w:pPr>
    </w:p>
    <w:p>
      <w:pPr>
        <w:jc w:val="both"/>
        <w:ind w:left="340" w:right="20" w:hanging="323"/>
        <w:spacing w:after="0" w:line="266" w:lineRule="auto"/>
        <w:rPr>
          <w:sz w:val="20"/>
          <w:szCs w:val="20"/>
          <w:color w:val="auto"/>
        </w:rPr>
      </w:pPr>
      <w:r>
        <w:rPr>
          <w:rFonts w:ascii="Times New Roman" w:cs="Times New Roman" w:eastAsia="Times New Roman" w:hAnsi="Times New Roman"/>
          <w:sz w:val="18"/>
          <w:szCs w:val="18"/>
          <w:color w:val="auto"/>
        </w:rPr>
        <w:t>4.5 The acknowledgement of the chairman or the designated director is only valid for five trading days from the date on which it is granted. If the proposed dealing is not executed within this period, the acknowledgement will lapse and a new notification will need to be submitted.</w:t>
      </w:r>
    </w:p>
    <w:p>
      <w:pPr>
        <w:spacing w:after="0" w:line="176"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4.6 You and your Related Persons are immediately and absolutely prohibited from dealing in Company Securities if you or your Related Persons come into possession of Inside Information at any point after submitting your notification to deal.</w:t>
      </w:r>
    </w:p>
    <w:p>
      <w:pPr>
        <w:spacing w:after="0" w:line="158" w:lineRule="exact"/>
        <w:rPr>
          <w:sz w:val="20"/>
          <w:szCs w:val="20"/>
          <w:color w:val="auto"/>
        </w:rPr>
      </w:pPr>
    </w:p>
    <w:p>
      <w:pPr>
        <w:ind w:left="340" w:hanging="332"/>
        <w:spacing w:after="0"/>
        <w:tabs>
          <w:tab w:leader="none" w:pos="34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Records And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secretary will keep a written record of notification received and the acknowledgements which are granted.</w:t>
      </w:r>
    </w:p>
    <w:p>
      <w:pPr>
        <w:spacing w:after="0" w:line="221" w:lineRule="exact"/>
        <w:rPr>
          <w:sz w:val="20"/>
          <w:szCs w:val="20"/>
          <w:color w:val="auto"/>
        </w:rPr>
      </w:pPr>
    </w:p>
    <w:p>
      <w:pPr>
        <w:ind w:left="340" w:hanging="332"/>
        <w:spacing w:after="0"/>
        <w:tabs>
          <w:tab w:leader="none" w:pos="34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Exempted From Notification Requirement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The following transactions do not require notification:</w:t>
      </w:r>
    </w:p>
    <w:p>
      <w:pPr>
        <w:spacing w:after="0" w:line="225" w:lineRule="exact"/>
        <w:rPr>
          <w:sz w:val="20"/>
          <w:szCs w:val="20"/>
          <w:color w:val="auto"/>
        </w:rPr>
      </w:pPr>
    </w:p>
    <w:p>
      <w:pPr>
        <w:jc w:val="both"/>
        <w:ind w:left="660" w:hanging="328"/>
        <w:spacing w:after="0" w:line="258"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shares or interests in any publicly-traded mutual funds including Mandatory Provident Funds, other provident funds, open-ended mutual funds and, in certain cases, exchange-traded funds which may invest into Company Securities, provided that in each case (i) the funds are professionally managed by a third-party investment manager and (ii) you or your Related Persons have no discretion over or ability to influence the investment decisions of the fund manager in respect of the securities constituting the funds;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taking up entitlements (or allowing them to lapse) under a rights or bonus issue, or capitalisation made by the Listed Entity, including an offer of shares in lieu of a cash dividend (although disposals or transfers to another person or applications for excess entitlements would be subject to this policy);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entitlements to lapse under a rights issue or other offer made by the Listed Entity to holders of its securities (including offer of shares in lieu of a cash dividend);</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undertakings to accept or acceptance of a general offer for Company Securities made to the shareholders of the Listed Entity other than those who are concert parties (as defined under the Codes on Takeovers and Mergers and Share Buy-backs) of the offeror;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share options or warrants or acceptance of an offer for shares pursuant to an agreement entered into with the Listed Entity before a period during which dealing is prohibited under this policy at a price fixed at the time of grant of the share option or warrant or acceptance of an offer for shares;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qualification shares where, under the Listed Entity’s constitutional documents, the final date for acquiring such shares falls within a period when dealing is prohibited under this policy and such shares cannot be acquired at another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the beneficial interest in Company Securities does not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4" w:name="page285"/>
    <w:bookmarkEnd w:id="284"/>
    <w:p>
      <w:pPr>
        <w:jc w:val="both"/>
        <w:ind w:left="660" w:hanging="328"/>
        <w:spacing w:after="0" w:line="266" w:lineRule="auto"/>
        <w:tabs>
          <w:tab w:leader="none" w:pos="6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a shareholder places out his/her existing shares in a “top-up” placing where the number of new shares subscribed by him/her pursuant to an irrevocable, binding obligation equals the number of existing shares placed out and the subscription price (after expenses) is the same as the price at which the existing shares were placed out;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the beneficial ownership of Company Securities is transferred from another party by operation of law e.g. upon death.</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Awards</w:t>
      </w:r>
    </w:p>
    <w:p>
      <w:pPr>
        <w:spacing w:after="0" w:line="229" w:lineRule="exact"/>
        <w:rPr>
          <w:sz w:val="20"/>
          <w:szCs w:val="20"/>
          <w:color w:val="auto"/>
        </w:rPr>
      </w:pPr>
    </w:p>
    <w:p>
      <w:pPr>
        <w:jc w:val="both"/>
        <w:ind w:left="340" w:hanging="323"/>
        <w:spacing w:after="0" w:line="253" w:lineRule="auto"/>
        <w:rPr>
          <w:sz w:val="20"/>
          <w:szCs w:val="20"/>
          <w:color w:val="auto"/>
        </w:rPr>
      </w:pPr>
      <w:r>
        <w:rPr>
          <w:rFonts w:ascii="Times New Roman" w:cs="Times New Roman" w:eastAsia="Times New Roman" w:hAnsi="Times New Roman"/>
          <w:sz w:val="18"/>
          <w:szCs w:val="18"/>
          <w:color w:val="auto"/>
        </w:rPr>
        <w:t>7.1 The Listed Entity shall not grant any an option, award, restricted share unit or share appreciation right in respect of Company Securities after inside information has come to its knowledge until (and including) the trading day after it has announced the information. In particular, the Listed Entity shall not grant any such aforesaid share-based award during the period commencing one month immediately before the earlier of: (i) the date of the Board meeting (as such date is first notified to the HKEx under the Listing Rules) for approving the Listed Entity’s results for any year, half-year, quarterly or any other interim period (whether or not required under the Listing Rules); and (ii) the deadline for the Listed Entity to announce its results for any year or half-year under the Listing Rules, or quarterly or any other interim period (whether or not required under the Listing Rules), and ending on the date of the results announcement. No share-based award may be granted during any period of delay in publishing a results announcement. Furthermore, no awards shall be granted (i) during the period of 60 days immediately preceding the publication date of the annual results of the Listed Entity or if shorter, the period from the end of the relevant financial year up to the publication date of such results; and (ii) during the period of 30 days immediately preceding the publication date of the half-year results of the Listed Entity or if shorter, the period from the end of the relevant half-year period up to the publication date of such results.</w:t>
      </w:r>
    </w:p>
    <w:p>
      <w:pPr>
        <w:spacing w:after="0" w:line="190" w:lineRule="exact"/>
        <w:rPr>
          <w:sz w:val="20"/>
          <w:szCs w:val="20"/>
          <w:color w:val="auto"/>
        </w:rPr>
      </w:pPr>
    </w:p>
    <w:p>
      <w:pPr>
        <w:jc w:val="both"/>
        <w:ind w:left="340" w:right="20" w:hanging="323"/>
        <w:spacing w:after="0" w:line="266" w:lineRule="auto"/>
        <w:rPr>
          <w:sz w:val="20"/>
          <w:szCs w:val="20"/>
          <w:color w:val="auto"/>
        </w:rPr>
      </w:pPr>
      <w:r>
        <w:rPr>
          <w:rFonts w:ascii="Times New Roman" w:cs="Times New Roman" w:eastAsia="Times New Roman" w:hAnsi="Times New Roman"/>
          <w:sz w:val="18"/>
          <w:szCs w:val="18"/>
          <w:color w:val="auto"/>
        </w:rPr>
        <w:t>7.2 In respect of any grant of an option, award, restricted share unit or share appreciation right in respect of Company Securities which is made to you under an approved share award scheme of the Listed Entity, the Listed Entity may, at its discretion, require you to confirm that you are not in possession of any Inside Information at the time of grant.</w:t>
      </w:r>
    </w:p>
    <w:p>
      <w:pPr>
        <w:spacing w:after="0" w:line="176"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18"/>
          <w:szCs w:val="18"/>
          <w:color w:val="auto"/>
        </w:rPr>
        <w:t>7.3 For the purpose of the Staff’s Dealing Policy, the grant to you of a share-based award to subscribe or purchase the Company Securities shall be regarded as a dealing by you, if the price at which such share-based award may be exercised is fixed at the time of such grant, if applicable. If, however, a share-based award is granted to you on terms whereby the price at which such share-based award may be exercised is to be fixed at the time of exercise, if applicable, the dealing is to be regarded as taking place at the time of exercise.</w:t>
      </w:r>
    </w:p>
    <w:p>
      <w:pPr>
        <w:spacing w:after="0" w:line="179" w:lineRule="exact"/>
        <w:rPr>
          <w:sz w:val="20"/>
          <w:szCs w:val="20"/>
          <w:color w:val="auto"/>
        </w:rPr>
      </w:pPr>
    </w:p>
    <w:p>
      <w:pPr>
        <w:ind w:left="340" w:hanging="332"/>
        <w:spacing w:after="0"/>
        <w:tabs>
          <w:tab w:leader="none" w:pos="34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In addition to complying with the requirements and restrictions on dealing contained in this policy, you must do the following:</w:t>
      </w:r>
    </w:p>
    <w:p>
      <w:pPr>
        <w:spacing w:after="0" w:line="225" w:lineRule="exact"/>
        <w:rPr>
          <w:sz w:val="20"/>
          <w:szCs w:val="20"/>
          <w:color w:val="auto"/>
        </w:rPr>
      </w:pPr>
    </w:p>
    <w:p>
      <w:pPr>
        <w:ind w:left="340" w:hanging="332"/>
        <w:spacing w:after="0"/>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your Related Persons also comply with this policy;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(i) co-trustee(s) of any trust of which you or your Related Persons are a trustee;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trustee(s) of any trust of which you or your Related Persons are a beneficiary; and</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managers whom you or your Related Persons have engaged for the purpose of managing funds, of your employment with the Listed Entity and of their duty to comply with this policy, so as to enable them to anticipate possible difficulties;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5" w:name="page286"/>
    <w:bookmarkEnd w:id="285"/>
    <w:p>
      <w:pPr>
        <w:jc w:val="both"/>
        <w:ind w:left="340" w:hanging="332"/>
        <w:spacing w:after="0" w:line="266" w:lineRule="auto"/>
        <w:tabs>
          <w:tab w:leader="none" w:pos="3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endeavour to ensure that the trustees of any trust of which you or your Related Persons are a beneficiary (but of which you are not a trustee) notify you after they have dealt in Company Securities on behalf of the trust, in order that you may notify the Listed Entity;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you do not place investment funds comprising Company Securities under professional management, discretionary or otherwise, unless the manager(s) is/are made subject to the same restrictions and procedures as you yourself in respect of any proposed dealings in Company Securities.</w:t>
      </w:r>
    </w:p>
    <w:p>
      <w:pPr>
        <w:spacing w:after="0" w:line="172" w:lineRule="exact"/>
        <w:rPr>
          <w:sz w:val="20"/>
          <w:szCs w:val="20"/>
          <w:color w:val="auto"/>
        </w:rPr>
      </w:pPr>
    </w:p>
    <w:p>
      <w:pPr>
        <w:ind w:left="340" w:hanging="332"/>
        <w:spacing w:after="0"/>
        <w:tabs>
          <w:tab w:leader="none" w:pos="34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questions or concerns arising from this policy should be directed to the company secretary or the legal department.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Other Limitations On Securities Transactions</w:t>
      </w:r>
    </w:p>
    <w:p>
      <w:pPr>
        <w:spacing w:after="0" w:line="225" w:lineRule="exact"/>
        <w:rPr>
          <w:sz w:val="20"/>
          <w:szCs w:val="20"/>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Resales – Rule 144</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unregistered securities acquired in a private offering or sale) and (ii) public resales by directors, officers and other control persons of a company (known as “affiliates”) of any of the Company’s securities, whether restricted or unrestricted.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 Application of the rule is complex and Company directors, officers and employees should not make a sale of Company securities in reliance on Rule 144 without obtaining the approval of the Chief Financial Officer and General Counsel, who may require the director, officer or employee to obtain an outside legal opinion satisfactory to the Chief Financial Officer and General Counsel concluding that the proposed sale qualifies for the Rule 144 exemption.</w:t>
      </w:r>
    </w:p>
    <w:p>
      <w:pPr>
        <w:spacing w:after="0" w:line="185" w:lineRule="exact"/>
        <w:rPr>
          <w:sz w:val="20"/>
          <w:szCs w:val="20"/>
          <w:color w:val="auto"/>
        </w:rPr>
      </w:pPr>
    </w:p>
    <w:p>
      <w:pPr>
        <w:jc w:val="both"/>
        <w:ind w:firstLine="332"/>
        <w:spacing w:after="0" w:line="256" w:lineRule="auto"/>
        <w:tabs>
          <w:tab w:leader="none" w:pos="64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Holding Period. </w:t>
      </w:r>
      <w:r>
        <w:rPr>
          <w:rFonts w:ascii="Times New Roman" w:cs="Times New Roman" w:eastAsia="Times New Roman" w:hAnsi="Times New Roman"/>
          <w:sz w:val="18"/>
          <w:szCs w:val="18"/>
          <w:color w:val="auto"/>
        </w:rPr>
        <w:t>Restricted securities issued by a reporting company (i.e., a company that has been subject to the SEC’s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82" w:lineRule="exact"/>
        <w:rPr>
          <w:rFonts w:ascii="Times New Roman" w:cs="Times New Roman" w:eastAsia="Times New Roman" w:hAnsi="Times New Roman"/>
          <w:sz w:val="18"/>
          <w:szCs w:val="18"/>
          <w:color w:val="auto"/>
        </w:rPr>
      </w:pPr>
    </w:p>
    <w:p>
      <w:pPr>
        <w:jc w:val="both"/>
        <w:ind w:firstLine="332"/>
        <w:spacing w:after="0" w:line="258" w:lineRule="auto"/>
        <w:tabs>
          <w:tab w:leader="none" w:pos="648"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Current Public Information. </w:t>
      </w:r>
      <w:r>
        <w:rPr>
          <w:rFonts w:ascii="Times New Roman" w:cs="Times New Roman" w:eastAsia="Times New Roman" w:hAnsi="Times New Roman"/>
          <w:sz w:val="18"/>
          <w:szCs w:val="18"/>
          <w:color w:val="auto"/>
        </w:rPr>
        <w:t>Current information about the Company must be publicly available before the sale can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6" w:name="page287"/>
    <w:bookmarkEnd w:id="286"/>
    <w:p>
      <w:pPr>
        <w:jc w:val="both"/>
        <w:spacing w:after="0" w:line="266" w:lineRule="auto"/>
        <w:rPr>
          <w:sz w:val="20"/>
          <w:szCs w:val="20"/>
          <w:color w:val="auto"/>
        </w:rPr>
      </w:pPr>
      <w:r>
        <w:rPr>
          <w:rFonts w:ascii="Times New Roman" w:cs="Times New Roman" w:eastAsia="Times New Roman" w:hAnsi="Times New Roman"/>
          <w:sz w:val="18"/>
          <w:szCs w:val="18"/>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74" w:lineRule="exact"/>
        <w:rPr>
          <w:sz w:val="20"/>
          <w:szCs w:val="20"/>
          <w:color w:val="auto"/>
        </w:rPr>
      </w:pPr>
    </w:p>
    <w:p>
      <w:pPr>
        <w:jc w:val="both"/>
        <w:ind w:firstLine="314"/>
        <w:spacing w:after="0" w:line="257" w:lineRule="auto"/>
        <w:tabs>
          <w:tab w:leader="none" w:pos="56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Limitations. </w:t>
      </w:r>
      <w:r>
        <w:rPr>
          <w:rFonts w:ascii="Times New Roman" w:cs="Times New Roman" w:eastAsia="Times New Roman" w:hAnsi="Times New Roman"/>
          <w:sz w:val="18"/>
          <w:szCs w:val="18"/>
          <w:color w:val="auto"/>
        </w:rPr>
        <w:t>The amount of debt securities that can be sold by an affiliate during any three-month period cannot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82" w:lineRule="exact"/>
        <w:rPr>
          <w:rFonts w:ascii="Times New Roman" w:cs="Times New Roman" w:eastAsia="Times New Roman" w:hAnsi="Times New Roman"/>
          <w:sz w:val="18"/>
          <w:szCs w:val="18"/>
          <w:color w:val="auto"/>
        </w:rPr>
      </w:pPr>
    </w:p>
    <w:p>
      <w:pPr>
        <w:ind w:firstLine="314"/>
        <w:spacing w:after="0" w:line="284" w:lineRule="auto"/>
        <w:tabs>
          <w:tab w:leader="none" w:pos="56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Manner of Sale. </w:t>
      </w:r>
      <w:r>
        <w:rPr>
          <w:rFonts w:ascii="Times New Roman" w:cs="Times New Roman" w:eastAsia="Times New Roman" w:hAnsi="Times New Roman"/>
          <w:sz w:val="18"/>
          <w:szCs w:val="18"/>
          <w:color w:val="auto"/>
        </w:rPr>
        <w:t>Equity securities held by affiliates must be sold in unsolicited brokers’ transactions, directly to a market-maker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riskless principal transactions.</w:t>
      </w:r>
    </w:p>
    <w:p>
      <w:pPr>
        <w:spacing w:after="0" w:line="158" w:lineRule="exact"/>
        <w:rPr>
          <w:rFonts w:ascii="Times New Roman" w:cs="Times New Roman" w:eastAsia="Times New Roman" w:hAnsi="Times New Roman"/>
          <w:sz w:val="18"/>
          <w:szCs w:val="18"/>
          <w:color w:val="auto"/>
        </w:rPr>
      </w:pPr>
    </w:p>
    <w:p>
      <w:pPr>
        <w:jc w:val="both"/>
        <w:ind w:firstLine="314"/>
        <w:spacing w:after="0" w:line="267" w:lineRule="auto"/>
        <w:tabs>
          <w:tab w:leader="none" w:pos="56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Sale. </w:t>
      </w:r>
      <w:r>
        <w:rPr>
          <w:rFonts w:ascii="Times New Roman" w:cs="Times New Roman" w:eastAsia="Times New Roman" w:hAnsi="Times New Roman"/>
          <w:sz w:val="18"/>
          <w:szCs w:val="18"/>
          <w:color w:val="auto"/>
        </w:rPr>
        <w:t>An affiliate seller must file a notice of the proposed sale with the SEC at the time the order to sell is placed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broker, unless the amount to be sold neither exceeds 5,000 shares nor involves sale proceeds greater than $50,000. See “Filing Requirements”.</w:t>
      </w:r>
    </w:p>
    <w:p>
      <w:pPr>
        <w:spacing w:after="0" w:line="173"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are not deemed to involve sales of shares for purposes of Rule 144, so they can be made at any time without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amount of the gift, subject to the terms of this policy and in compliance with applicable law. Donees who receive restricted securities from an affiliate generally will be subject to the same restrictions under Rule 144 that would have applied to the donor, depending on the circumstances.</w:t>
      </w:r>
    </w:p>
    <w:p>
      <w:pPr>
        <w:spacing w:after="0" w:line="178" w:lineRule="exact"/>
        <w:rPr>
          <w:sz w:val="20"/>
          <w:szCs w:val="20"/>
          <w:color w:val="auto"/>
        </w:rPr>
      </w:pPr>
    </w:p>
    <w:p>
      <w:pPr>
        <w:ind w:left="560" w:hanging="328"/>
        <w:spacing w:after="0"/>
        <w:tabs>
          <w:tab w:leader="none" w:pos="5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Private Resales</w:t>
      </w:r>
    </w:p>
    <w:p>
      <w:pPr>
        <w:spacing w:after="0" w:line="229" w:lineRule="exact"/>
        <w:rPr>
          <w:sz w:val="20"/>
          <w:szCs w:val="20"/>
          <w:color w:val="auto"/>
        </w:rPr>
      </w:pPr>
    </w:p>
    <w:p>
      <w:pPr>
        <w:jc w:val="both"/>
        <w:ind w:hanging="8"/>
        <w:spacing w:after="0" w:line="255" w:lineRule="auto"/>
        <w:rPr>
          <w:sz w:val="20"/>
          <w:szCs w:val="20"/>
          <w:color w:val="auto"/>
        </w:rPr>
      </w:pPr>
      <w:r>
        <w:rPr>
          <w:rFonts w:ascii="Times New Roman" w:cs="Times New Roman" w:eastAsia="Times New Roman" w:hAnsi="Times New Roman"/>
          <w:sz w:val="18"/>
          <w:szCs w:val="18"/>
          <w:color w:val="auto"/>
        </w:rPr>
        <w:t>Directors and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 underwriter’s allotment. Private resales must be reviewed in advance by the Company’s General Counsel and may require the participation of outside counsel.</w:t>
      </w:r>
    </w:p>
    <w:p>
      <w:pPr>
        <w:spacing w:after="0" w:line="185" w:lineRule="exact"/>
        <w:rPr>
          <w:sz w:val="20"/>
          <w:szCs w:val="20"/>
          <w:color w:val="auto"/>
        </w:rPr>
      </w:pPr>
    </w:p>
    <w:p>
      <w:pPr>
        <w:ind w:left="560" w:hanging="328"/>
        <w:spacing w:after="0"/>
        <w:tabs>
          <w:tab w:leader="none" w:pos="5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Restrictions on Purchases of Company Securities</w:t>
      </w:r>
    </w:p>
    <w:p>
      <w:pPr>
        <w:spacing w:after="0" w:line="229"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In order to prevent market manipulation, the SEC adopted Regulation M under the Exchange Act. Regulation M generally restricts the Company or any of its affiliates from buying Company shares, including as part of a share buyback program, in the open market during certain periods while a distribution, such as a public offering, is taking place. You should consult with the Company’s General Counsel, if you desire to make purchases of Company stock during any period in which the Company is conducting an offering. Similar consideration may apply during period when the Company is conducting or has announced a tender offer.</w:t>
      </w:r>
    </w:p>
    <w:p>
      <w:pPr>
        <w:spacing w:after="0" w:line="179" w:lineRule="exact"/>
        <w:rPr>
          <w:sz w:val="20"/>
          <w:szCs w:val="20"/>
          <w:color w:val="auto"/>
        </w:rPr>
      </w:pPr>
    </w:p>
    <w:p>
      <w:pPr>
        <w:ind w:left="560" w:hanging="246"/>
        <w:spacing w:after="0"/>
        <w:tabs>
          <w:tab w:leader="none" w:pos="5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Filing Requirement</w:t>
      </w:r>
    </w:p>
    <w:p>
      <w:pPr>
        <w:spacing w:after="0" w:line="227" w:lineRule="exact"/>
        <w:rPr>
          <w:sz w:val="20"/>
          <w:szCs w:val="20"/>
          <w:color w:val="auto"/>
        </w:rPr>
      </w:pPr>
    </w:p>
    <w:p>
      <w:pPr>
        <w:jc w:val="both"/>
        <w:ind w:firstLine="314"/>
        <w:spacing w:after="0" w:line="261" w:lineRule="auto"/>
        <w:tabs>
          <w:tab w:leader="none" w:pos="50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Schedule 13D and 13G. </w:t>
      </w:r>
      <w:r>
        <w:rPr>
          <w:rFonts w:ascii="Times New Roman" w:cs="Times New Roman" w:eastAsia="Times New Roman" w:hAnsi="Times New Roman"/>
          <w:sz w:val="18"/>
          <w:szCs w:val="18"/>
          <w:color w:val="auto"/>
        </w:rPr>
        <w:t>Section 13(d) of the Exchange Act requires the filing of a statement on Schedule 13D (or on Schedule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13G, in certain limited circumstances) by any person or group that acquires beneficial ownership of more than five percent of a class of equity securities registered under the Exchange Act. The threshold for reporting is met if the equity securities owned, when coupled with the amount of equity securities subject to options exercisable within 60 days, exceeds the five percent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360045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1080" w:top="877" w:right="999" w:bottom="1440" w:gutter="0" w:footer="0" w:header="0"/>
        </w:sectPr>
      </w:pPr>
    </w:p>
    <w:bookmarkStart w:id="287" w:name="page288"/>
    <w:bookmarkEnd w:id="287"/>
    <w:p>
      <w:pPr>
        <w:jc w:val="both"/>
        <w:ind w:left="20" w:hanging="8"/>
        <w:spacing w:after="0" w:line="266" w:lineRule="auto"/>
        <w:rPr>
          <w:sz w:val="20"/>
          <w:szCs w:val="20"/>
          <w:color w:val="auto"/>
        </w:rPr>
      </w:pPr>
      <w:r>
        <w:rPr>
          <w:rFonts w:ascii="Times New Roman" w:cs="Times New Roman" w:eastAsia="Times New Roman" w:hAnsi="Times New Roman"/>
          <w:sz w:val="18"/>
          <w:szCs w:val="18"/>
          <w:color w:val="auto"/>
        </w:rPr>
        <w:t>A limited category of persons (such as banks, broker-dealers and insurance companies) may file on Schedule 13G, which is a much abbreviated version of Schedule 13D, as long as the securities were acquired in the ordinary course of business and not with the purpose or effect of changing or influencing the control of the issuer.</w:t>
      </w:r>
    </w:p>
    <w:p>
      <w:pPr>
        <w:spacing w:after="0" w:line="174" w:lineRule="exact"/>
        <w:rPr>
          <w:sz w:val="20"/>
          <w:szCs w:val="20"/>
          <w:color w:val="auto"/>
        </w:rPr>
      </w:pPr>
    </w:p>
    <w:p>
      <w:pPr>
        <w:jc w:val="both"/>
        <w:ind w:left="20" w:hanging="8"/>
        <w:spacing w:after="0" w:line="261" w:lineRule="auto"/>
        <w:rPr>
          <w:sz w:val="20"/>
          <w:szCs w:val="20"/>
          <w:color w:val="auto"/>
        </w:rPr>
      </w:pPr>
      <w:r>
        <w:rPr>
          <w:rFonts w:ascii="Times New Roman" w:cs="Times New Roman" w:eastAsia="Times New Roman" w:hAnsi="Times New Roman"/>
          <w:sz w:val="18"/>
          <w:szCs w:val="18"/>
          <w:color w:val="auto"/>
        </w:rPr>
        <w:t>A person is deemed the beneficial owner of securities for purposes of Section 13(d) if such person has or shares voting power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power to vote or direct the voting of the securities) or dispositive power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power to sell or direct the sale of the securities). A person filing a Schedule 13D or 13G may disclaim beneficial ownership of any securities attributed to him or her if he or she believes there is a reasonable basis for doing so.</w:t>
      </w:r>
    </w:p>
    <w:p>
      <w:pPr>
        <w:spacing w:after="0" w:line="180" w:lineRule="exact"/>
        <w:rPr>
          <w:sz w:val="20"/>
          <w:szCs w:val="20"/>
          <w:color w:val="auto"/>
        </w:rPr>
      </w:pPr>
    </w:p>
    <w:p>
      <w:pPr>
        <w:jc w:val="both"/>
        <w:ind w:left="20" w:firstLine="323"/>
        <w:spacing w:after="0" w:line="267" w:lineRule="auto"/>
        <w:tabs>
          <w:tab w:leader="none" w:pos="53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 144. </w:t>
      </w:r>
      <w:r>
        <w:rPr>
          <w:rFonts w:ascii="Times New Roman" w:cs="Times New Roman" w:eastAsia="Times New Roman" w:hAnsi="Times New Roman"/>
          <w:sz w:val="18"/>
          <w:szCs w:val="18"/>
          <w:color w:val="auto"/>
        </w:rPr>
        <w:t>As described above under the discussion of Rule 144, an affiliate seller relying on Rule 144 must file a notice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proposed sale with the SEC at the time the order to sell is placed with the broker unless the amount to be sold during any three-month period neither exceeds 5,000 shares nor involves sale proceeds greater than $50,000.</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10b5-1 Trading Plan Guidelines</w:t>
      </w:r>
    </w:p>
    <w:p>
      <w:pPr>
        <w:spacing w:after="0" w:line="225" w:lineRule="exact"/>
        <w:rPr>
          <w:sz w:val="20"/>
          <w:szCs w:val="20"/>
          <w:color w:val="auto"/>
        </w:rPr>
      </w:pPr>
    </w:p>
    <w:p>
      <w:pPr>
        <w:jc w:val="both"/>
        <w:ind w:left="20" w:hanging="8"/>
        <w:spacing w:after="0" w:line="259" w:lineRule="auto"/>
        <w:rPr>
          <w:sz w:val="20"/>
          <w:szCs w:val="20"/>
          <w:color w:val="auto"/>
        </w:rPr>
      </w:pPr>
      <w:r>
        <w:rPr>
          <w:rFonts w:ascii="Times New Roman" w:cs="Times New Roman" w:eastAsia="Times New Roman" w:hAnsi="Times New Roman"/>
          <w:sz w:val="18"/>
          <w:szCs w:val="18"/>
          <w:color w:val="auto"/>
        </w:rPr>
        <w:t>The following guidelines apply for any Rule 10b5-1 trading plan (each, a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relating to the securities of Tuya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All 10b5-1 Plans and any amendment, suspension or termination must comply with Rule 10b5-1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Company’s Statement of Policy Concerning Trading in Company Securities (the “</w:t>
      </w:r>
      <w:r>
        <w:rPr>
          <w:rFonts w:ascii="Times New Roman" w:cs="Times New Roman" w:eastAsia="Times New Roman" w:hAnsi="Times New Roman"/>
          <w:sz w:val="18"/>
          <w:szCs w:val="18"/>
          <w:b w:val="1"/>
          <w:bCs w:val="1"/>
          <w:color w:val="auto"/>
        </w:rPr>
        <w:t>Trading Policy</w:t>
      </w:r>
      <w:r>
        <w:rPr>
          <w:rFonts w:ascii="Times New Roman" w:cs="Times New Roman" w:eastAsia="Times New Roman" w:hAnsi="Times New Roman"/>
          <w:sz w:val="18"/>
          <w:szCs w:val="18"/>
          <w:color w:val="auto"/>
        </w:rPr>
        <w:t>”) and other Company policies and must meet the following conditions. Capitalized terms not defined herein shall have the meanings given to them under the Trading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w:t>
      </w:r>
    </w:p>
    <w:p>
      <w:pPr>
        <w:spacing w:after="0" w:line="229" w:lineRule="exact"/>
        <w:rPr>
          <w:sz w:val="20"/>
          <w:szCs w:val="20"/>
          <w:color w:val="auto"/>
        </w:rPr>
      </w:pPr>
    </w:p>
    <w:p>
      <w:pPr>
        <w:jc w:val="both"/>
        <w:ind w:left="20" w:hanging="8"/>
        <w:spacing w:after="0" w:line="282" w:lineRule="auto"/>
        <w:rPr>
          <w:sz w:val="20"/>
          <w:szCs w:val="20"/>
          <w:color w:val="auto"/>
        </w:rPr>
      </w:pPr>
      <w:r>
        <w:rPr>
          <w:rFonts w:ascii="Times New Roman" w:cs="Times New Roman" w:eastAsia="Times New Roman" w:hAnsi="Times New Roman"/>
          <w:sz w:val="18"/>
          <w:szCs w:val="18"/>
          <w:color w:val="auto"/>
        </w:rPr>
        <w:t>Company directors, officers, Restricted Persons (as defined in the Trading Policy), and the other members of the Window Group (as defined in the Trading Policy) (each, an “</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are eligible to adopt a 10b5-1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and Approval</w:t>
      </w:r>
    </w:p>
    <w:p>
      <w:pPr>
        <w:spacing w:after="0" w:line="229" w:lineRule="exact"/>
        <w:rPr>
          <w:sz w:val="20"/>
          <w:szCs w:val="20"/>
          <w:color w:val="auto"/>
        </w:rPr>
      </w:pPr>
    </w:p>
    <w:p>
      <w:pPr>
        <w:jc w:val="both"/>
        <w:ind w:left="20" w:hanging="11"/>
        <w:spacing w:after="0" w:line="254" w:lineRule="auto"/>
        <w:rPr>
          <w:sz w:val="20"/>
          <w:szCs w:val="20"/>
          <w:color w:val="auto"/>
        </w:rPr>
      </w:pPr>
      <w:r>
        <w:rPr>
          <w:rFonts w:ascii="Times New Roman" w:cs="Times New Roman" w:eastAsia="Times New Roman" w:hAnsi="Times New Roman"/>
          <w:sz w:val="18"/>
          <w:szCs w:val="18"/>
          <w:color w:val="auto"/>
        </w:rPr>
        <w:t>The 10b5-1 Plan must be in writing and signed by the Insider, and the Insider must provide a copy to the Company. The Company will keep a copy of each 10b5-1 Plan in its files. The form of each 10b5-1 Plan and any subsequent amendment, suspension or termination must be consistent with these guidelines. Each 10b5-1 Plan must be approved in writing by the Company’s Chief Financial Officer and General Counsel (the “</w:t>
      </w:r>
      <w:r>
        <w:rPr>
          <w:rFonts w:ascii="Times New Roman" w:cs="Times New Roman" w:eastAsia="Times New Roman" w:hAnsi="Times New Roman"/>
          <w:sz w:val="18"/>
          <w:szCs w:val="18"/>
          <w:b w:val="1"/>
          <w:bCs w:val="1"/>
          <w:color w:val="auto"/>
        </w:rPr>
        <w:t>10b5-1 Compliance Officers</w:t>
      </w:r>
      <w:r>
        <w:rPr>
          <w:rFonts w:ascii="Times New Roman" w:cs="Times New Roman" w:eastAsia="Times New Roman" w:hAnsi="Times New Roman"/>
          <w:sz w:val="18"/>
          <w:szCs w:val="18"/>
          <w:color w:val="auto"/>
        </w:rPr>
        <w:t>”) prior to the adoption, amendment, suspension or termination of such plan. Any 10b5-1 Plan to be adopted by the Chief Financial Officer must be approved in writing by the Company’s General Counsel. The Insider must act in good faith with respect to a 10b5-1 Plan when the Plan is adopted and for the duration of the Plan, and must not enter into a 10b5-1 Plan as part of a plan or scheme to evade the prohibitions of Rule 10b-5. In addition, each 10b5-1 Plan must include a representation by the Insider certifying that (a) such person is not in possession of material nonpublic information about the Company or its securities, and (b) the 10b5-1 Plan is being adopted in good faith and not as part of a plan to evade the prohibitions of Rule 10b-5.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Term of Plan</w:t>
      </w:r>
    </w:p>
    <w:p>
      <w:pPr>
        <w:spacing w:after="0" w:line="229"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color w:val="auto"/>
        </w:rPr>
        <w:t>Each 10b5-1 Plan must be adopted (a) during an open trading window under the Company’s Trading Policy, and (b) when the Insider does not otherwise possess material nonpublic information about the Company. Each 10b5-1 Plan must provide for delayed effectiveness after adoption or amendment (a “</w:t>
      </w:r>
      <w:r>
        <w:rPr>
          <w:rFonts w:ascii="Times New Roman" w:cs="Times New Roman" w:eastAsia="Times New Roman" w:hAnsi="Times New Roman"/>
          <w:sz w:val="18"/>
          <w:szCs w:val="18"/>
          <w:b w:val="1"/>
          <w:bCs w:val="1"/>
          <w:color w:val="auto"/>
        </w:rPr>
        <w:t>Cooling-Off Period</w:t>
      </w:r>
      <w:r>
        <w:rPr>
          <w:rFonts w:ascii="Times New Roman" w:cs="Times New Roman" w:eastAsia="Times New Roman" w:hAnsi="Times New Roman"/>
          <w:sz w:val="18"/>
          <w:szCs w:val="18"/>
          <w:color w:val="auto"/>
        </w:rPr>
        <w:t>”). For Insiders who are directors or officers (“</w:t>
      </w:r>
      <w:r>
        <w:rPr>
          <w:rFonts w:ascii="Times New Roman" w:cs="Times New Roman" w:eastAsia="Times New Roman" w:hAnsi="Times New Roman"/>
          <w:sz w:val="18"/>
          <w:szCs w:val="18"/>
          <w:b w:val="1"/>
          <w:bCs w:val="1"/>
          <w:color w:val="auto"/>
        </w:rPr>
        <w:t>D&amp;O Insiders</w:t>
      </w:r>
      <w:r>
        <w:rPr>
          <w:rFonts w:ascii="Times New Roman" w:cs="Times New Roman" w:eastAsia="Times New Roman" w:hAnsi="Times New Roman"/>
          <w:sz w:val="18"/>
          <w:szCs w:val="18"/>
          <w:color w:val="auto"/>
        </w:rPr>
        <w:t>”), each 10b5-1 Plan must specify that trades may not execute under the 10b5-1 Plan until the later of (a) 90 days after the date of adoption or amendment of the 10b5-1 Plan and (b) 2 business days following the Company’s filing of a quarterly or annual report covering the financial reporting period in which the 10b5-1 Plan was adopted or amended, but in no event later than 120 days after the date of adoption or amendment of the 10b5-1 Plan. For all other Insiders (the “</w:t>
      </w:r>
      <w:r>
        <w:rPr>
          <w:rFonts w:ascii="Times New Roman" w:cs="Times New Roman" w:eastAsia="Times New Roman" w:hAnsi="Times New Roman"/>
          <w:sz w:val="18"/>
          <w:szCs w:val="18"/>
          <w:b w:val="1"/>
          <w:bCs w:val="1"/>
          <w:color w:val="auto"/>
        </w:rPr>
        <w:t>Other Insiders</w:t>
      </w:r>
      <w:r>
        <w:rPr>
          <w:rFonts w:ascii="Times New Roman" w:cs="Times New Roman" w:eastAsia="Times New Roman" w:hAnsi="Times New Roman"/>
          <w:sz w:val="18"/>
          <w:szCs w:val="18"/>
          <w:color w:val="auto"/>
        </w:rPr>
        <w:t>”), each 10b5-1 Plan must specify that trades may not execute under the 10b5-1 Plan for a period of at least 30 days after the date of adoption or amendment of the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color w:val="auto"/>
        </w:rPr>
        <w:t>Plan Specifications; Discretion Regarding Trades</w:t>
      </w:r>
    </w:p>
    <w:p>
      <w:pPr>
        <w:spacing w:after="0" w:line="229"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The 10b5-1 Plan must either (a) specify the amount of securities to be purchased or sold and the price at which and the date on which the securities are to be purchased or sold, or (b) specify or set an objective formula or algorithm for determining the amount of securities to be purchased or sold and the price at which and the date on which the securities are to be purchased or sold.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Suspension and Termination</w:t>
      </w:r>
    </w:p>
    <w:p>
      <w:pPr>
        <w:spacing w:after="0" w:line="229" w:lineRule="exact"/>
        <w:rPr>
          <w:sz w:val="20"/>
          <w:szCs w:val="20"/>
          <w:color w:val="auto"/>
        </w:rPr>
      </w:pPr>
    </w:p>
    <w:p>
      <w:pPr>
        <w:jc w:val="both"/>
        <w:ind w:left="20" w:hanging="11"/>
        <w:spacing w:after="0" w:line="255" w:lineRule="auto"/>
        <w:rPr>
          <w:sz w:val="20"/>
          <w:szCs w:val="20"/>
          <w:color w:val="auto"/>
        </w:rPr>
      </w:pPr>
      <w:r>
        <w:rPr>
          <w:rFonts w:ascii="Times New Roman" w:cs="Times New Roman" w:eastAsia="Times New Roman" w:hAnsi="Times New Roman"/>
          <w:sz w:val="18"/>
          <w:szCs w:val="18"/>
          <w:color w:val="auto"/>
        </w:rPr>
        <w:t>Amendments, suspensions, and terminations of 10b5-1 Plans must be approved in advance by the 10b5-1 Compliance Officers. In addition, an Insider may voluntarily amend, suspend, or terminate a 10b5-1 Plan only (a) during an open trading window under the Company’s Trading Policy and (b) when the Insider does not otherwise possess material nonpublic information about the Company. An Insider is limited to one amendment or suspension of a 10b5-1 Plan during its term. Insiders may make amendments to 10b5-1 Plans without triggering a Cooling-Off Period so long as the amendment does not change the pricing provisions of the 10b5-1 Plan, the amount of securities covered under the 10b5-1 Plan or the timing of trades under the 10b5-1 Plan, or where a broker executing trades on behalf of the Insider is substituted by a different broker (so long as the purchase or sales instructions remain the same).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Suspension</w:t>
      </w:r>
    </w:p>
    <w:p>
      <w:pPr>
        <w:spacing w:after="0" w:line="229" w:lineRule="exact"/>
        <w:rPr>
          <w:sz w:val="20"/>
          <w:szCs w:val="20"/>
          <w:color w:val="auto"/>
        </w:rPr>
      </w:pPr>
    </w:p>
    <w:p>
      <w:pPr>
        <w:jc w:val="both"/>
        <w:ind w:left="20" w:hanging="11"/>
        <w:spacing w:after="0" w:line="282" w:lineRule="auto"/>
        <w:rPr>
          <w:sz w:val="20"/>
          <w:szCs w:val="20"/>
          <w:color w:val="auto"/>
        </w:rPr>
      </w:pPr>
      <w:r>
        <w:rPr>
          <w:rFonts w:ascii="Times New Roman" w:cs="Times New Roman" w:eastAsia="Times New Roman" w:hAnsi="Times New Roman"/>
          <w:sz w:val="18"/>
          <w:szCs w:val="18"/>
          <w:color w:val="auto"/>
        </w:rPr>
        <w:t>Each 10b5-1 Plan must provide for suspension of trades under such plan if legal, regulatory or contractual restrictions are imposed on the Insider, or if these guidelines are amended, or other events occur, that would prohibit sales under such 10b5-1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Termination of a Plan</w:t>
      </w:r>
    </w:p>
    <w:p>
      <w:pPr>
        <w:spacing w:after="0" w:line="229" w:lineRule="exact"/>
        <w:rPr>
          <w:sz w:val="20"/>
          <w:szCs w:val="20"/>
          <w:color w:val="auto"/>
        </w:rPr>
      </w:pPr>
    </w:p>
    <w:p>
      <w:pPr>
        <w:jc w:val="both"/>
        <w:ind w:left="20" w:hanging="11"/>
        <w:spacing w:after="0" w:line="258" w:lineRule="auto"/>
        <w:rPr>
          <w:sz w:val="20"/>
          <w:szCs w:val="20"/>
          <w:color w:val="auto"/>
        </w:rPr>
      </w:pPr>
      <w:r>
        <w:rPr>
          <w:rFonts w:ascii="Times New Roman" w:cs="Times New Roman" w:eastAsia="Times New Roman" w:hAnsi="Times New Roman"/>
          <w:sz w:val="18"/>
          <w:szCs w:val="18"/>
          <w:color w:val="auto"/>
        </w:rPr>
        <w:t>If an Insider terminates a 10b5-1 Plan prior to its stated duration, such Insider may not trade in Company securities (other than pursuant to another 10b5-1 Plan already in place) for a period of at least 30 days following such termination; provided, however, that any trades following such termination shall comply with the Company’s Trading Policy. If an existing 10b5-1 Plan is terminated early and another 10b5-1 Plan is already in place, the first trade under the later-commencing plan must not be scheduled to occur until after the end of the effective Cooling-Off Period following the termination of the earlier 10b5-1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Only One Plan in Effect at Any Time; No Overlapping Plans</w:t>
      </w:r>
    </w:p>
    <w:p>
      <w:pPr>
        <w:spacing w:after="0" w:line="225" w:lineRule="exact"/>
        <w:rPr>
          <w:sz w:val="20"/>
          <w:szCs w:val="20"/>
          <w:color w:val="auto"/>
        </w:rPr>
      </w:pPr>
    </w:p>
    <w:p>
      <w:pPr>
        <w:jc w:val="both"/>
        <w:ind w:left="20" w:hanging="11"/>
        <w:spacing w:after="0" w:line="255" w:lineRule="auto"/>
        <w:rPr>
          <w:sz w:val="20"/>
          <w:szCs w:val="20"/>
          <w:color w:val="auto"/>
        </w:rPr>
      </w:pPr>
      <w:r>
        <w:rPr>
          <w:rFonts w:ascii="Times New Roman" w:cs="Times New Roman" w:eastAsia="Times New Roman" w:hAnsi="Times New Roman"/>
          <w:sz w:val="18"/>
          <w:szCs w:val="18"/>
          <w:color w:val="auto"/>
        </w:rPr>
        <w:t>An Insider may have only one 10b5-1 Plan in effect at any time, except that a written, irrevocable election (an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by an Insider to sell a portion of shares as necessary to satisfy statutory tax withholding obligations arising solely from the vesting of compensatory awards (not including options) (“</w:t>
      </w:r>
      <w:r>
        <w:rPr>
          <w:rFonts w:ascii="Times New Roman" w:cs="Times New Roman" w:eastAsia="Times New Roman" w:hAnsi="Times New Roman"/>
          <w:sz w:val="18"/>
          <w:szCs w:val="18"/>
          <w:b w:val="1"/>
          <w:bCs w:val="1"/>
          <w:color w:val="auto"/>
        </w:rPr>
        <w:t>Sales to Cover</w:t>
      </w:r>
      <w:r>
        <w:rPr>
          <w:rFonts w:ascii="Times New Roman" w:cs="Times New Roman" w:eastAsia="Times New Roman" w:hAnsi="Times New Roman"/>
          <w:sz w:val="18"/>
          <w:szCs w:val="18"/>
          <w:color w:val="auto"/>
        </w:rPr>
        <w:t>”) is permitted even if not included in the directions in the Insider’s 10b5-1 Plan, provided that (a) the Election is made during an open trading window under the Trading Policy, (b) at the time of the Election, the Insider is not aware of any material, nonpublic information with respect to the Company or any securities of the Company, (c) the Sales to Cover are made in good faith and not as part of a plan or scheme to evade the prohibitions of Rule 10b-5, (d) the Insider does not have, and will not attempt to exercise, authority, influence or control over any such Sales to Cover, and (e) the Election contains appropriate representations as to clauses (b)-(d).</w:t>
      </w:r>
    </w:p>
    <w:p>
      <w:pPr>
        <w:spacing w:after="0" w:line="189" w:lineRule="exact"/>
        <w:rPr>
          <w:sz w:val="20"/>
          <w:szCs w:val="20"/>
          <w:color w:val="auto"/>
        </w:rPr>
      </w:pPr>
    </w:p>
    <w:p>
      <w:pPr>
        <w:jc w:val="both"/>
        <w:ind w:left="20" w:right="20" w:hanging="11"/>
        <w:spacing w:after="0" w:line="266" w:lineRule="auto"/>
        <w:rPr>
          <w:sz w:val="20"/>
          <w:szCs w:val="20"/>
          <w:color w:val="auto"/>
        </w:rPr>
      </w:pPr>
      <w:r>
        <w:rPr>
          <w:rFonts w:ascii="Times New Roman" w:cs="Times New Roman" w:eastAsia="Times New Roman" w:hAnsi="Times New Roman"/>
          <w:sz w:val="18"/>
          <w:szCs w:val="18"/>
          <w:color w:val="auto"/>
        </w:rPr>
        <w:t>An Insider may adopt a new 10b5-1 Plan to replace an existing 10b5-1 Plan before the scheduled termination date of such existing 10b5-1 Plan, so long as the first scheduled trade under the new 10b5-1 Plan does not occur until after all trades under the existing 10b5-1 Plan are completed or expire without execution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0" w:name="page291"/>
    <w:bookmarkEnd w:id="290"/>
    <w:p>
      <w:pPr>
        <w:jc w:val="both"/>
        <w:ind w:hanging="11"/>
        <w:spacing w:after="0" w:line="253" w:lineRule="auto"/>
        <w:rPr>
          <w:sz w:val="20"/>
          <w:szCs w:val="20"/>
          <w:color w:val="auto"/>
        </w:rPr>
      </w:pPr>
      <w:r>
        <w:rPr>
          <w:rFonts w:ascii="Times New Roman" w:cs="Times New Roman" w:eastAsia="Times New Roman" w:hAnsi="Times New Roman"/>
          <w:sz w:val="18"/>
          <w:szCs w:val="18"/>
          <w:color w:val="auto"/>
        </w:rPr>
        <w:t>to any Cooling-Off Periods), and otherwise complies with the guidelines regarding the first trade described above. However, this would not be available for the later-commencing plan, if the first trade under the later-commencing plan is scheduled to begin during the “effective cooling-off period”—namely, the cooling-off period that would be applicable if the later-commencing plan were deemed to be adopted on the date of the early-commencing plan’s termination. For example, an insider who is not an officer or director has in place an existing Rule 10b5-1 plan with a scheduled date for the latest authorized trade of May 31, 2023. On May 1, 2023, that insider adopts a later-commencing plan, intended to qualify for the affirmative defense under Rule 10b5-1, with a scheduled date for the first authorized trade of June 1, 2023. If the insider terminates the earlier-commencing plan on May 15, 2023, the later-commencing plan will not receive the benefit of the affirmative defense, because June 1, 2023 is within 30 days of May 15, 2023, the date of termination of the earlier-commencing plan, and thus June 1, 2023 is during the “effective cooling-off period.” However, if the later-commencing plan were scheduled to begin trading on July 1, 2023, it could still receive the benefit of the affirmative defense because July 1, 2023 is more than 30 days after May 15, 2023 and thus is outside the “effective cooling-off period.”</w:t>
      </w:r>
    </w:p>
    <w:p>
      <w:pPr>
        <w:spacing w:after="0" w:line="192"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A series of separate contracts with different brokers to execute trades under a 10b5-1 Plan may be treated as a single plan, provided the contracts as a whole meet the conditions under Rule 10b5-1, and provided further that any amendment of one contract is treated as an amendment of all of the contracts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Single-Trade Arrangements</w:t>
      </w:r>
    </w:p>
    <w:p>
      <w:pPr>
        <w:spacing w:after="0" w:line="229" w:lineRule="exact"/>
        <w:rPr>
          <w:sz w:val="20"/>
          <w:szCs w:val="20"/>
          <w:color w:val="auto"/>
        </w:rPr>
      </w:pPr>
    </w:p>
    <w:p>
      <w:pPr>
        <w:jc w:val="both"/>
        <w:ind w:left="20" w:hanging="11"/>
        <w:spacing w:after="0" w:line="258" w:lineRule="auto"/>
        <w:rPr>
          <w:sz w:val="20"/>
          <w:szCs w:val="20"/>
          <w:color w:val="auto"/>
        </w:rPr>
      </w:pPr>
      <w:r>
        <w:rPr>
          <w:rFonts w:ascii="Times New Roman" w:cs="Times New Roman" w:eastAsia="Times New Roman" w:hAnsi="Times New Roman"/>
          <w:sz w:val="18"/>
          <w:szCs w:val="18"/>
          <w:color w:val="auto"/>
        </w:rPr>
        <w:t>In any 12-month period, an Insider is limited to one “single-trade plan” — one designed to effect the open market purchase or sale of the total amount of the securities subject to the plan as a single transaction. The following do not constitute single-trade plans: (a) a 10b5-1 Plan that gives discretion to an agent over whether to execute the 10b5-1 Plan as a single transaction or that provides the agent’s future acts depend on facts not known at the time the 10b5-1 Plan’s adoption and might reasonably result in multiple transactions and (b) Sales to Cover.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Hedging</w:t>
      </w:r>
    </w:p>
    <w:p>
      <w:pPr>
        <w:spacing w:after="0" w:line="229" w:lineRule="exact"/>
        <w:rPr>
          <w:sz w:val="20"/>
          <w:szCs w:val="20"/>
          <w:color w:val="auto"/>
        </w:rPr>
      </w:pPr>
    </w:p>
    <w:p>
      <w:pPr>
        <w:jc w:val="both"/>
        <w:ind w:left="20" w:hanging="11"/>
        <w:spacing w:after="0" w:line="261" w:lineRule="auto"/>
        <w:rPr>
          <w:sz w:val="20"/>
          <w:szCs w:val="20"/>
          <w:color w:val="auto"/>
        </w:rPr>
      </w:pPr>
      <w:r>
        <w:rPr>
          <w:rFonts w:ascii="Times New Roman" w:cs="Times New Roman" w:eastAsia="Times New Roman" w:hAnsi="Times New Roman"/>
          <w:sz w:val="18"/>
          <w:szCs w:val="18"/>
          <w:color w:val="auto"/>
        </w:rPr>
        <w:t>As described in the Trading Policy, individuals subject to the policy are prohibited from engaging in any hedging or similar transactions designed to decrease the risks associated with holding Company securities. Further to this end, an Insider adopting a 10b5-1 Plan may not have entered into or altered a corresponding or hedging transaction or position with respect to the securities subject to the 10b5-1 Plan and must agree not to enter into any such transaction while the 10b5-1 Plan is in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Rule 144</w:t>
      </w:r>
    </w:p>
    <w:p>
      <w:pPr>
        <w:spacing w:after="0" w:line="229" w:lineRule="exact"/>
        <w:rPr>
          <w:sz w:val="20"/>
          <w:szCs w:val="20"/>
          <w:color w:val="auto"/>
        </w:rPr>
      </w:pPr>
    </w:p>
    <w:p>
      <w:pPr>
        <w:jc w:val="both"/>
        <w:ind w:left="20" w:hanging="11"/>
        <w:spacing w:after="0" w:line="261" w:lineRule="auto"/>
        <w:rPr>
          <w:sz w:val="20"/>
          <w:szCs w:val="20"/>
          <w:color w:val="auto"/>
        </w:rPr>
      </w:pPr>
      <w:r>
        <w:rPr>
          <w:rFonts w:ascii="Times New Roman" w:cs="Times New Roman" w:eastAsia="Times New Roman" w:hAnsi="Times New Roman"/>
          <w:sz w:val="18"/>
          <w:szCs w:val="18"/>
          <w:color w:val="auto"/>
        </w:rPr>
        <w:t>All sales made under a 10b5-1 Plan must be made in reliance on an exemption from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may not be made pursuant to a registration statement. To the extent that sales made under a 10b5-1 Plan are made pursuant to Rule 144 under the Securities Act, such 10b5-1 Plan must provide for specific procedures to comply with Rule 144, including the filing of Forms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Obligation to Provide Notice of Trades</w:t>
      </w:r>
    </w:p>
    <w:p>
      <w:pPr>
        <w:spacing w:after="0" w:line="229"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Where applicable, each 10b5-1 Plan entered into by a person subject to Section 16 filing requirements must provide that the broker will provide notice of any trades under the 10b5-1 Plan to the Insider and the Company in sufficient time to allow for the Insider to make timely filings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color w:val="auto"/>
        </w:rPr>
        <w:t>Insider Obligation to Make Exchange Act Filings and Company Disclosures</w:t>
      </w:r>
    </w:p>
    <w:p>
      <w:pPr>
        <w:spacing w:after="0" w:line="229" w:lineRule="exact"/>
        <w:rPr>
          <w:sz w:val="20"/>
          <w:szCs w:val="20"/>
          <w:color w:val="auto"/>
        </w:rPr>
      </w:pPr>
    </w:p>
    <w:p>
      <w:pPr>
        <w:jc w:val="both"/>
        <w:ind w:left="20" w:hanging="11"/>
        <w:spacing w:after="0" w:line="256" w:lineRule="auto"/>
        <w:rPr>
          <w:sz w:val="20"/>
          <w:szCs w:val="20"/>
          <w:color w:val="auto"/>
        </w:rPr>
      </w:pPr>
      <w:r>
        <w:rPr>
          <w:rFonts w:ascii="Times New Roman" w:cs="Times New Roman" w:eastAsia="Times New Roman" w:hAnsi="Times New Roman"/>
          <w:sz w:val="18"/>
          <w:szCs w:val="18"/>
          <w:color w:val="auto"/>
        </w:rPr>
        <w:t>Each 10b5-1 Plan must contain an explicit acknowledgement by such Insider that all filings required by the Exchange Act, as a result of or in connection with trades under such 10b5-1 Plan, are the sole obligation of such Insider and not the Company. The Company will also disclose in its quarterly and annual reports the material terms of the 10b5-1 Plans adopted or terminated (which includes modifications) by D&amp;O Insiders, as required by the Securities and Exchange Commission’s rules, including the identity of the person, the date of adoption or termination, the duration of the trading arrangement and the aggregate number of securities under the 10b5-1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Footnote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Insiders must footnote trades disclosed on Forms 144 to indicate that the trades were made pursuant to a 10b5-1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Xueji (Jerry) Wang, certify that:</w:t>
      </w:r>
    </w:p>
    <w:p>
      <w:pPr>
        <w:spacing w:after="0" w:line="225" w:lineRule="exact"/>
        <w:rPr>
          <w:sz w:val="20"/>
          <w:szCs w:val="20"/>
          <w:color w:val="auto"/>
        </w:rPr>
      </w:pPr>
    </w:p>
    <w:p>
      <w:pPr>
        <w:ind w:left="640" w:hanging="254"/>
        <w:spacing w:after="0"/>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Tuya Inc. (the "Company");</w:t>
      </w:r>
    </w:p>
    <w:p>
      <w:pPr>
        <w:spacing w:after="0" w:line="225" w:lineRule="exact"/>
        <w:rPr>
          <w:rFonts w:ascii="Times New Roman" w:cs="Times New Roman" w:eastAsia="Times New Roman" w:hAnsi="Times New Roman"/>
          <w:sz w:val="18"/>
          <w:szCs w:val="18"/>
          <w:color w:val="auto"/>
        </w:rPr>
      </w:pPr>
    </w:p>
    <w:p>
      <w:pPr>
        <w:ind w:left="640" w:right="220" w:hanging="254"/>
        <w:spacing w:after="0" w:line="266"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300" w:hanging="254"/>
        <w:spacing w:after="0" w:line="266"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40" w:right="20" w:hanging="254"/>
        <w:spacing w:after="0" w:line="266" w:lineRule="auto"/>
        <w:tabs>
          <w:tab w:leader="none" w:pos="6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13a-l 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1240" w:right="240" w:hanging="260"/>
        <w:spacing w:after="0" w:line="261" w:lineRule="auto"/>
        <w:tabs>
          <w:tab w:leader="none" w:pos="12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240" w:right="160" w:hanging="260"/>
        <w:spacing w:after="0" w:line="289" w:lineRule="auto"/>
        <w:tabs>
          <w:tab w:leader="none" w:pos="1240"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240" w:right="40" w:hanging="260"/>
        <w:spacing w:after="0" w:line="266" w:lineRule="auto"/>
        <w:tabs>
          <w:tab w:leader="none" w:pos="12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240" w:right="200" w:hanging="260"/>
        <w:spacing w:after="0" w:line="266" w:lineRule="auto"/>
        <w:tabs>
          <w:tab w:leader="none" w:pos="12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93" w:name="page294"/>
    <w:bookmarkEnd w:id="293"/>
    <w:p>
      <w:pPr>
        <w:ind w:left="260" w:right="560" w:hanging="254"/>
        <w:spacing w:after="0" w:line="282" w:lineRule="auto"/>
        <w:tabs>
          <w:tab w:leader="none" w:pos="2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1" w:lineRule="exact"/>
        <w:rPr>
          <w:rFonts w:ascii="Times New Roman" w:cs="Times New Roman" w:eastAsia="Times New Roman" w:hAnsi="Times New Roman"/>
          <w:sz w:val="18"/>
          <w:szCs w:val="18"/>
          <w:color w:val="auto"/>
        </w:rPr>
      </w:pPr>
    </w:p>
    <w:p>
      <w:pPr>
        <w:ind w:left="860" w:right="40" w:hanging="260"/>
        <w:spacing w:after="0" w:line="266" w:lineRule="auto"/>
        <w:tabs>
          <w:tab w:leader="none" w:pos="8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320" w:hanging="260"/>
        <w:spacing w:after="0" w:line="282" w:lineRule="auto"/>
        <w:tabs>
          <w:tab w:leader="none" w:pos="8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Xueji (Jerry) Wang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Xueji (Jerry) Wang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360045</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40"/>
          </w:cols>
          <w:pgMar w:left="1360" w:top="877" w:right="99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 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Yi (Alex) Yang, certify that:</w:t>
      </w:r>
    </w:p>
    <w:p>
      <w:pPr>
        <w:spacing w:after="0" w:line="225" w:lineRule="exact"/>
        <w:rPr>
          <w:sz w:val="20"/>
          <w:szCs w:val="20"/>
          <w:color w:val="auto"/>
        </w:rPr>
      </w:pPr>
    </w:p>
    <w:p>
      <w:pPr>
        <w:ind w:left="580" w:hanging="248"/>
        <w:spacing w:after="0"/>
        <w:tabs>
          <w:tab w:leader="none" w:pos="5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Tuya Inc. (the "Company");</w:t>
      </w:r>
    </w:p>
    <w:p>
      <w:pPr>
        <w:spacing w:after="0" w:line="225" w:lineRule="exact"/>
        <w:rPr>
          <w:rFonts w:ascii="Times New Roman" w:cs="Times New Roman" w:eastAsia="Times New Roman" w:hAnsi="Times New Roman"/>
          <w:sz w:val="18"/>
          <w:szCs w:val="18"/>
          <w:color w:val="auto"/>
        </w:rPr>
      </w:pPr>
    </w:p>
    <w:p>
      <w:pPr>
        <w:ind w:left="580" w:right="280" w:hanging="248"/>
        <w:spacing w:after="0" w:line="266" w:lineRule="auto"/>
        <w:tabs>
          <w:tab w:leader="none" w:pos="5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360" w:hanging="248"/>
        <w:spacing w:after="0" w:line="266" w:lineRule="auto"/>
        <w:tabs>
          <w:tab w:leader="none" w:pos="5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80" w:right="80" w:hanging="248"/>
        <w:spacing w:after="0" w:line="266" w:lineRule="auto"/>
        <w:tabs>
          <w:tab w:leader="none" w:pos="5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920" w:right="40" w:hanging="264"/>
        <w:spacing w:after="0" w:line="266" w:lineRule="auto"/>
        <w:tabs>
          <w:tab w:leader="none" w:pos="9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20" w:right="480" w:hanging="264"/>
        <w:spacing w:after="0" w:line="289" w:lineRule="auto"/>
        <w:tabs>
          <w:tab w:leader="none" w:pos="920" w:val="left"/>
        </w:tabs>
        <w:numPr>
          <w:ilvl w:val="1"/>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20" w:right="20" w:hanging="264"/>
        <w:spacing w:after="0" w:line="266" w:lineRule="auto"/>
        <w:tabs>
          <w:tab w:leader="none" w:pos="9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20" w:right="20" w:hanging="264"/>
        <w:spacing w:after="0" w:line="266" w:lineRule="auto"/>
        <w:tabs>
          <w:tab w:leader="none" w:pos="9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740410</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95" w:name="page296"/>
    <w:bookmarkEnd w:id="295"/>
    <w:p>
      <w:pPr>
        <w:ind w:left="248" w:right="620" w:hanging="248"/>
        <w:spacing w:after="0" w:line="282" w:lineRule="auto"/>
        <w:tabs>
          <w:tab w:leader="none" w:pos="24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161" w:lineRule="exact"/>
        <w:rPr>
          <w:rFonts w:ascii="Times New Roman" w:cs="Times New Roman" w:eastAsia="Times New Roman" w:hAnsi="Times New Roman"/>
          <w:sz w:val="18"/>
          <w:szCs w:val="18"/>
          <w:color w:val="auto"/>
        </w:rPr>
      </w:pPr>
    </w:p>
    <w:p>
      <w:pPr>
        <w:ind w:left="568" w:right="280" w:hanging="244"/>
        <w:spacing w:after="0" w:line="266" w:lineRule="auto"/>
        <w:tabs>
          <w:tab w:leader="none" w:pos="56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568" w:right="660" w:hanging="244"/>
        <w:spacing w:after="0" w:line="282" w:lineRule="auto"/>
        <w:tabs>
          <w:tab w:leader="none" w:pos="56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Yi (Alex) Yang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Yi (Alex) Yang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877" w:right="99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Tuya Inc. (the "Company") on Form 20-F for the year ended December 31, 2024 as filed with the Securities and Exchange Commission on the date hereof (the "Report"), I, Xueji (Jerry) Wang,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l5(d) of the Securities Exchange Act of 1934; and</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2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infom1ation contained in the Report fairly presents, in all material respects, the financial condition and results of operations of the Company.</w:t>
      </w:r>
    </w:p>
    <w:p>
      <w:pPr>
        <w:spacing w:after="0" w:line="16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Xueji (Jerry) Wang</w:t>
      </w:r>
    </w:p>
    <w:p>
      <w:pPr>
        <w:spacing w:after="0" w:line="23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7"/>
          <w:szCs w:val="17"/>
          <w:color w:val="auto"/>
        </w:rPr>
        <w:t>Name: Xueji (Jerry) Wang</w:t>
      </w:r>
    </w:p>
    <w:p>
      <w:pPr>
        <w:spacing w:after="0" w:line="23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504825</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Tuya Inc. (the "Company") on Form 20-F for the year ended December 31, 2024 as filed with the Securities and Exchange Commission on the date hereof (the "Report"), I, Yi (Alex) Yang,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25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Yi (Alex) Yang</w:t>
      </w:r>
    </w:p>
    <w:p>
      <w:pPr>
        <w:spacing w:after="0" w:line="23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7"/>
          <w:szCs w:val="17"/>
          <w:color w:val="auto"/>
        </w:rPr>
        <w:t>Name: Yi (Alex) Yang</w:t>
      </w:r>
    </w:p>
    <w:p>
      <w:pPr>
        <w:spacing w:after="0" w:line="23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Title: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504825</wp:posOffset>
            </wp:positionV>
            <wp:extent cx="629221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156845</wp:posOffset>
            </wp:positionV>
            <wp:extent cx="2434590" cy="4629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243459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auto"/>
        </w:rPr>
        <w:t>北京</w:t>
      </w:r>
      <w:r>
        <w:rPr>
          <w:rFonts w:ascii="Times New Roman" w:cs="Times New Roman" w:eastAsia="Times New Roman" w:hAnsi="Times New Roman"/>
          <w:sz w:val="18"/>
          <w:szCs w:val="18"/>
          <w:color w:val="auto"/>
        </w:rPr>
        <w:t>BEIJING·</w:t>
      </w:r>
      <w:r>
        <w:rPr>
          <w:rFonts w:ascii="SimSun" w:cs="SimSun" w:eastAsia="SimSun" w:hAnsi="SimSun"/>
          <w:sz w:val="18"/>
          <w:szCs w:val="18"/>
          <w:color w:val="auto"/>
        </w:rPr>
        <w:t>上海</w:t>
      </w:r>
      <w:r>
        <w:rPr>
          <w:rFonts w:ascii="Times New Roman" w:cs="Times New Roman" w:eastAsia="Times New Roman" w:hAnsi="Times New Roman"/>
          <w:sz w:val="18"/>
          <w:szCs w:val="18"/>
          <w:color w:val="auto"/>
        </w:rPr>
        <w:t>SHANGHAI·</w:t>
      </w:r>
      <w:r>
        <w:rPr>
          <w:rFonts w:ascii="SimSun" w:cs="SimSun" w:eastAsia="SimSun" w:hAnsi="SimSun"/>
          <w:sz w:val="18"/>
          <w:szCs w:val="18"/>
          <w:color w:val="auto"/>
        </w:rPr>
        <w:t>深圳</w:t>
      </w:r>
      <w:r>
        <w:rPr>
          <w:rFonts w:ascii="Times New Roman" w:cs="Times New Roman" w:eastAsia="Times New Roman" w:hAnsi="Times New Roman"/>
          <w:sz w:val="18"/>
          <w:szCs w:val="18"/>
          <w:color w:val="auto"/>
        </w:rPr>
        <w:t>SHENZHEN·</w:t>
      </w:r>
      <w:r>
        <w:rPr>
          <w:rFonts w:ascii="SimSun" w:cs="SimSun" w:eastAsia="SimSun" w:hAnsi="SimSun"/>
          <w:sz w:val="18"/>
          <w:szCs w:val="18"/>
          <w:color w:val="auto"/>
        </w:rPr>
        <w:t>香港</w:t>
      </w:r>
      <w:r>
        <w:rPr>
          <w:rFonts w:ascii="Times New Roman" w:cs="Times New Roman" w:eastAsia="Times New Roman" w:hAnsi="Times New Roman"/>
          <w:sz w:val="18"/>
          <w:szCs w:val="18"/>
          <w:color w:val="auto"/>
        </w:rPr>
        <w:t>HONG KONG·</w:t>
      </w:r>
      <w:r>
        <w:rPr>
          <w:rFonts w:ascii="SimSun" w:cs="SimSun" w:eastAsia="SimSun" w:hAnsi="SimSun"/>
          <w:sz w:val="18"/>
          <w:szCs w:val="18"/>
          <w:color w:val="auto"/>
        </w:rPr>
        <w:t>广州</w:t>
      </w:r>
      <w:r>
        <w:rPr>
          <w:rFonts w:ascii="Times New Roman" w:cs="Times New Roman" w:eastAsia="Times New Roman" w:hAnsi="Times New Roman"/>
          <w:sz w:val="18"/>
          <w:szCs w:val="18"/>
          <w:color w:val="auto"/>
        </w:rPr>
        <w:t>GUANGZHOU·</w:t>
      </w:r>
      <w:r>
        <w:rPr>
          <w:rFonts w:ascii="SimSun" w:cs="SimSun" w:eastAsia="SimSun" w:hAnsi="SimSun"/>
          <w:sz w:val="18"/>
          <w:szCs w:val="18"/>
          <w:color w:val="auto"/>
        </w:rPr>
        <w:t>西安</w:t>
      </w:r>
      <w:r>
        <w:rPr>
          <w:rFonts w:ascii="Times New Roman" w:cs="Times New Roman" w:eastAsia="Times New Roman" w:hAnsi="Times New Roman"/>
          <w:sz w:val="18"/>
          <w:szCs w:val="18"/>
          <w:color w:val="auto"/>
        </w:rPr>
        <w:t>XI’AN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86995</wp:posOffset>
            </wp:positionV>
            <wp:extent cx="545211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Tuya Inc.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 Box 309</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Ugland House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Grand Cayman, KY1-1104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headings “Item 3. Key Information—Holding Company Structure,” “Item 3. Key Information—PRC Licenses, Permissions and Approvals,” “Item 3. Key Information—3.D. Risk Factors—Risks Related to Our Corporate Structure,” “Item 3. Key Information—3.D. Risk Factors—Risks Related to Doing Business in China,” “Item 4. Information on the Company—4.B. Business Overview—Licenses, Permissions and Approvals” and “Item 4. Information on the Company—4.C. Organizational Structure—Contractual Arrangements with the VIE and the VIE's Registered Shareholders” in Tuya Inc.’s annual report on Form 20-F for the fiscal year ended December 31, 2024 (the “Annual Report”), which is filed with the Securities and Exchange Commission (the “SEC”) on the date hereof. We also consent to the filing with the SEC of this consent letter as an exhibit to the Annual Report.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 Yuan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 Yuan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Tuya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10/F, Building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Huace Center, Xihu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City, 310012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Tuya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Tuya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2024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“Item 10. Additional Information—E. Taxation” in the Annual Report, and we further consent to the incorporation by reference of the summary of our opinions under this heading into the Company’s registration statement on Form S-8 (File No. 333-257349) that was filed on 24 June 2021, pertaining to the Company’s 2015 Equity Incentive Plan, and the Company’s registration statement on Form F-3 (File No. 333-265320) that was filed on 31 May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156845</wp:posOffset>
            </wp:positionV>
            <wp:extent cx="1345565" cy="11404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1345565" cy="11404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851535</wp:posOffset>
            </wp:positionV>
            <wp:extent cx="720090" cy="1714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72009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left="200"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333-257349) and on Form F-3 (File No. 333-265320) of Tuya Inc. of our report dated April 24, 2025 relating to the financial statements, which appears in this Form 20-F.</w:t>
      </w:r>
    </w:p>
    <w:p>
      <w:pPr>
        <w:spacing w:after="0" w:line="3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/s/PricewaterhouseCoopers Zhong Tian LLP</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24, 2025</w:t>
      </w:r>
    </w:p>
    <w:p>
      <w:pPr>
        <w:spacing w:after="0" w:line="200" w:lineRule="exact"/>
        <w:rPr>
          <w:sz w:val="20"/>
          <w:szCs w:val="20"/>
          <w:color w:val="auto"/>
        </w:rPr>
      </w:pPr>
    </w:p>
    <w:p>
      <w:pPr>
        <w:spacing w:after="0" w:line="236" w:lineRule="exact"/>
        <w:rPr>
          <w:sz w:val="20"/>
          <w:szCs w:val="20"/>
          <w:color w:val="auto"/>
        </w:rPr>
      </w:pPr>
    </w:p>
    <w:p>
      <w:pPr>
        <w:ind w:left="200"/>
        <w:spacing w:after="0" w:line="219" w:lineRule="exact"/>
        <w:rPr>
          <w:sz w:val="20"/>
          <w:szCs w:val="20"/>
          <w:color w:val="auto"/>
        </w:rPr>
      </w:pPr>
      <w:r>
        <w:rPr>
          <w:rFonts w:ascii="SimSun" w:cs="SimSun" w:eastAsia="SimSun" w:hAnsi="SimSun"/>
          <w:sz w:val="18"/>
          <w:szCs w:val="18"/>
          <w:color w:val="auto"/>
        </w:rPr>
        <w:t>普华永道中天会计师事务所</w:t>
      </w:r>
      <w:r>
        <w:rPr>
          <w:rFonts w:ascii="Times New Roman" w:cs="Times New Roman" w:eastAsia="Times New Roman" w:hAnsi="Times New Roman"/>
          <w:sz w:val="18"/>
          <w:szCs w:val="18"/>
          <w:color w:val="auto"/>
        </w:rPr>
        <w:t>(</w:t>
      </w:r>
      <w:r>
        <w:rPr>
          <w:rFonts w:ascii="SimSun" w:cs="SimSun" w:eastAsia="SimSun" w:hAnsi="SimSun"/>
          <w:sz w:val="18"/>
          <w:szCs w:val="18"/>
          <w:color w:val="auto"/>
        </w:rPr>
        <w:t>特殊普通合伙</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PricewaterhouseCoopers Zhong Tian LLP, 11/F PricewaterhouseCoopers Center</w:t>
      </w:r>
    </w:p>
    <w:p>
      <w:pPr>
        <w:spacing w:after="0" w:line="23" w:lineRule="exact"/>
        <w:rPr>
          <w:sz w:val="20"/>
          <w:szCs w:val="20"/>
          <w:color w:val="auto"/>
        </w:rPr>
      </w:pPr>
    </w:p>
    <w:p>
      <w:pPr>
        <w:ind w:left="200" w:right="3780"/>
        <w:spacing w:after="0" w:line="260" w:lineRule="auto"/>
        <w:rPr>
          <w:sz w:val="20"/>
          <w:szCs w:val="20"/>
          <w:color w:val="auto"/>
        </w:rPr>
      </w:pPr>
      <w:r>
        <w:rPr>
          <w:rFonts w:ascii="Times New Roman" w:cs="Times New Roman" w:eastAsia="Times New Roman" w:hAnsi="Times New Roman"/>
          <w:sz w:val="18"/>
          <w:szCs w:val="18"/>
          <w:color w:val="auto"/>
        </w:rPr>
        <w:t>Link Square 2, 202 Hu Bin Road, Huangpu District, Shanghai 200021, PRC T: +86 (21) 2323 8888, F: +86 (21) 2323 8800, www.pwccn.com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332740</wp:posOffset>
            </wp:positionV>
            <wp:extent cx="629221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Tuya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10/F, Building A, Huace Center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Xihu District, Hangzhou City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Zhejiang, 310012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Tuya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understand that Tuya Inc. (the “Company”) plans to file its annual report on Form 20-F for the fiscal year ended December 31, 2024 (the “Form 20-F”) with the United States Securities and Exchange Commission (the “SEC”).</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references to our name and the inclusion of information, data and statements from our research reports and amendments thereto (collectively, the “Reports”), and any subsequent amendments to the Reports, as well as the citation of our research reports and amendments thereto, in the Form 20-F. We further hereby consent to the filing of this letter as an exhibit to the Form 20-F and any amendments thereto and as an exhibit to any other SEC filings.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Insights Industry Consultancy Limited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Leon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Leon Zhao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9D0FEAC"/>
    <w:multiLevelType w:val="hybridMultilevel"/>
    <w:lvl w:ilvl="0">
      <w:lvlJc w:val="left"/>
      <w:lvlText w:val="†"/>
      <w:numFmt w:val="bullet"/>
      <w:start w:val="1"/>
    </w:lvl>
  </w:abstractNum>
  <w:abstractNum w:abstractNumId="1">
    <w:nsid w:val="4BEE5A5B"/>
    <w:multiLevelType w:val="hybridMultilevel"/>
    <w:lvl w:ilvl="0">
      <w:lvlJc w:val="left"/>
      <w:lvlText w:val="●"/>
      <w:numFmt w:val="bullet"/>
      <w:start w:val="1"/>
    </w:lvl>
  </w:abstractNum>
  <w:abstractNum w:abstractNumId="2">
    <w:nsid w:val="5551B9F3"/>
    <w:multiLevelType w:val="hybridMultilevel"/>
    <w:lvl w:ilvl="0">
      <w:lvlJc w:val="left"/>
      <w:lvlText w:val="●"/>
      <w:numFmt w:val="bullet"/>
      <w:start w:val="1"/>
    </w:lvl>
  </w:abstractNum>
  <w:abstractNum w:abstractNumId="3">
    <w:nsid w:val="24F6AB8E"/>
    <w:multiLevelType w:val="hybridMultilevel"/>
    <w:lvl w:ilvl="0">
      <w:lvlJc w:val="left"/>
      <w:lvlText w:val="●"/>
      <w:numFmt w:val="bullet"/>
      <w:start w:val="1"/>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
      <w:numFmt w:val="bullet"/>
      <w:start w:val="1"/>
    </w:lvl>
  </w:abstractNum>
  <w:abstractNum w:abstractNumId="6">
    <w:nsid w:val="2A31B62D"/>
    <w:multiLevelType w:val="hybridMultilevel"/>
    <w:lvl w:ilvl="0">
      <w:lvlJc w:val="left"/>
      <w:lvlText w:val="(%1)"/>
      <w:numFmt w:val="decimal"/>
      <w:start w:val="1"/>
    </w:lvl>
  </w:abstractNum>
  <w:abstractNum w:abstractNumId="7">
    <w:nsid w:val="1849C29B"/>
    <w:multiLevelType w:val="hybridMultilevel"/>
    <w:lvl w:ilvl="0">
      <w:lvlJc w:val="left"/>
      <w:lvlText w:val="●"/>
      <w:numFmt w:val="bullet"/>
      <w:start w:val="1"/>
    </w:lvl>
  </w:abstractNum>
  <w:abstractNum w:abstractNumId="8">
    <w:nsid w:val="7DFF9D09"/>
    <w:multiLevelType w:val="hybridMultilevel"/>
    <w:lvl w:ilvl="0">
      <w:lvlJc w:val="left"/>
      <w:lvlText w:val="(%1)"/>
      <w:numFmt w:val="decimal"/>
      <w:start w:val="1"/>
    </w:lvl>
  </w:abstractNum>
  <w:abstractNum w:abstractNumId="9">
    <w:nsid w:val="754342"/>
    <w:multiLevelType w:val="hybridMultilevel"/>
    <w:lvl w:ilvl="0">
      <w:lvlJc w:val="left"/>
      <w:lvlText w:val="(%1)"/>
      <w:numFmt w:val="decimal"/>
      <w:start w:val="3"/>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
      <w:numFmt w:val="bullet"/>
      <w:start w:val="1"/>
    </w:lvl>
  </w:abstractNum>
  <w:abstractNum w:abstractNumId="12">
    <w:nsid w:val="1816F8C4"/>
    <w:multiLevelType w:val="hybridMultilevel"/>
    <w:lvl w:ilvl="0">
      <w:lvlJc w:val="left"/>
      <w:lvlText w:val="●"/>
      <w:numFmt w:val="bullet"/>
      <w:start w:val="1"/>
    </w:lvl>
  </w:abstractNum>
  <w:abstractNum w:abstractNumId="13">
    <w:nsid w:val="37DF2233"/>
    <w:multiLevelType w:val="hybridMultilevel"/>
    <w:lvl w:ilvl="0">
      <w:lvlJc w:val="left"/>
      <w:lvlText w:val="●"/>
      <w:numFmt w:val="bullet"/>
      <w:start w:val="1"/>
    </w:lvl>
  </w:abstractNum>
  <w:abstractNum w:abstractNumId="14">
    <w:nsid w:val="7AB49DAF"/>
    <w:multiLevelType w:val="hybridMultilevel"/>
    <w:lvl w:ilvl="0">
      <w:lvlJc w:val="left"/>
      <w:lvlText w:val="●"/>
      <w:numFmt w:val="bullet"/>
      <w:start w:val="1"/>
    </w:lvl>
  </w:abstractNum>
  <w:abstractNum w:abstractNumId="15">
    <w:nsid w:val="759F82CD"/>
    <w:multiLevelType w:val="hybridMultilevel"/>
    <w:lvl w:ilvl="0">
      <w:lvlJc w:val="left"/>
      <w:lvlText w:val="●"/>
      <w:numFmt w:val="bullet"/>
      <w:start w:val="1"/>
    </w:lvl>
  </w:abstractNum>
  <w:abstractNum w:abstractNumId="16">
    <w:nsid w:val="61E74EA3"/>
    <w:multiLevelType w:val="hybridMultilevel"/>
    <w:lvl w:ilvl="0">
      <w:lvlJc w:val="left"/>
      <w:lvlText w:val="●"/>
      <w:numFmt w:val="bullet"/>
      <w:start w:val="1"/>
    </w:lvl>
  </w:abstractNum>
  <w:abstractNum w:abstractNumId="17">
    <w:nsid w:val="597B4D84"/>
    <w:multiLevelType w:val="hybridMultilevel"/>
    <w:lvl w:ilvl="0">
      <w:lvlJc w:val="left"/>
      <w:lvlText w:val="●"/>
      <w:numFmt w:val="bullet"/>
      <w:start w:val="1"/>
    </w:lvl>
  </w:abstractNum>
  <w:abstractNum w:abstractNumId="18">
    <w:nsid w:val="F819E7F"/>
    <w:multiLevelType w:val="hybridMultilevel"/>
    <w:lvl w:ilvl="0">
      <w:lvlJc w:val="left"/>
      <w:lvlText w:val="●"/>
      <w:numFmt w:val="bullet"/>
      <w:start w:val="1"/>
    </w:lvl>
  </w:abstractNum>
  <w:abstractNum w:abstractNumId="19">
    <w:nsid w:val="57C7D42D"/>
    <w:multiLevelType w:val="hybridMultilevel"/>
    <w:lvl w:ilvl="0">
      <w:lvlJc w:val="left"/>
      <w:lvlText w:val="●"/>
      <w:numFmt w:val="bullet"/>
      <w:start w:val="1"/>
    </w:lvl>
  </w:abstractNum>
  <w:abstractNum w:abstractNumId="20">
    <w:nsid w:val="312167AD"/>
    <w:multiLevelType w:val="hybridMultilevel"/>
    <w:lvl w:ilvl="0">
      <w:lvlJc w:val="left"/>
      <w:lvlText w:val="●"/>
      <w:numFmt w:val="bullet"/>
      <w:start w:val="1"/>
    </w:lvl>
  </w:abstractNum>
  <w:abstractNum w:abstractNumId="21">
    <w:nsid w:val="631B64D4"/>
    <w:multiLevelType w:val="hybridMultilevel"/>
    <w:lvl w:ilvl="0">
      <w:lvlJc w:val="left"/>
      <w:lvlText w:val="●"/>
      <w:numFmt w:val="bullet"/>
      <w:start w:val="1"/>
    </w:lvl>
  </w:abstractNum>
  <w:abstractNum w:abstractNumId="22">
    <w:nsid w:val="78B5E776"/>
    <w:multiLevelType w:val="hybridMultilevel"/>
    <w:lvl w:ilvl="0">
      <w:lvlJc w:val="left"/>
      <w:lvlText w:val="●"/>
      <w:numFmt w:val="bullet"/>
      <w:start w:val="1"/>
    </w:lvl>
  </w:abstractNum>
  <w:abstractNum w:abstractNumId="23">
    <w:nsid w:val="75486E47"/>
    <w:multiLevelType w:val="hybridMultilevel"/>
    <w:lvl w:ilvl="0">
      <w:lvlJc w:val="left"/>
      <w:lvlText w:val="●"/>
      <w:numFmt w:val="bullet"/>
      <w:start w:val="1"/>
    </w:lvl>
  </w:abstractNum>
  <w:abstractNum w:abstractNumId="24">
    <w:nsid w:val="6E534CDE"/>
    <w:multiLevelType w:val="hybridMultilevel"/>
    <w:lvl w:ilvl="0">
      <w:lvlJc w:val="left"/>
      <w:lvlText w:val="●"/>
      <w:numFmt w:val="bullet"/>
      <w:start w:val="1"/>
    </w:lvl>
  </w:abstractNum>
  <w:abstractNum w:abstractNumId="25">
    <w:nsid w:val="1A0DDE32"/>
    <w:multiLevelType w:val="hybridMultilevel"/>
    <w:lvl w:ilvl="0">
      <w:lvlJc w:val="left"/>
      <w:lvlText w:val="●"/>
      <w:numFmt w:val="bullet"/>
      <w:start w:val="1"/>
    </w:lvl>
  </w:abstractNum>
  <w:abstractNum w:abstractNumId="26">
    <w:nsid w:val="65968C1C"/>
    <w:multiLevelType w:val="hybridMultilevel"/>
    <w:lvl w:ilvl="0">
      <w:lvlJc w:val="left"/>
      <w:lvlText w:val="●"/>
      <w:numFmt w:val="bullet"/>
      <w:start w:val="1"/>
    </w:lvl>
  </w:abstractNum>
  <w:abstractNum w:abstractNumId="27">
    <w:nsid w:val="46263DEC"/>
    <w:multiLevelType w:val="hybridMultilevel"/>
    <w:lvl w:ilvl="0">
      <w:lvlJc w:val="left"/>
      <w:lvlText w:val="●"/>
      <w:numFmt w:val="bullet"/>
      <w:start w:val="1"/>
    </w:lvl>
  </w:abstractNum>
  <w:abstractNum w:abstractNumId="28">
    <w:nsid w:val="260D8C4A"/>
    <w:multiLevelType w:val="hybridMultilevel"/>
    <w:lvl w:ilvl="0">
      <w:lvlJc w:val="left"/>
      <w:lvlText w:val="●"/>
      <w:numFmt w:val="bullet"/>
      <w:start w:val="1"/>
    </w:lvl>
  </w:abstractNum>
  <w:abstractNum w:abstractNumId="29">
    <w:nsid w:val="73D4D3C4"/>
    <w:multiLevelType w:val="hybridMultilevel"/>
    <w:lvl w:ilvl="0">
      <w:lvlJc w:val="left"/>
      <w:lvlText w:val="●"/>
      <w:numFmt w:val="bullet"/>
      <w:start w:val="1"/>
    </w:lvl>
  </w:abstractNum>
  <w:abstractNum w:abstractNumId="30">
    <w:nsid w:val="746F2E30"/>
    <w:multiLevelType w:val="hybridMultilevel"/>
    <w:lvl w:ilvl="0">
      <w:lvlJc w:val="left"/>
      <w:lvlText w:val="●"/>
      <w:numFmt w:val="bullet"/>
      <w:start w:val="1"/>
    </w:lvl>
  </w:abstractNum>
  <w:abstractNum w:abstractNumId="31">
    <w:nsid w:val="6FDE8AF6"/>
    <w:multiLevelType w:val="hybridMultilevel"/>
    <w:lvl w:ilvl="0">
      <w:lvlJc w:val="left"/>
      <w:lvlText w:val="●"/>
      <w:numFmt w:val="bullet"/>
      <w:start w:val="1"/>
    </w:lvl>
  </w:abstractNum>
  <w:abstractNum w:abstractNumId="32">
    <w:nsid w:val="3FC32E20"/>
    <w:multiLevelType w:val="hybridMultilevel"/>
    <w:lvl w:ilvl="0">
      <w:lvlJc w:val="left"/>
      <w:lvlText w:val="●"/>
      <w:numFmt w:val="bullet"/>
      <w:start w:val="1"/>
    </w:lvl>
  </w:abstractNum>
  <w:abstractNum w:abstractNumId="33">
    <w:nsid w:val="49C0E823"/>
    <w:multiLevelType w:val="hybridMultilevel"/>
    <w:lvl w:ilvl="0">
      <w:lvlJc w:val="left"/>
      <w:lvlText w:val="●"/>
      <w:numFmt w:val="bullet"/>
      <w:start w:val="1"/>
    </w:lvl>
    <w:lvl w:ilvl="1">
      <w:lvlJc w:val="left"/>
      <w:lvlText w:val="o"/>
      <w:numFmt w:val="bullet"/>
      <w:start w:val="1"/>
    </w:lvl>
  </w:abstractNum>
  <w:abstractNum w:abstractNumId="34">
    <w:nsid w:val="14D53685"/>
    <w:multiLevelType w:val="hybridMultilevel"/>
    <w:lvl w:ilvl="0">
      <w:lvlJc w:val="left"/>
      <w:lvlText w:val="o"/>
      <w:numFmt w:val="bullet"/>
      <w:start w:val="1"/>
    </w:lvl>
  </w:abstractNum>
  <w:abstractNum w:abstractNumId="35">
    <w:nsid w:val="230F856C"/>
    <w:multiLevelType w:val="hybridMultilevel"/>
    <w:lvl w:ilvl="0">
      <w:lvlJc w:val="left"/>
      <w:lvlText w:val="●"/>
      <w:numFmt w:val="bullet"/>
      <w:start w:val="1"/>
    </w:lvl>
  </w:abstractNum>
  <w:abstractNum w:abstractNumId="36">
    <w:nsid w:val="6EAA85FB"/>
    <w:multiLevelType w:val="hybridMultilevel"/>
    <w:lvl w:ilvl="0">
      <w:lvlJc w:val="left"/>
      <w:lvlText w:val="●"/>
      <w:numFmt w:val="bullet"/>
      <w:start w:val="1"/>
    </w:lvl>
  </w:abstractNum>
  <w:abstractNum w:abstractNumId="37">
    <w:nsid w:val="3F06ECB2"/>
    <w:multiLevelType w:val="hybridMultilevel"/>
    <w:lvl w:ilvl="0">
      <w:lvlJc w:val="left"/>
      <w:lvlText w:val="o"/>
      <w:numFmt w:val="bullet"/>
      <w:start w:val="1"/>
    </w:lvl>
  </w:abstractNum>
  <w:abstractNum w:abstractNumId="38">
    <w:nsid w:val="3B594807"/>
    <w:multiLevelType w:val="hybridMultilevel"/>
    <w:lvl w:ilvl="0">
      <w:lvlJc w:val="left"/>
      <w:lvlText w:val="●"/>
      <w:numFmt w:val="bullet"/>
      <w:start w:val="1"/>
    </w:lvl>
    <w:lvl w:ilvl="1">
      <w:lvlJc w:val="left"/>
      <w:lvlText w:val="o"/>
      <w:numFmt w:val="bullet"/>
      <w:start w:val="1"/>
    </w:lvl>
  </w:abstractNum>
  <w:abstractNum w:abstractNumId="39">
    <w:nsid w:val="6CAA2304"/>
    <w:multiLevelType w:val="hybridMultilevel"/>
    <w:lvl w:ilvl="0">
      <w:lvlJc w:val="left"/>
      <w:lvlText w:val="●"/>
      <w:numFmt w:val="bullet"/>
      <w:start w:val="1"/>
    </w:lvl>
    <w:lvl w:ilvl="1">
      <w:lvlJc w:val="left"/>
      <w:lvlText w:val="o"/>
      <w:numFmt w:val="bullet"/>
      <w:start w:val="1"/>
    </w:lvl>
  </w:abstractNum>
  <w:abstractNum w:abstractNumId="40">
    <w:nsid w:val="3F7C2FF4"/>
    <w:multiLevelType w:val="hybridMultilevel"/>
    <w:lvl w:ilvl="0">
      <w:lvlJc w:val="left"/>
      <w:lvlText w:val="●"/>
      <w:numFmt w:val="bullet"/>
      <w:start w:val="1"/>
    </w:lvl>
  </w:abstractNum>
  <w:abstractNum w:abstractNumId="41">
    <w:nsid w:val="25413BEC"/>
    <w:multiLevelType w:val="hybridMultilevel"/>
    <w:lvl w:ilvl="0">
      <w:lvlJc w:val="left"/>
      <w:lvlText w:val="●"/>
      <w:numFmt w:val="bullet"/>
      <w:start w:val="1"/>
    </w:lvl>
  </w:abstractNum>
  <w:abstractNum w:abstractNumId="42">
    <w:nsid w:val="17180B0B"/>
    <w:multiLevelType w:val="hybridMultilevel"/>
    <w:lvl w:ilvl="0">
      <w:lvlJc w:val="left"/>
      <w:lvlText w:val="o"/>
      <w:numFmt w:val="bullet"/>
      <w:start w:val="1"/>
    </w:lvl>
  </w:abstractNum>
  <w:abstractNum w:abstractNumId="43">
    <w:nsid w:val="579328B9"/>
    <w:multiLevelType w:val="hybridMultilevel"/>
    <w:lvl w:ilvl="0">
      <w:lvlJc w:val="left"/>
      <w:lvlText w:val="●"/>
      <w:numFmt w:val="bullet"/>
      <w:start w:val="1"/>
    </w:lvl>
  </w:abstractNum>
  <w:abstractNum w:abstractNumId="44">
    <w:nsid w:val="5D205E20"/>
    <w:multiLevelType w:val="hybridMultilevel"/>
    <w:lvl w:ilvl="0">
      <w:lvlJc w:val="left"/>
      <w:lvlText w:val="●"/>
      <w:numFmt w:val="bullet"/>
      <w:start w:val="1"/>
    </w:lvl>
  </w:abstractNum>
  <w:abstractNum w:abstractNumId="45">
    <w:nsid w:val="11CCA8BA"/>
    <w:multiLevelType w:val="hybridMultilevel"/>
    <w:lvl w:ilvl="0">
      <w:lvlJc w:val="left"/>
      <w:lvlText w:val="●"/>
      <w:numFmt w:val="bullet"/>
      <w:start w:val="1"/>
    </w:lvl>
  </w:abstractNum>
  <w:abstractNum w:abstractNumId="46">
    <w:nsid w:val="4D32AB86"/>
    <w:multiLevelType w:val="hybridMultilevel"/>
    <w:lvl w:ilvl="0">
      <w:lvlJc w:val="left"/>
      <w:lvlText w:val="●"/>
      <w:numFmt w:val="bullet"/>
      <w:start w:val="1"/>
    </w:lvl>
  </w:abstractNum>
  <w:abstractNum w:abstractNumId="47">
    <w:nsid w:val="3F07ACC3"/>
    <w:multiLevelType w:val="hybridMultilevel"/>
    <w:lvl w:ilvl="0">
      <w:lvlJc w:val="left"/>
      <w:lvlText w:val="●"/>
      <w:numFmt w:val="bullet"/>
      <w:start w:val="1"/>
    </w:lvl>
  </w:abstractNum>
  <w:abstractNum w:abstractNumId="48">
    <w:nsid w:val="6B47F63E"/>
    <w:multiLevelType w:val="hybridMultilevel"/>
    <w:lvl w:ilvl="0">
      <w:lvlJc w:val="left"/>
      <w:lvlText w:val="●"/>
      <w:numFmt w:val="bullet"/>
      <w:start w:val="1"/>
    </w:lvl>
  </w:abstractNum>
  <w:abstractNum w:abstractNumId="49">
    <w:nsid w:val="5CB44A05"/>
    <w:multiLevelType w:val="hybridMultilevel"/>
    <w:lvl w:ilvl="0">
      <w:lvlJc w:val="left"/>
      <w:lvlText w:val="●"/>
      <w:numFmt w:val="bullet"/>
      <w:start w:val="1"/>
    </w:lvl>
  </w:abstractNum>
  <w:abstractNum w:abstractNumId="50">
    <w:nsid w:val="16CF80F1"/>
    <w:multiLevelType w:val="hybridMultilevel"/>
    <w:lvl w:ilvl="0">
      <w:lvlJc w:val="left"/>
      <w:lvlText w:val="(%1)"/>
      <w:numFmt w:val="lowerRoman"/>
      <w:start w:val="1"/>
    </w:lvl>
  </w:abstractNum>
  <w:abstractNum w:abstractNumId="51">
    <w:nsid w:val="1C695DEC"/>
    <w:multiLevelType w:val="hybridMultilevel"/>
    <w:lvl w:ilvl="0">
      <w:lvlJc w:val="left"/>
      <w:lvlText w:val="(%1)"/>
      <w:numFmt w:val="lowerRoman"/>
      <w:start w:val="2"/>
    </w:lvl>
  </w:abstractNum>
  <w:abstractNum w:abstractNumId="52">
    <w:nsid w:val="3FCFAED9"/>
    <w:multiLevelType w:val="hybridMultilevel"/>
    <w:lvl w:ilvl="0">
      <w:lvlJc w:val="left"/>
      <w:lvlText w:val="(%1)"/>
      <w:numFmt w:val="lowerRoman"/>
      <w:start w:val="2"/>
    </w:lvl>
  </w:abstractNum>
  <w:abstractNum w:abstractNumId="53">
    <w:nsid w:val="F856867"/>
    <w:multiLevelType w:val="hybridMultilevel"/>
    <w:lvl w:ilvl="0">
      <w:lvlJc w:val="left"/>
      <w:lvlText w:val="(%1)"/>
      <w:numFmt w:val="decimal"/>
      <w:start w:val="1"/>
    </w:lvl>
  </w:abstractNum>
  <w:abstractNum w:abstractNumId="54">
    <w:nsid w:val="11B1CC33"/>
    <w:multiLevelType w:val="hybridMultilevel"/>
    <w:lvl w:ilvl="0">
      <w:lvlJc w:val="left"/>
      <w:lvlText w:val="●"/>
      <w:numFmt w:val="bullet"/>
      <w:start w:val="1"/>
    </w:lvl>
  </w:abstractNum>
  <w:abstractNum w:abstractNumId="55">
    <w:nsid w:val="2E22FBB7"/>
    <w:multiLevelType w:val="hybridMultilevel"/>
    <w:lvl w:ilvl="0">
      <w:lvlJc w:val="left"/>
      <w:lvlText w:val="●"/>
      <w:numFmt w:val="bullet"/>
      <w:start w:val="1"/>
    </w:lvl>
  </w:abstractNum>
  <w:abstractNum w:abstractNumId="56">
    <w:nsid w:val="29934699"/>
    <w:multiLevelType w:val="hybridMultilevel"/>
    <w:lvl w:ilvl="0">
      <w:lvlJc w:val="left"/>
      <w:lvlText w:val="(%1)"/>
      <w:numFmt w:val="decimal"/>
      <w:start w:val="1"/>
    </w:lvl>
  </w:abstractNum>
  <w:abstractNum w:abstractNumId="57">
    <w:nsid w:val="77485850"/>
    <w:multiLevelType w:val="hybridMultilevel"/>
    <w:lvl w:ilvl="0">
      <w:lvlJc w:val="left"/>
      <w:lvlText w:val="(%1)"/>
      <w:numFmt w:val="decimal"/>
      <w:start w:val="1"/>
    </w:lvl>
  </w:abstractNum>
  <w:abstractNum w:abstractNumId="58">
    <w:nsid w:val="744939A3"/>
    <w:multiLevelType w:val="hybridMultilevel"/>
    <w:lvl w:ilvl="0">
      <w:lvlJc w:val="left"/>
      <w:lvlText w:val="●"/>
      <w:numFmt w:val="bullet"/>
      <w:start w:val="1"/>
    </w:lvl>
  </w:abstractNum>
  <w:abstractNum w:abstractNumId="59">
    <w:nsid w:val="4FA0D2E3"/>
    <w:multiLevelType w:val="hybridMultilevel"/>
    <w:lvl w:ilvl="0">
      <w:lvlJc w:val="left"/>
      <w:lvlText w:val="●"/>
      <w:numFmt w:val="bullet"/>
      <w:start w:val="1"/>
    </w:lvl>
  </w:abstractNum>
  <w:abstractNum w:abstractNumId="60">
    <w:nsid w:val="6B1D2C14"/>
    <w:multiLevelType w:val="hybridMultilevel"/>
    <w:lvl w:ilvl="0">
      <w:lvlJc w:val="left"/>
      <w:lvlText w:val="(%1)"/>
      <w:numFmt w:val="decimal"/>
      <w:start w:val="1"/>
    </w:lvl>
  </w:abstractNum>
  <w:abstractNum w:abstractNumId="61">
    <w:nsid w:val="68B867D3"/>
    <w:multiLevelType w:val="hybridMultilevel"/>
    <w:lvl w:ilvl="0">
      <w:lvlJc w:val="left"/>
      <w:lvlText w:val="*"/>
      <w:numFmt w:val="bullet"/>
      <w:start w:val="1"/>
    </w:lvl>
  </w:abstractNum>
  <w:abstractNum w:abstractNumId="62">
    <w:nsid w:val="3F7F5DD9"/>
    <w:multiLevelType w:val="hybridMultilevel"/>
    <w:lvl w:ilvl="0">
      <w:lvlJc w:val="left"/>
      <w:lvlText w:val="●"/>
      <w:numFmt w:val="bullet"/>
      <w:start w:val="1"/>
    </w:lvl>
  </w:abstractNum>
  <w:abstractNum w:abstractNumId="63">
    <w:nsid w:val="2AE05A34"/>
    <w:multiLevelType w:val="hybridMultilevel"/>
    <w:lvl w:ilvl="0">
      <w:lvlJc w:val="left"/>
      <w:lvlText w:val="●"/>
      <w:numFmt w:val="bullet"/>
      <w:start w:val="1"/>
    </w:lvl>
  </w:abstractNum>
  <w:abstractNum w:abstractNumId="64">
    <w:nsid w:val="32794FF7"/>
    <w:multiLevelType w:val="hybridMultilevel"/>
    <w:lvl w:ilvl="0">
      <w:lvlJc w:val="left"/>
      <w:lvlText w:val="●"/>
      <w:numFmt w:val="bullet"/>
      <w:start w:val="1"/>
    </w:lvl>
  </w:abstractNum>
  <w:abstractNum w:abstractNumId="65">
    <w:nsid w:val="5454945E"/>
    <w:multiLevelType w:val="hybridMultilevel"/>
    <w:lvl w:ilvl="0">
      <w:lvlJc w:val="left"/>
      <w:lvlText w:val="●"/>
      <w:numFmt w:val="bullet"/>
      <w:start w:val="1"/>
    </w:lvl>
  </w:abstractNum>
  <w:abstractNum w:abstractNumId="66">
    <w:nsid w:val="4DEFDFA0"/>
    <w:multiLevelType w:val="hybridMultilevel"/>
    <w:lvl w:ilvl="0">
      <w:lvlJc w:val="left"/>
      <w:lvlText w:val="●"/>
      <w:numFmt w:val="bullet"/>
      <w:start w:val="1"/>
    </w:lvl>
  </w:abstractNum>
  <w:abstractNum w:abstractNumId="67">
    <w:nsid w:val="2123D5F2"/>
    <w:multiLevelType w:val="hybridMultilevel"/>
    <w:lvl w:ilvl="0">
      <w:lvlJc w:val="left"/>
      <w:lvlText w:val="●"/>
      <w:numFmt w:val="bullet"/>
      <w:start w:val="1"/>
    </w:lvl>
  </w:abstractNum>
  <w:abstractNum w:abstractNumId="68">
    <w:nsid w:val="135B8110"/>
    <w:multiLevelType w:val="hybridMultilevel"/>
    <w:lvl w:ilvl="0">
      <w:lvlJc w:val="left"/>
      <w:lvlText w:val="*"/>
      <w:numFmt w:val="bullet"/>
      <w:start w:val="1"/>
    </w:lvl>
  </w:abstractNum>
  <w:abstractNum w:abstractNumId="69">
    <w:nsid w:val="94927A8"/>
    <w:multiLevelType w:val="hybridMultilevel"/>
    <w:lvl w:ilvl="0">
      <w:lvlJc w:val="left"/>
      <w:lvlText w:val="**"/>
      <w:numFmt w:val="bullet"/>
      <w:start w:val="1"/>
    </w:lvl>
  </w:abstractNum>
  <w:abstractNum w:abstractNumId="70">
    <w:nsid w:val="DCDF8F6"/>
    <w:multiLevelType w:val="hybridMultilevel"/>
    <w:lvl w:ilvl="0">
      <w:lvlJc w:val="left"/>
      <w:lvlText w:val="†"/>
      <w:numFmt w:val="bullet"/>
      <w:start w:val="1"/>
    </w:lvl>
  </w:abstractNum>
  <w:abstractNum w:abstractNumId="71">
    <w:nsid w:val="52D7B105"/>
    <w:multiLevelType w:val="hybridMultilevel"/>
    <w:lvl w:ilvl="0">
      <w:lvlJc w:val="left"/>
      <w:lvlText w:val="(%1)"/>
      <w:numFmt w:val="decimal"/>
      <w:start w:val="1"/>
    </w:lvl>
  </w:abstractNum>
  <w:abstractNum w:abstractNumId="72">
    <w:nsid w:val="2E8A6394"/>
    <w:multiLevelType w:val="hybridMultilevel"/>
    <w:lvl w:ilvl="0">
      <w:lvlJc w:val="left"/>
      <w:lvlText w:val="(%1)"/>
      <w:numFmt w:val="decimal"/>
      <w:start w:val="2"/>
    </w:lvl>
  </w:abstractNum>
  <w:abstractNum w:abstractNumId="73">
    <w:nsid w:val="24E60401"/>
    <w:multiLevelType w:val="hybridMultilevel"/>
    <w:lvl w:ilvl="0">
      <w:lvlJc w:val="left"/>
      <w:lvlText w:val="(%1)"/>
      <w:numFmt w:val="decimal"/>
      <w:start w:val="6"/>
    </w:lvl>
  </w:abstractNum>
  <w:abstractNum w:abstractNumId="74">
    <w:nsid w:val="2A6AD9BE"/>
    <w:multiLevelType w:val="hybridMultilevel"/>
    <w:lvl w:ilvl="0">
      <w:lvlJc w:val="left"/>
      <w:lvlText w:val="(%1)"/>
      <w:numFmt w:val="decimal"/>
      <w:start w:val="8"/>
    </w:lvl>
  </w:abstractNum>
  <w:abstractNum w:abstractNumId="75">
    <w:nsid w:val="BAAC1B4"/>
    <w:multiLevelType w:val="hybridMultilevel"/>
    <w:lvl w:ilvl="0">
      <w:lvlJc w:val="left"/>
      <w:lvlText w:val="●"/>
      <w:numFmt w:val="bullet"/>
      <w:start w:val="1"/>
    </w:lvl>
  </w:abstractNum>
  <w:abstractNum w:abstractNumId="76">
    <w:nsid w:val="36B2ACBC"/>
    <w:multiLevelType w:val="hybridMultilevel"/>
    <w:lvl w:ilvl="0">
      <w:lvlJc w:val="left"/>
      <w:lvlText w:val="●"/>
      <w:numFmt w:val="bullet"/>
      <w:start w:val="1"/>
    </w:lvl>
  </w:abstractNum>
  <w:abstractNum w:abstractNumId="77">
    <w:nsid w:val="779D8544"/>
    <w:multiLevelType w:val="hybridMultilevel"/>
    <w:lvl w:ilvl="0">
      <w:lvlJc w:val="left"/>
      <w:lvlText w:val="●"/>
      <w:numFmt w:val="bullet"/>
      <w:start w:val="1"/>
    </w:lvl>
  </w:abstractNum>
  <w:abstractNum w:abstractNumId="78">
    <w:nsid w:val="4AB26E78"/>
    <w:multiLevelType w:val="hybridMultilevel"/>
    <w:lvl w:ilvl="0">
      <w:lvlJc w:val="left"/>
      <w:lvlText w:val="●"/>
      <w:numFmt w:val="bullet"/>
      <w:start w:val="1"/>
    </w:lvl>
  </w:abstractNum>
  <w:abstractNum w:abstractNumId="79">
    <w:nsid w:val="21FAA2FA"/>
    <w:multiLevelType w:val="hybridMultilevel"/>
    <w:lvl w:ilvl="0">
      <w:lvlJc w:val="left"/>
      <w:lvlText w:val="●"/>
      <w:numFmt w:val="bullet"/>
      <w:start w:val="1"/>
    </w:lvl>
  </w:abstractNum>
  <w:abstractNum w:abstractNumId="80">
    <w:nsid w:val="5451CF49"/>
    <w:multiLevelType w:val="hybridMultilevel"/>
    <w:lvl w:ilvl="0">
      <w:lvlJc w:val="left"/>
      <w:lvlText w:val="●"/>
      <w:numFmt w:val="bullet"/>
      <w:start w:val="1"/>
    </w:lvl>
  </w:abstractNum>
  <w:abstractNum w:abstractNumId="81">
    <w:nsid w:val="6181EF69"/>
    <w:multiLevelType w:val="hybridMultilevel"/>
    <w:lvl w:ilvl="0">
      <w:lvlJc w:val="left"/>
      <w:lvlText w:val="●"/>
      <w:numFmt w:val="bullet"/>
      <w:start w:val="1"/>
    </w:lvl>
  </w:abstractNum>
  <w:abstractNum w:abstractNumId="82">
    <w:nsid w:val="3E6400E6"/>
    <w:multiLevelType w:val="hybridMultilevel"/>
    <w:lvl w:ilvl="0">
      <w:lvlJc w:val="left"/>
      <w:lvlText w:val="(%1)"/>
      <w:numFmt w:val="lowerRoman"/>
      <w:start w:val="1"/>
    </w:lvl>
  </w:abstractNum>
  <w:abstractNum w:abstractNumId="83">
    <w:nsid w:val="14217E23"/>
    <w:multiLevelType w:val="hybridMultilevel"/>
    <w:lvl w:ilvl="0">
      <w:lvlJc w:val="left"/>
      <w:lvlText w:val="●"/>
      <w:numFmt w:val="bullet"/>
      <w:start w:val="1"/>
    </w:lvl>
  </w:abstractNum>
  <w:abstractNum w:abstractNumId="84">
    <w:nsid w:val="710757D0"/>
    <w:multiLevelType w:val="hybridMultilevel"/>
    <w:lvl w:ilvl="0">
      <w:lvlJc w:val="left"/>
      <w:lvlText w:val="●"/>
      <w:numFmt w:val="bullet"/>
      <w:start w:val="1"/>
    </w:lvl>
  </w:abstractNum>
  <w:abstractNum w:abstractNumId="85">
    <w:nsid w:val="5015CD1A"/>
    <w:multiLevelType w:val="hybridMultilevel"/>
    <w:lvl w:ilvl="0">
      <w:lvlJc w:val="left"/>
      <w:lvlText w:val="●"/>
      <w:numFmt w:val="bullet"/>
      <w:start w:val="1"/>
    </w:lvl>
  </w:abstractNum>
  <w:abstractNum w:abstractNumId="86">
    <w:nsid w:val="424479DA"/>
    <w:multiLevelType w:val="hybridMultilevel"/>
    <w:lvl w:ilvl="0">
      <w:lvlJc w:val="left"/>
      <w:lvlText w:val="●"/>
      <w:numFmt w:val="bullet"/>
      <w:start w:val="1"/>
    </w:lvl>
  </w:abstractNum>
  <w:abstractNum w:abstractNumId="87">
    <w:nsid w:val="1A9A9E69"/>
    <w:multiLevelType w:val="hybridMultilevel"/>
    <w:lvl w:ilvl="0">
      <w:lvlJc w:val="left"/>
      <w:lvlText w:val="●"/>
      <w:numFmt w:val="bullet"/>
      <w:start w:val="1"/>
    </w:lvl>
  </w:abstractNum>
  <w:abstractNum w:abstractNumId="88">
    <w:nsid w:val="475E256A"/>
    <w:multiLevelType w:val="hybridMultilevel"/>
    <w:lvl w:ilvl="0">
      <w:lvlJc w:val="left"/>
      <w:lvlText w:val="●"/>
      <w:numFmt w:val="bullet"/>
      <w:start w:val="1"/>
    </w:lvl>
  </w:abstractNum>
  <w:abstractNum w:abstractNumId="89">
    <w:nsid w:val="368DB37E"/>
    <w:multiLevelType w:val="hybridMultilevel"/>
    <w:lvl w:ilvl="0">
      <w:lvlJc w:val="left"/>
      <w:lvlText w:val="(%1)"/>
      <w:numFmt w:val="lowerLetter"/>
      <w:start w:val="1"/>
    </w:lvl>
  </w:abstractNum>
  <w:abstractNum w:abstractNumId="90">
    <w:nsid w:val="6A3B714C"/>
    <w:multiLevelType w:val="hybridMultilevel"/>
    <w:lvl w:ilvl="0">
      <w:lvlJc w:val="left"/>
      <w:lvlText w:val="(%1)"/>
      <w:numFmt w:val="lowerLetter"/>
      <w:start w:val="1"/>
    </w:lvl>
  </w:abstractNum>
  <w:abstractNum w:abstractNumId="91">
    <w:nsid w:val="327B517E"/>
    <w:multiLevelType w:val="hybridMultilevel"/>
    <w:lvl w:ilvl="0">
      <w:lvlJc w:val="left"/>
      <w:lvlText w:val="(%1)"/>
      <w:numFmt w:val="lowerLetter"/>
      <w:start w:val="1"/>
    </w:lvl>
  </w:abstractNum>
  <w:abstractNum w:abstractNumId="92">
    <w:nsid w:val="1F461B51"/>
    <w:multiLevelType w:val="hybridMultilevel"/>
    <w:lvl w:ilvl="0">
      <w:lvlJc w:val="left"/>
      <w:lvlText w:val="(%1)"/>
      <w:numFmt w:val="decimal"/>
      <w:start w:val="1"/>
    </w:lvl>
  </w:abstractNum>
  <w:abstractNum w:abstractNumId="93">
    <w:nsid w:val="29BACF25"/>
    <w:multiLevelType w:val="hybridMultilevel"/>
    <w:lvl w:ilvl="0">
      <w:lvlJc w:val="left"/>
      <w:lvlText w:val="%1"/>
      <w:numFmt w:val="decimal"/>
      <w:start w:val="97"/>
    </w:lvl>
  </w:abstractNum>
  <w:abstractNum w:abstractNumId="94">
    <w:nsid w:val="5D5BABB3"/>
    <w:multiLevelType w:val="hybridMultilevel"/>
    <w:lvl w:ilvl="0">
      <w:lvlJc w:val="left"/>
      <w:lvlText w:val="*"/>
      <w:numFmt w:val="bullet"/>
      <w:start w:val="1"/>
    </w:lvl>
  </w:abstractNum>
  <w:abstractNum w:abstractNumId="95">
    <w:nsid w:val="51BF6B48"/>
    <w:multiLevelType w:val="hybridMultilevel"/>
    <w:lvl w:ilvl="0">
      <w:lvlJc w:val="left"/>
      <w:lvlText w:val="%1."/>
      <w:numFmt w:val="decimal"/>
      <w:start w:val="1"/>
    </w:lvl>
    <w:lvl w:ilvl="1">
      <w:lvlJc w:val="left"/>
      <w:lvlText w:val="(%2)"/>
      <w:numFmt w:val="lowerLetter"/>
      <w:start w:val="1"/>
    </w:lvl>
  </w:abstractNum>
  <w:abstractNum w:abstractNumId="96">
    <w:nsid w:val="7E0F6384"/>
    <w:multiLevelType w:val="hybridMultilevel"/>
    <w:lvl w:ilvl="0">
      <w:lvlJc w:val="left"/>
      <w:lvlText w:val="(%1)"/>
      <w:numFmt w:val="lowerLetter"/>
      <w:start w:val="2"/>
    </w:lvl>
  </w:abstractNum>
  <w:abstractNum w:abstractNumId="97">
    <w:nsid w:val="2B4B8B53"/>
    <w:multiLevelType w:val="hybridMultilevel"/>
    <w:lvl w:ilvl="0">
      <w:lvlJc w:val="left"/>
      <w:lvlText w:val="%1."/>
      <w:numFmt w:val="decimal"/>
      <w:start w:val="2"/>
    </w:lvl>
  </w:abstractNum>
  <w:abstractNum w:abstractNumId="98">
    <w:nsid w:val="72E3413A"/>
    <w:multiLevelType w:val="hybridMultilevel"/>
    <w:lvl w:ilvl="0">
      <w:lvlJc w:val="left"/>
      <w:lvlText w:val="(%1)"/>
      <w:numFmt w:val="lowerLetter"/>
      <w:start w:val="1"/>
    </w:lvl>
  </w:abstractNum>
  <w:abstractNum w:abstractNumId="99">
    <w:nsid w:val="116AE494"/>
    <w:multiLevelType w:val="hybridMultilevel"/>
    <w:lvl w:ilvl="0">
      <w:lvlJc w:val="left"/>
      <w:lvlText w:val="(%1)"/>
      <w:numFmt w:val="lowerLetter"/>
      <w:start w:val="2"/>
    </w:lvl>
  </w:abstractNum>
  <w:abstractNum w:abstractNumId="100">
    <w:nsid w:val="3494B2FB"/>
    <w:multiLevelType w:val="hybridMultilevel"/>
    <w:lvl w:ilvl="0">
      <w:lvlJc w:val="left"/>
      <w:lvlText w:val="(%1)"/>
      <w:numFmt w:val="lowerLetter"/>
      <w:start w:val="4"/>
    </w:lvl>
  </w:abstractNum>
  <w:abstractNum w:abstractNumId="101">
    <w:nsid w:val="B13A31"/>
    <w:multiLevelType w:val="hybridMultilevel"/>
    <w:lvl w:ilvl="0">
      <w:lvlJc w:val="left"/>
      <w:lvlText w:val="●"/>
      <w:numFmt w:val="bullet"/>
      <w:start w:val="1"/>
    </w:lvl>
  </w:abstractNum>
  <w:abstractNum w:abstractNumId="102">
    <w:nsid w:val="64429599"/>
    <w:multiLevelType w:val="hybridMultilevel"/>
    <w:lvl w:ilvl="0">
      <w:lvlJc w:val="left"/>
      <w:lvlText w:val="(%1)"/>
      <w:numFmt w:val="decimal"/>
      <w:start w:val="2"/>
    </w:lvl>
  </w:abstractNum>
  <w:abstractNum w:abstractNumId="103">
    <w:nsid w:val="631F1690"/>
    <w:multiLevelType w:val="hybridMultilevel"/>
    <w:lvl w:ilvl="0">
      <w:lvlJc w:val="left"/>
      <w:lvlText w:val="(%1)"/>
      <w:numFmt w:val="lowerLetter"/>
      <w:start w:val="6"/>
    </w:lvl>
  </w:abstractNum>
  <w:abstractNum w:abstractNumId="104">
    <w:nsid w:val="25973E32"/>
    <w:multiLevelType w:val="hybridMultilevel"/>
    <w:lvl w:ilvl="0">
      <w:lvlJc w:val="left"/>
      <w:lvlText w:val="(%1)"/>
      <w:numFmt w:val="lowerLetter"/>
      <w:start w:val="7"/>
    </w:lvl>
  </w:abstractNum>
  <w:abstractNum w:abstractNumId="105">
    <w:nsid w:val="EAD6F57"/>
    <w:multiLevelType w:val="hybridMultilevel"/>
    <w:lvl w:ilvl="0">
      <w:lvlJc w:val="left"/>
      <w:lvlText w:val="(%1)"/>
      <w:numFmt w:val="lowerLetter"/>
      <w:start w:val="10"/>
    </w:lvl>
  </w:abstractNum>
  <w:abstractNum w:abstractNumId="106">
    <w:nsid w:val="6EC9D844"/>
    <w:multiLevelType w:val="hybridMultilevel"/>
    <w:lvl w:ilvl="0">
      <w:lvlJc w:val="left"/>
      <w:lvlText w:val="(%1)"/>
      <w:numFmt w:val="lowerLetter"/>
      <w:start w:val="11"/>
    </w:lvl>
  </w:abstractNum>
  <w:abstractNum w:abstractNumId="107">
    <w:nsid w:val="5C49EAEE"/>
    <w:multiLevelType w:val="hybridMultilevel"/>
    <w:lvl w:ilvl="0">
      <w:lvlJc w:val="left"/>
      <w:lvlText w:val="(%1)"/>
      <w:numFmt w:val="lowerLetter"/>
      <w:start w:val="12"/>
    </w:lvl>
  </w:abstractNum>
  <w:abstractNum w:abstractNumId="108">
    <w:nsid w:val="64AF49B"/>
    <w:multiLevelType w:val="hybridMultilevel"/>
    <w:lvl w:ilvl="0">
      <w:lvlJc w:val="left"/>
      <w:lvlText w:val="(%1)"/>
      <w:numFmt w:val="lowerLetter"/>
      <w:start w:val="13"/>
    </w:lvl>
  </w:abstractNum>
  <w:abstractNum w:abstractNumId="109">
    <w:nsid w:val="397C46BC"/>
    <w:multiLevelType w:val="hybridMultilevel"/>
    <w:lvl w:ilvl="0">
      <w:lvlJc w:val="left"/>
      <w:lvlText w:val="(%1)"/>
      <w:numFmt w:val="lowerLetter"/>
      <w:start w:val="15"/>
    </w:lvl>
  </w:abstractNum>
  <w:abstractNum w:abstractNumId="110">
    <w:nsid w:val="7E448DE9"/>
    <w:multiLevelType w:val="hybridMultilevel"/>
    <w:lvl w:ilvl="0">
      <w:lvlJc w:val="left"/>
      <w:lvlText w:val="(%1)"/>
      <w:numFmt w:val="lowerLetter"/>
      <w:start w:val="16"/>
    </w:lvl>
  </w:abstractNum>
  <w:abstractNum w:abstractNumId="111">
    <w:nsid w:val="5A9CC3E5"/>
    <w:multiLevelType w:val="hybridMultilevel"/>
    <w:lvl w:ilvl="0">
      <w:lvlJc w:val="left"/>
      <w:lvlText w:val="(%1)"/>
      <w:numFmt w:val="lowerLetter"/>
      <w:start w:val="17"/>
    </w:lvl>
  </w:abstractNum>
  <w:abstractNum w:abstractNumId="112">
    <w:nsid w:val="1AFE3625"/>
    <w:multiLevelType w:val="hybridMultilevel"/>
    <w:lvl w:ilvl="0">
      <w:lvlJc w:val="left"/>
      <w:lvlText w:val="(%1)"/>
      <w:numFmt w:val="lowerLetter"/>
      <w:start w:val="18"/>
    </w:lvl>
  </w:abstractNum>
  <w:abstractNum w:abstractNumId="113">
    <w:nsid w:val="3CA88ECF"/>
    <w:multiLevelType w:val="hybridMultilevel"/>
    <w:lvl w:ilvl="0">
      <w:lvlJc w:val="left"/>
      <w:lvlText w:val="(%1)"/>
      <w:numFmt w:val="lowerLetter"/>
      <w:start w:val="20"/>
    </w:lvl>
  </w:abstractNum>
  <w:abstractNum w:abstractNumId="114">
    <w:nsid w:val="6EBE4208"/>
    <w:multiLevelType w:val="hybridMultilevel"/>
    <w:lvl w:ilvl="0">
      <w:lvlJc w:val="left"/>
      <w:lvlText w:val="(%1)"/>
      <w:numFmt w:val="lowerLetter"/>
      <w:start w:val="23"/>
    </w:lvl>
  </w:abstractNum>
  <w:abstractNum w:abstractNumId="115">
    <w:nsid w:val="C058DF5"/>
    <w:multiLevelType w:val="hybridMultilevel"/>
    <w:lvl w:ilvl="0">
      <w:lvlJc w:val="left"/>
      <w:lvlText w:val="(%1)"/>
      <w:numFmt w:val="lowerRoman"/>
      <w:start w:val="10"/>
    </w:lvl>
  </w:abstractNum>
  <w:abstractNum w:abstractNumId="116">
    <w:nsid w:val="CBE5BE9"/>
    <w:multiLevelType w:val="hybridMultilevel"/>
    <w:lvl w:ilvl="0">
      <w:lvlJc w:val="left"/>
      <w:lvlText w:val="(%1)"/>
      <w:numFmt w:val="lowerLetter"/>
      <w:start w:val="26"/>
    </w:lvl>
  </w:abstractNum>
  <w:abstractNum w:abstractNumId="117">
    <w:nsid w:val="3102BBE2"/>
    <w:multiLevelType w:val="hybridMultilevel"/>
    <w:lvl w:ilvl="0">
      <w:lvlJc w:val="left"/>
      <w:lvlText w:val="%1."/>
      <w:numFmt w:val="decimal"/>
      <w:start w:val="3"/>
    </w:lvl>
  </w:abstractNum>
  <w:abstractNum w:abstractNumId="118">
    <w:nsid w:val="26A02C5E"/>
    <w:multiLevelType w:val="hybridMultilevel"/>
    <w:lvl w:ilvl="0">
      <w:lvlJc w:val="left"/>
      <w:lvlText w:val="(%1)"/>
      <w:numFmt w:val="lowerLetter"/>
      <w:start w:val="2"/>
    </w:lvl>
  </w:abstractNum>
  <w:abstractNum w:abstractNumId="119">
    <w:nsid w:val="541C8153"/>
    <w:multiLevelType w:val="hybridMultilevel"/>
    <w:lvl w:ilvl="0">
      <w:lvlJc w:val="left"/>
      <w:lvlText w:val="%1"/>
      <w:numFmt w:val="decimal"/>
      <w:start w:val="1"/>
    </w:lvl>
    <w:lvl w:ilvl="1">
      <w:lvlJc w:val="left"/>
      <w:lvlText w:val="(%2)"/>
      <w:numFmt w:val="decimal"/>
      <w:start w:val="1"/>
    </w:lvl>
  </w:abstractNum>
  <w:abstractNum w:abstractNumId="120">
    <w:nsid w:val="67906F60"/>
    <w:multiLevelType w:val="hybridMultilevel"/>
    <w:lvl w:ilvl="0">
      <w:lvlJc w:val="left"/>
      <w:lvlText w:val="%1."/>
      <w:numFmt w:val="decimal"/>
      <w:start w:val="5"/>
    </w:lvl>
    <w:lvl w:ilvl="1">
      <w:lvlJc w:val="left"/>
      <w:lvlText w:val="%2"/>
      <w:numFmt w:val="decimal"/>
      <w:start w:val="1"/>
    </w:lvl>
  </w:abstractNum>
  <w:abstractNum w:abstractNumId="121">
    <w:nsid w:val="10DB9DAA"/>
    <w:multiLevelType w:val="hybridMultilevel"/>
    <w:lvl w:ilvl="0">
      <w:lvlJc w:val="left"/>
      <w:lvlText w:val="%1."/>
      <w:numFmt w:val="decimal"/>
      <w:start w:val="7"/>
    </w:lvl>
  </w:abstractNum>
  <w:abstractNum w:abstractNumId="122">
    <w:nsid w:val="697D2D2"/>
    <w:multiLevelType w:val="hybridMultilevel"/>
    <w:lvl w:ilvl="0">
      <w:lvlJc w:val="left"/>
      <w:lvlText w:val="%1"/>
      <w:numFmt w:val="decimal"/>
      <w:start w:val="1"/>
    </w:lvl>
    <w:lvl w:ilvl="1">
      <w:lvlJc w:val="left"/>
      <w:lvlText w:val="(%2)"/>
      <w:numFmt w:val="decimal"/>
      <w:start w:val="1"/>
    </w:lvl>
  </w:abstractNum>
  <w:abstractNum w:abstractNumId="123">
    <w:nsid w:val="6D68AB2"/>
    <w:multiLevelType w:val="hybridMultilevel"/>
    <w:lvl w:ilvl="0">
      <w:lvlJc w:val="left"/>
      <w:lvlText w:val="%1."/>
      <w:numFmt w:val="decimal"/>
      <w:start w:val="8"/>
    </w:lvl>
    <w:lvl w:ilvl="1">
      <w:lvlJc w:val="left"/>
      <w:lvlText w:val="%2"/>
      <w:numFmt w:val="decimal"/>
      <w:start w:val="1"/>
    </w:lvl>
  </w:abstractNum>
  <w:abstractNum w:abstractNumId="124">
    <w:nsid w:val="3A966CD0"/>
    <w:multiLevelType w:val="hybridMultilevel"/>
    <w:lvl w:ilvl="0">
      <w:lvlJc w:val="left"/>
      <w:lvlText w:val="(%1)"/>
      <w:numFmt w:val="decimal"/>
      <w:start w:val="1"/>
    </w:lvl>
  </w:abstractNum>
  <w:abstractNum w:abstractNumId="125">
    <w:nsid w:val="63F37E85"/>
    <w:multiLevelType w:val="hybridMultilevel"/>
    <w:lvl w:ilvl="0">
      <w:lvlJc w:val="left"/>
      <w:lvlText w:val="(%1)"/>
      <w:numFmt w:val="decimal"/>
      <w:start w:val="3"/>
    </w:lvl>
  </w:abstractNum>
  <w:abstractNum w:abstractNumId="126">
    <w:nsid w:val="5895F5FA"/>
    <w:multiLevelType w:val="hybridMultilevel"/>
    <w:lvl w:ilvl="0">
      <w:lvlJc w:val="left"/>
      <w:lvlText w:val="%1."/>
      <w:numFmt w:val="decimal"/>
      <w:start w:val="10"/>
    </w:lvl>
  </w:abstractNum>
  <w:abstractNum w:abstractNumId="127">
    <w:nsid w:val="38A5D054"/>
    <w:multiLevelType w:val="hybridMultilevel"/>
    <w:lvl w:ilvl="0">
      <w:lvlJc w:val="left"/>
      <w:lvlText w:val="(%1)"/>
      <w:numFmt w:val="decimal"/>
      <w:start w:val="1"/>
    </w:lvl>
  </w:abstractNum>
  <w:abstractNum w:abstractNumId="128">
    <w:nsid w:val="F3F09D8"/>
    <w:multiLevelType w:val="hybridMultilevel"/>
    <w:lvl w:ilvl="0">
      <w:lvlJc w:val="left"/>
      <w:lvlText w:val="%1"/>
      <w:numFmt w:val="decimal"/>
      <w:start w:val="1"/>
    </w:lvl>
    <w:lvl w:ilvl="1">
      <w:lvlJc w:val="left"/>
      <w:lvlText w:val="(%2)"/>
      <w:numFmt w:val="decimal"/>
      <w:start w:val="1"/>
    </w:lvl>
  </w:abstractNum>
  <w:abstractNum w:abstractNumId="129">
    <w:nsid w:val="4B793735"/>
    <w:multiLevelType w:val="hybridMultilevel"/>
    <w:lvl w:ilvl="0">
      <w:lvlJc w:val="left"/>
      <w:lvlText w:val="%1."/>
      <w:numFmt w:val="decimal"/>
      <w:start w:val="14"/>
    </w:lvl>
    <w:lvl w:ilvl="1">
      <w:lvlJc w:val="left"/>
      <w:lvlText w:val="%2"/>
      <w:numFmt w:val="decimal"/>
      <w:start w:val="1"/>
    </w:lvl>
  </w:abstractNum>
  <w:abstractNum w:abstractNumId="130">
    <w:nsid w:val="4A10B4E8"/>
    <w:multiLevelType w:val="hybridMultilevel"/>
    <w:lvl w:ilvl="0">
      <w:lvlJc w:val="left"/>
      <w:lvlText w:val="%1."/>
      <w:numFmt w:val="decimal"/>
      <w:start w:val="15"/>
    </w:lvl>
  </w:abstractNum>
  <w:abstractNum w:abstractNumId="131">
    <w:nsid w:val="43D3BCD4"/>
    <w:multiLevelType w:val="hybridMultilevel"/>
    <w:lvl w:ilvl="0">
      <w:lvlJc w:val="left"/>
      <w:lvlText w:val="%1."/>
      <w:numFmt w:val="decimal"/>
      <w:start w:val="16"/>
    </w:lvl>
  </w:abstractNum>
  <w:abstractNum w:abstractNumId="132">
    <w:nsid w:val="4C2A7166"/>
    <w:multiLevelType w:val="hybridMultilevel"/>
    <w:lvl w:ilvl="0">
      <w:lvlJc w:val="left"/>
      <w:lvlText w:val="(%1)"/>
      <w:numFmt w:val="decimal"/>
      <w:start w:val="5"/>
    </w:lvl>
  </w:abstractNum>
  <w:abstractNum w:abstractNumId="133">
    <w:nsid w:val="2E534A82"/>
    <w:multiLevelType w:val="hybridMultilevel"/>
    <w:lvl w:ilvl="0">
      <w:lvlJc w:val="left"/>
      <w:lvlText w:val="(%1)"/>
      <w:numFmt w:val="decimal"/>
      <w:start w:val="1"/>
    </w:lvl>
  </w:abstractNum>
  <w:abstractNum w:abstractNumId="134">
    <w:nsid w:val="26F2D364"/>
    <w:multiLevelType w:val="hybridMultilevel"/>
    <w:lvl w:ilvl="0">
      <w:lvlJc w:val="left"/>
      <w:lvlText w:val="(%1)"/>
      <w:numFmt w:val="decimal"/>
      <w:start w:val="1"/>
    </w:lvl>
  </w:abstractNum>
  <w:abstractNum w:abstractNumId="135">
    <w:nsid w:val="71C1AF98"/>
    <w:multiLevelType w:val="hybridMultilevel"/>
    <w:lvl w:ilvl="0">
      <w:lvlJc w:val="left"/>
      <w:lvlText w:val="%1."/>
      <w:numFmt w:val="decimal"/>
      <w:start w:val="17"/>
    </w:lvl>
  </w:abstractNum>
  <w:abstractNum w:abstractNumId="136">
    <w:nsid w:val="3D00B9D9"/>
    <w:multiLevelType w:val="hybridMultilevel"/>
    <w:lvl w:ilvl="0">
      <w:lvlJc w:val="left"/>
      <w:lvlText w:val="(%1)"/>
      <w:numFmt w:val="lowerRoman"/>
      <w:start w:val="1"/>
    </w:lvl>
  </w:abstractNum>
  <w:abstractNum w:abstractNumId="137">
    <w:nsid w:val="15BCABA8"/>
    <w:multiLevelType w:val="hybridMultilevel"/>
    <w:lvl w:ilvl="0">
      <w:lvlJc w:val="left"/>
      <w:lvlText w:val="%1."/>
      <w:numFmt w:val="decimal"/>
      <w:start w:val="19"/>
    </w:lvl>
  </w:abstractNum>
  <w:abstractNum w:abstractNumId="138">
    <w:nsid w:val="4E0B9A87"/>
    <w:multiLevelType w:val="hybridMultilevel"/>
    <w:lvl w:ilvl="0">
      <w:lvlJc w:val="left"/>
      <w:lvlText w:val="%1."/>
      <w:numFmt w:val="decimal"/>
      <w:start w:val="21"/>
    </w:lvl>
  </w:abstractNum>
  <w:abstractNum w:abstractNumId="139">
    <w:nsid w:val="434BAE75"/>
    <w:multiLevelType w:val="hybridMultilevel"/>
    <w:lvl w:ilvl="0">
      <w:lvlJc w:val="left"/>
      <w:lvlText w:val="%1."/>
      <w:numFmt w:val="decimal"/>
      <w:start w:val="1"/>
    </w:lvl>
  </w:abstractNum>
  <w:abstractNum w:abstractNumId="140">
    <w:nsid w:val="4F38F265"/>
    <w:multiLevelType w:val="hybridMultilevel"/>
    <w:lvl w:ilvl="0">
      <w:lvlJc w:val="left"/>
      <w:lvlText w:val="(%1)"/>
      <w:numFmt w:val="lowerRoman"/>
      <w:start w:val="1"/>
    </w:lvl>
  </w:abstractNum>
  <w:abstractNum w:abstractNumId="141">
    <w:nsid w:val="4C502870"/>
    <w:multiLevelType w:val="hybridMultilevel"/>
    <w:lvl w:ilvl="0">
      <w:lvlJc w:val="left"/>
      <w:lvlText w:val="%1."/>
      <w:numFmt w:val="decimal"/>
      <w:start w:val="2"/>
    </w:lvl>
  </w:abstractNum>
  <w:abstractNum w:abstractNumId="142">
    <w:nsid w:val="1DE8725A"/>
    <w:multiLevelType w:val="hybridMultilevel"/>
    <w:lvl w:ilvl="0">
      <w:lvlJc w:val="left"/>
      <w:lvlText w:val="%1"/>
      <w:numFmt w:val="decimal"/>
      <w:start w:val="1"/>
    </w:lvl>
    <w:lvl w:ilvl="1">
      <w:lvlJc w:val="left"/>
      <w:lvlText w:val="(%2)"/>
      <w:numFmt w:val="lowerRoman"/>
      <w:start w:val="1"/>
    </w:lvl>
  </w:abstractNum>
  <w:abstractNum w:abstractNumId="143">
    <w:nsid w:val="6A37288A"/>
    <w:multiLevelType w:val="hybridMultilevel"/>
    <w:lvl w:ilvl="0">
      <w:lvlJc w:val="left"/>
      <w:lvlText w:val="%1."/>
      <w:numFmt w:val="decimal"/>
      <w:start w:val="3"/>
    </w:lvl>
    <w:lvl w:ilvl="1">
      <w:lvlJc w:val="left"/>
      <w:lvlText w:val="%2"/>
      <w:numFmt w:val="lowerRoman"/>
      <w:start w:val="1"/>
    </w:lvl>
  </w:abstractNum>
  <w:abstractNum w:abstractNumId="144">
    <w:nsid w:val="8F8B73F"/>
    <w:multiLevelType w:val="hybridMultilevel"/>
    <w:lvl w:ilvl="0">
      <w:lvlJc w:val="left"/>
      <w:lvlText w:val="%1."/>
      <w:numFmt w:val="decimal"/>
      <w:start w:val="4"/>
    </w:lvl>
  </w:abstractNum>
  <w:abstractNum w:abstractNumId="145">
    <w:nsid w:val="CA6B462"/>
    <w:multiLevelType w:val="hybridMultilevel"/>
    <w:lvl w:ilvl="0">
      <w:lvlJc w:val="left"/>
      <w:lvlText w:val="%1."/>
      <w:numFmt w:val="decimal"/>
      <w:start w:val="5"/>
    </w:lvl>
  </w:abstractNum>
  <w:abstractNum w:abstractNumId="146">
    <w:nsid w:val="763CB680"/>
    <w:multiLevelType w:val="hybridMultilevel"/>
    <w:lvl w:ilvl="0">
      <w:lvlJc w:val="left"/>
      <w:lvlText w:val="(%1)"/>
      <w:numFmt w:val="lowerRoman"/>
      <w:start w:val="1"/>
    </w:lvl>
  </w:abstractNum>
  <w:abstractNum w:abstractNumId="147">
    <w:nsid w:val="15B71329"/>
    <w:multiLevelType w:val="hybridMultilevel"/>
    <w:lvl w:ilvl="0">
      <w:lvlJc w:val="left"/>
      <w:lvlText w:val="(%1)"/>
      <w:numFmt w:val="lowerRoman"/>
      <w:start w:val="5"/>
    </w:lvl>
  </w:abstractNum>
  <w:abstractNum w:abstractNumId="148">
    <w:nsid w:val="3DA97044"/>
    <w:multiLevelType w:val="hybridMultilevel"/>
    <w:lvl w:ilvl="0">
      <w:lvlJc w:val="left"/>
      <w:lvlText w:val="%1."/>
      <w:numFmt w:val="decimal"/>
      <w:start w:val="6"/>
    </w:lvl>
  </w:abstractNum>
  <w:abstractNum w:abstractNumId="149">
    <w:nsid w:val="1CDCE2DE"/>
    <w:multiLevelType w:val="hybridMultilevel"/>
    <w:lvl w:ilvl="0">
      <w:lvlJc w:val="left"/>
      <w:lvlText w:val="(%1)"/>
      <w:numFmt w:val="lowerRoman"/>
      <w:start w:val="1"/>
    </w:lvl>
  </w:abstractNum>
  <w:abstractNum w:abstractNumId="150">
    <w:nsid w:val="69D3947C"/>
    <w:multiLevelType w:val="hybridMultilevel"/>
    <w:lvl w:ilvl="0">
      <w:lvlJc w:val="left"/>
      <w:lvlText w:val="(%1)"/>
      <w:numFmt w:val="lowerRoman"/>
      <w:start w:val="1"/>
    </w:lvl>
  </w:abstractNum>
  <w:abstractNum w:abstractNumId="151">
    <w:nsid w:val="2539DFA5"/>
    <w:multiLevelType w:val="hybridMultilevel"/>
    <w:lvl w:ilvl="0">
      <w:lvlJc w:val="left"/>
      <w:lvlText w:val="(%1)"/>
      <w:numFmt w:val="lowerRoman"/>
      <w:start w:val="1"/>
    </w:lvl>
  </w:abstractNum>
  <w:abstractNum w:abstractNumId="152">
    <w:nsid w:val="2DB88089"/>
    <w:multiLevelType w:val="hybridMultilevel"/>
    <w:lvl w:ilvl="0">
      <w:lvlJc w:val="left"/>
      <w:lvlText w:val="(%1)"/>
      <w:numFmt w:val="lowerRoman"/>
      <w:start w:val="5"/>
    </w:lvl>
  </w:abstractNum>
  <w:abstractNum w:abstractNumId="153">
    <w:nsid w:val="706B674E"/>
    <w:multiLevelType w:val="hybridMultilevel"/>
    <w:lvl w:ilvl="0">
      <w:lvlJc w:val="left"/>
      <w:lvlText w:val="%1."/>
      <w:numFmt w:val="decimal"/>
      <w:start w:val="7"/>
    </w:lvl>
  </w:abstractNum>
  <w:abstractNum w:abstractNumId="154">
    <w:nsid w:val="2C106A57"/>
    <w:multiLevelType w:val="hybridMultilevel"/>
    <w:lvl w:ilvl="0">
      <w:lvlJc w:val="left"/>
      <w:lvlText w:val="(%1)"/>
      <w:numFmt w:val="lowerRoman"/>
      <w:start w:val="1"/>
    </w:lvl>
    <w:lvl w:ilvl="1">
      <w:lvlJc w:val="left"/>
      <w:lvlText w:val="(%2)"/>
      <w:numFmt w:val="lowerLetter"/>
      <w:start w:val="1"/>
    </w:lvl>
  </w:abstractNum>
  <w:abstractNum w:abstractNumId="155">
    <w:nsid w:val="684EED59"/>
    <w:multiLevelType w:val="hybridMultilevel"/>
    <w:lvl w:ilvl="0">
      <w:lvlJc w:val="left"/>
      <w:lvlText w:val="(%1)"/>
      <w:numFmt w:val="lowerRoman"/>
      <w:start w:val="1"/>
    </w:lvl>
  </w:abstractNum>
  <w:abstractNum w:abstractNumId="156">
    <w:nsid w:val="545EE5D3"/>
    <w:multiLevelType w:val="hybridMultilevel"/>
    <w:lvl w:ilvl="0">
      <w:lvlJc w:val="left"/>
      <w:lvlText w:val="%1."/>
      <w:numFmt w:val="decimal"/>
      <w:start w:val="8"/>
    </w:lvl>
  </w:abstractNum>
  <w:abstractNum w:abstractNumId="157">
    <w:nsid w:val="4A66051"/>
    <w:multiLevelType w:val="hybridMultilevel"/>
    <w:lvl w:ilvl="0">
      <w:lvlJc w:val="left"/>
      <w:lvlText w:val="(%1)"/>
      <w:numFmt w:val="lowerRoman"/>
      <w:start w:val="1"/>
    </w:lvl>
  </w:abstractNum>
  <w:abstractNum w:abstractNumId="158">
    <w:nsid w:val="20F4BDAD"/>
    <w:multiLevelType w:val="hybridMultilevel"/>
    <w:lvl w:ilvl="0">
      <w:lvlJc w:val="left"/>
      <w:lvlText w:val="(%1)"/>
      <w:numFmt w:val="lowerRoman"/>
      <w:start w:val="1"/>
    </w:lvl>
  </w:abstractNum>
  <w:abstractNum w:abstractNumId="159">
    <w:nsid w:val="639DEFAC"/>
    <w:multiLevelType w:val="hybridMultilevel"/>
    <w:lvl w:ilvl="0">
      <w:lvlJc w:val="left"/>
      <w:lvlText w:val="%1"/>
      <w:numFmt w:val="decimal"/>
      <w:start w:val="1"/>
    </w:lvl>
    <w:lvl w:ilvl="1">
      <w:lvlJc w:val="left"/>
      <w:lvlText w:val="(%2)"/>
      <w:numFmt w:val="lowerRoman"/>
      <w:start w:val="2"/>
    </w:lvl>
  </w:abstractNum>
  <w:abstractNum w:abstractNumId="160">
    <w:nsid w:val="501F9786"/>
    <w:multiLevelType w:val="hybridMultilevel"/>
    <w:lvl w:ilvl="0">
      <w:lvlJc w:val="left"/>
      <w:lvlText w:val="%1."/>
      <w:numFmt w:val="decimal"/>
      <w:start w:val="9"/>
    </w:lvl>
    <w:lvl w:ilvl="1">
      <w:lvlJc w:val="left"/>
      <w:lvlText w:val="%2"/>
      <w:numFmt w:val="lowerRoman"/>
      <w:start w:val="1"/>
    </w:lvl>
  </w:abstractNum>
  <w:abstractNum w:abstractNumId="161">
    <w:nsid w:val="6B057295"/>
    <w:multiLevelType w:val="hybridMultilevel"/>
    <w:lvl w:ilvl="0">
      <w:lvlJc w:val="left"/>
      <w:lvlText w:val="%1."/>
      <w:numFmt w:val="decimal"/>
      <w:start w:val="10"/>
    </w:lvl>
  </w:abstractNum>
  <w:abstractNum w:abstractNumId="162">
    <w:nsid w:val="2771AC80"/>
    <w:multiLevelType w:val="hybridMultilevel"/>
    <w:lvl w:ilvl="0">
      <w:lvlJc w:val="left"/>
      <w:lvlText w:val="(%1)"/>
      <w:numFmt w:val="lowerRoman"/>
      <w:start w:val="1"/>
    </w:lvl>
  </w:abstractNum>
  <w:abstractNum w:abstractNumId="163">
    <w:nsid w:val="1C4A08EC"/>
    <w:multiLevelType w:val="hybridMultilevel"/>
    <w:lvl w:ilvl="0">
      <w:lvlJc w:val="left"/>
      <w:lvlText w:val="(%1)"/>
      <w:numFmt w:val="lowerRoman"/>
      <w:start w:val="1"/>
    </w:lvl>
  </w:abstractNum>
  <w:abstractNum w:abstractNumId="164">
    <w:nsid w:val="1958BD17"/>
    <w:multiLevelType w:val="hybridMultilevel"/>
    <w:lvl w:ilvl="0">
      <w:lvlJc w:val="left"/>
      <w:lvlText w:val="(%1)"/>
      <w:numFmt w:val="lowerRoman"/>
      <w:start w:val="1"/>
    </w:lvl>
  </w:abstractNum>
  <w:abstractNum w:abstractNumId="165">
    <w:nsid w:val="4E647FE4"/>
    <w:multiLevelType w:val="hybridMultilevel"/>
    <w:lvl w:ilvl="0">
      <w:lvlJc w:val="left"/>
      <w:lvlText w:val="(%1)"/>
      <w:numFmt w:val="lowerRoman"/>
      <w:start w:val="1"/>
    </w:lvl>
  </w:abstractNum>
  <w:abstractNum w:abstractNumId="166">
    <w:nsid w:val="E0BB885"/>
    <w:multiLevelType w:val="hybridMultilevel"/>
    <w:lvl w:ilvl="0">
      <w:lvlJc w:val="left"/>
      <w:lvlText w:val="(%1)"/>
      <w:numFmt w:val="lowerRoman"/>
      <w:start w:val="1"/>
    </w:lvl>
  </w:abstractNum>
  <w:abstractNum w:abstractNumId="167">
    <w:nsid w:val="565976F1"/>
    <w:multiLevelType w:val="hybridMultilevel"/>
    <w:lvl w:ilvl="0">
      <w:lvlJc w:val="left"/>
      <w:lvlText w:val="(%1)"/>
      <w:numFmt w:val="lowerRoman"/>
      <w:start w:val="2"/>
    </w:lvl>
  </w:abstractNum>
  <w:abstractNum w:abstractNumId="168">
    <w:nsid w:val="64212B8C"/>
    <w:multiLevelType w:val="hybridMultilevel"/>
    <w:lvl w:ilvl="0">
      <w:lvlJc w:val="left"/>
      <w:lvlText w:val="(%1)"/>
      <w:numFmt w:val="lowerRoman"/>
      <w:start w:val="1"/>
    </w:lvl>
  </w:abstractNum>
  <w:abstractNum w:abstractNumId="169">
    <w:nsid w:val="5C17530C"/>
    <w:multiLevelType w:val="hybridMultilevel"/>
    <w:lvl w:ilvl="0">
      <w:lvlJc w:val="left"/>
      <w:lvlText w:val="%1."/>
      <w:numFmt w:val="decimal"/>
      <w:start w:val="11"/>
    </w:lvl>
  </w:abstractNum>
  <w:abstractNum w:abstractNumId="170">
    <w:nsid w:val="19A52566"/>
    <w:multiLevelType w:val="hybridMultilevel"/>
    <w:lvl w:ilvl="0">
      <w:lvlJc w:val="left"/>
      <w:lvlText w:val="(%1)"/>
      <w:numFmt w:val="lowerRoman"/>
      <w:start w:val="1"/>
    </w:lvl>
  </w:abstractNum>
  <w:abstractNum w:abstractNumId="171">
    <w:nsid w:val="335A1DF1"/>
    <w:multiLevelType w:val="hybridMultilevel"/>
    <w:lvl w:ilvl="0">
      <w:lvlJc w:val="left"/>
      <w:lvlText w:val="(%1)"/>
      <w:numFmt w:val="lowerRoman"/>
      <w:start w:val="1"/>
    </w:lvl>
  </w:abstractNum>
  <w:abstractNum w:abstractNumId="172">
    <w:nsid w:val="28677B7C"/>
    <w:multiLevelType w:val="hybridMultilevel"/>
    <w:lvl w:ilvl="0">
      <w:lvlJc w:val="left"/>
      <w:lvlText w:val="(%1)"/>
      <w:numFmt w:val="lowerRoman"/>
      <w:start w:val="3"/>
    </w:lvl>
  </w:abstractNum>
  <w:abstractNum w:abstractNumId="173">
    <w:nsid w:val="378D97C0"/>
    <w:multiLevelType w:val="hybridMultilevel"/>
    <w:lvl w:ilvl="0">
      <w:lvlJc w:val="left"/>
      <w:lvlText w:val="%1."/>
      <w:numFmt w:val="decimal"/>
      <w:start w:val="12"/>
    </w:lvl>
  </w:abstractNum>
  <w:abstractNum w:abstractNumId="174">
    <w:nsid w:val="1D91467C"/>
    <w:multiLevelType w:val="hybridMultilevel"/>
    <w:lvl w:ilvl="0">
      <w:lvlJc w:val="left"/>
      <w:lvlText w:val="%1."/>
      <w:numFmt w:val="decimal"/>
      <w:start w:val="13"/>
    </w:lvl>
  </w:abstractNum>
  <w:abstractNum w:abstractNumId="175">
    <w:nsid w:val="316032BB"/>
    <w:multiLevelType w:val="hybridMultilevel"/>
    <w:lvl w:ilvl="0">
      <w:lvlJc w:val="left"/>
      <w:lvlText w:val="(%1)"/>
      <w:numFmt w:val="lowerRoman"/>
      <w:start w:val="1"/>
    </w:lvl>
  </w:abstractNum>
  <w:abstractNum w:abstractNumId="176">
    <w:nsid w:val="44344C22"/>
    <w:multiLevelType w:val="hybridMultilevel"/>
    <w:lvl w:ilvl="0">
      <w:lvlJc w:val="left"/>
      <w:lvlText w:val="%1."/>
      <w:numFmt w:val="decimal"/>
      <w:start w:val="14"/>
    </w:lvl>
  </w:abstractNum>
  <w:abstractNum w:abstractNumId="177">
    <w:nsid w:val="13CDFCFC"/>
    <w:multiLevelType w:val="hybridMultilevel"/>
    <w:lvl w:ilvl="0">
      <w:lvlJc w:val="left"/>
      <w:lvlText w:val="(%1)"/>
      <w:numFmt w:val="lowerRoman"/>
      <w:start w:val="1"/>
    </w:lvl>
  </w:abstractNum>
  <w:abstractNum w:abstractNumId="178">
    <w:nsid w:val="471745E4"/>
    <w:multiLevelType w:val="hybridMultilevel"/>
    <w:lvl w:ilvl="0">
      <w:lvlJc w:val="left"/>
      <w:lvlText w:val="(%1)"/>
      <w:numFmt w:val="lowerRoman"/>
      <w:start w:val="1"/>
    </w:lvl>
  </w:abstractNum>
  <w:abstractNum w:abstractNumId="179">
    <w:nsid w:val="1DDBC66"/>
    <w:multiLevelType w:val="hybridMultilevel"/>
    <w:lvl w:ilvl="0">
      <w:lvlJc w:val="left"/>
      <w:lvlText w:val="%1."/>
      <w:numFmt w:val="decimal"/>
      <w:start w:val="15"/>
    </w:lvl>
  </w:abstractNum>
  <w:abstractNum w:abstractNumId="180">
    <w:nsid w:val="30AADFDA"/>
    <w:multiLevelType w:val="hybridMultilevel"/>
    <w:lvl w:ilvl="0">
      <w:lvlJc w:val="left"/>
      <w:lvlText w:val="(%1)"/>
      <w:numFmt w:val="lowerRoman"/>
      <w:start w:val="1"/>
    </w:lvl>
  </w:abstractNum>
  <w:abstractNum w:abstractNumId="181">
    <w:nsid w:val="30EADA61"/>
    <w:multiLevelType w:val="hybridMultilevel"/>
    <w:lvl w:ilvl="0">
      <w:lvlJc w:val="left"/>
      <w:lvlText w:val="(%1)"/>
      <w:numFmt w:val="lowerRoman"/>
      <w:start w:val="1"/>
    </w:lvl>
  </w:abstractNum>
  <w:abstractNum w:abstractNumId="182">
    <w:nsid w:val="27179C0B"/>
    <w:multiLevelType w:val="hybridMultilevel"/>
    <w:lvl w:ilvl="0">
      <w:lvlJc w:val="left"/>
      <w:lvlText w:val="%1."/>
      <w:numFmt w:val="decimal"/>
      <w:start w:val="16"/>
    </w:lvl>
  </w:abstractNum>
  <w:abstractNum w:abstractNumId="183">
    <w:nsid w:val="5E636063"/>
    <w:multiLevelType w:val="hybridMultilevel"/>
    <w:lvl w:ilvl="0">
      <w:lvlJc w:val="left"/>
      <w:lvlText w:val="(%1)"/>
      <w:numFmt w:val="lowerRoman"/>
      <w:start w:val="1"/>
    </w:lvl>
  </w:abstractNum>
  <w:abstractNum w:abstractNumId="184">
    <w:nsid w:val="215641AF"/>
    <w:multiLevelType w:val="hybridMultilevel"/>
    <w:lvl w:ilvl="0">
      <w:lvlJc w:val="left"/>
      <w:lvlText w:val="%1"/>
      <w:numFmt w:val="decimal"/>
      <w:start w:val="1"/>
    </w:lvl>
    <w:lvl w:ilvl="1">
      <w:lvlJc w:val="left"/>
      <w:lvlText w:val="(%2)"/>
      <w:numFmt w:val="lowerRoman"/>
      <w:start w:val="1"/>
    </w:lvl>
  </w:abstractNum>
  <w:abstractNum w:abstractNumId="185">
    <w:nsid w:val="53280662"/>
    <w:multiLevelType w:val="hybridMultilevel"/>
    <w:lvl w:ilvl="0">
      <w:lvlJc w:val="left"/>
      <w:lvlText w:val="%1."/>
      <w:numFmt w:val="decimal"/>
      <w:start w:val="17"/>
    </w:lvl>
    <w:lvl w:ilvl="1">
      <w:lvlJc w:val="left"/>
      <w:lvlText w:val="%2"/>
      <w:numFmt w:val="lowerRoman"/>
      <w:start w:val="1"/>
    </w:lvl>
  </w:abstractNum>
  <w:abstractNum w:abstractNumId="186">
    <w:nsid w:val="46B24DBC"/>
    <w:multiLevelType w:val="hybridMultilevel"/>
    <w:lvl w:ilvl="0">
      <w:lvlJc w:val="left"/>
      <w:lvlText w:val="%1."/>
      <w:numFmt w:val="decimal"/>
      <w:start w:val="18"/>
    </w:lvl>
  </w:abstractNum>
  <w:abstractNum w:abstractNumId="187">
    <w:nsid w:val="75B52783"/>
    <w:multiLevelType w:val="hybridMultilevel"/>
    <w:lvl w:ilvl="0">
      <w:lvlJc w:val="left"/>
      <w:lvlText w:val="(%1)"/>
      <w:numFmt w:val="lowerRoman"/>
      <w:start w:val="1"/>
    </w:lvl>
  </w:abstractNum>
  <w:abstractNum w:abstractNumId="188">
    <w:nsid w:val="57CE66B4"/>
    <w:multiLevelType w:val="hybridMultilevel"/>
    <w:lvl w:ilvl="0">
      <w:lvlJc w:val="left"/>
      <w:lvlText w:val="%1."/>
      <w:numFmt w:val="decimal"/>
      <w:start w:val="19"/>
    </w:lvl>
  </w:abstractNum>
  <w:abstractNum w:abstractNumId="189">
    <w:nsid w:val="67A70B69"/>
    <w:multiLevelType w:val="hybridMultilevel"/>
    <w:lvl w:ilvl="0">
      <w:lvlJc w:val="left"/>
      <w:lvlText w:val="(%1)"/>
      <w:numFmt w:val="lowerRoman"/>
      <w:start w:val="1"/>
    </w:lvl>
  </w:abstractNum>
  <w:abstractNum w:abstractNumId="190">
    <w:nsid w:val="5953172F"/>
    <w:multiLevelType w:val="hybridMultilevel"/>
    <w:lvl w:ilvl="0">
      <w:lvlJc w:val="left"/>
      <w:lvlText w:val="%1."/>
      <w:numFmt w:val="decimal"/>
      <w:start w:val="20"/>
    </w:lvl>
  </w:abstractNum>
  <w:abstractNum w:abstractNumId="191">
    <w:nsid w:val="27EDFE3A"/>
    <w:multiLevelType w:val="hybridMultilevel"/>
    <w:lvl w:ilvl="0">
      <w:lvlJc w:val="left"/>
      <w:lvlText w:val="(%1)"/>
      <w:numFmt w:val="lowerLetter"/>
      <w:start w:val="1"/>
    </w:lvl>
  </w:abstractNum>
  <w:abstractNum w:abstractNumId="192">
    <w:nsid w:val="52AC7DFF"/>
    <w:multiLevelType w:val="hybridMultilevel"/>
    <w:lvl w:ilvl="0">
      <w:lvlJc w:val="left"/>
      <w:lvlText w:val="%1."/>
      <w:numFmt w:val="decimal"/>
      <w:start w:val="21"/>
    </w:lvl>
  </w:abstractNum>
  <w:abstractNum w:abstractNumId="193">
    <w:nsid w:val="C4C3AF"/>
    <w:multiLevelType w:val="hybridMultilevel"/>
    <w:lvl w:ilvl="0">
      <w:lvlJc w:val="left"/>
      <w:lvlText w:val="·"/>
      <w:numFmt w:val="bullet"/>
      <w:start w:val="1"/>
    </w:lvl>
  </w:abstractNum>
  <w:abstractNum w:abstractNumId="194">
    <w:nsid w:val="44380727"/>
    <w:multiLevelType w:val="hybridMultilevel"/>
    <w:lvl w:ilvl="0">
      <w:lvlJc w:val="left"/>
      <w:lvlText w:val="%1."/>
      <w:numFmt w:val="upperLetter"/>
      <w:start w:val="9"/>
    </w:lvl>
    <w:lvl w:ilvl="1">
      <w:lvlJc w:val="left"/>
      <w:lvlText w:val="%2"/>
      <w:numFmt w:val="upperLetter"/>
      <w:start w:val="1"/>
    </w:lvl>
  </w:abstractNum>
  <w:abstractNum w:abstractNumId="195">
    <w:nsid w:val="6C053B16"/>
    <w:multiLevelType w:val="hybridMultilevel"/>
    <w:lvl w:ilvl="0">
      <w:lvlJc w:val="left"/>
      <w:lvlText w:val="%1."/>
      <w:numFmt w:val="upperLetter"/>
      <w:start w:val="2"/>
    </w:lvl>
  </w:abstractNum>
  <w:abstractNum w:abstractNumId="196">
    <w:nsid w:val="4F294393"/>
    <w:multiLevelType w:val="hybridMultilevel"/>
    <w:lvl w:ilvl="0">
      <w:lvlJc w:val="left"/>
      <w:lvlText w:val="%1."/>
      <w:numFmt w:val="decimal"/>
      <w:start w:val="1"/>
    </w:lvl>
  </w:abstractNum>
  <w:abstractNum w:abstractNumId="197">
    <w:nsid w:val="5243BFAC"/>
    <w:multiLevelType w:val="hybridMultilevel"/>
    <w:lvl w:ilvl="0">
      <w:lvlJc w:val="left"/>
      <w:lvlText w:val="%1."/>
      <w:numFmt w:val="decimal"/>
      <w:start w:val="2"/>
    </w:lvl>
  </w:abstractNum>
  <w:abstractNum w:abstractNumId="198">
    <w:nsid w:val="425EB207"/>
    <w:multiLevelType w:val="hybridMultilevel"/>
    <w:lvl w:ilvl="0">
      <w:lvlJc w:val="left"/>
      <w:lvlText w:val="%1."/>
      <w:numFmt w:val="upperLetter"/>
      <w:start w:val="3"/>
    </w:lvl>
  </w:abstractNum>
  <w:abstractNum w:abstractNumId="199">
    <w:nsid w:val="334A6F1F"/>
    <w:multiLevelType w:val="hybridMultilevel"/>
    <w:lvl w:ilvl="0">
      <w:lvlJc w:val="left"/>
      <w:lvlText w:val="(%1)"/>
      <w:numFmt w:val="lowerLetter"/>
      <w:start w:val="1"/>
    </w:lvl>
  </w:abstractNum>
  <w:abstractNum w:abstractNumId="200">
    <w:nsid w:val="2E5B12B8"/>
    <w:multiLevelType w:val="hybridMultilevel"/>
    <w:lvl w:ilvl="0">
      <w:lvlJc w:val="left"/>
      <w:lvlText w:val="(%1)"/>
      <w:numFmt w:val="lowerLetter"/>
      <w:start w:val="1"/>
    </w:lvl>
  </w:abstractNum>
  <w:abstractNum w:abstractNumId="201">
    <w:nsid w:val="5C03D76D"/>
    <w:multiLevelType w:val="hybridMultilevel"/>
    <w:lvl w:ilvl="0">
      <w:lvlJc w:val="left"/>
      <w:lvlText w:val="%1."/>
      <w:numFmt w:val="decimal"/>
      <w:start w:val="1"/>
    </w:lvl>
  </w:abstractNum>
  <w:abstractNum w:abstractNumId="202">
    <w:nsid w:val="66A48D11"/>
    <w:multiLevelType w:val="hybridMultilevel"/>
    <w:lvl w:ilvl="0">
      <w:lvlJc w:val="left"/>
      <w:lvlText w:val="%1."/>
      <w:numFmt w:val="decimal"/>
      <w:start w:val="4"/>
    </w:lvl>
  </w:abstractNum>
  <w:abstractNum w:abstractNumId="203">
    <w:nsid w:val="56C28E34"/>
    <w:multiLevelType w:val="hybridMultilevel"/>
    <w:lvl w:ilvl="0">
      <w:lvlJc w:val="left"/>
      <w:lvlText w:val="%1."/>
      <w:numFmt w:val="upperLetter"/>
      <w:start w:val="5"/>
    </w:lvl>
  </w:abstractNum>
  <w:abstractNum w:abstractNumId="204">
    <w:nsid w:val="13916F2D"/>
    <w:multiLevelType w:val="hybridMultilevel"/>
    <w:lvl w:ilvl="0">
      <w:lvlJc w:val="left"/>
      <w:lvlText w:val="%1."/>
      <w:numFmt w:val="upperLetter"/>
      <w:start w:val="6"/>
    </w:lvl>
  </w:abstractNum>
  <w:abstractNum w:abstractNumId="205">
    <w:nsid w:val="435D38D"/>
    <w:multiLevelType w:val="hybridMultilevel"/>
    <w:lvl w:ilvl="0">
      <w:lvlJc w:val="left"/>
      <w:lvlText w:val="%1."/>
      <w:numFmt w:val="upperLetter"/>
      <w:start w:val="7"/>
    </w:lvl>
  </w:abstractNum>
  <w:abstractNum w:abstractNumId="206">
    <w:nsid w:val="822C0EF"/>
    <w:multiLevelType w:val="hybridMultilevel"/>
    <w:lvl w:ilvl="0">
      <w:lvlJc w:val="left"/>
      <w:lvlText w:val="%1."/>
      <w:numFmt w:val="upperLetter"/>
      <w:start w:val="8"/>
    </w:lvl>
  </w:abstractNum>
  <w:abstractNum w:abstractNumId="207">
    <w:nsid w:val="57C5BB4F"/>
    <w:multiLevelType w:val="hybridMultilevel"/>
    <w:lvl w:ilvl="0">
      <w:lvlJc w:val="left"/>
      <w:lvlText w:val="%1."/>
      <w:numFmt w:val="upperLetter"/>
      <w:start w:val="9"/>
    </w:lvl>
  </w:abstractNum>
  <w:abstractNum w:abstractNumId="208">
    <w:nsid w:val="1803D089"/>
    <w:multiLevelType w:val="hybridMultilevel"/>
    <w:lvl w:ilvl="0">
      <w:lvlJc w:val="left"/>
      <w:lvlText w:val="%1"/>
      <w:numFmt w:val="upperLetter"/>
      <w:start w:val="1"/>
    </w:lvl>
    <w:lvl w:ilvl="1">
      <w:lvlJc w:val="left"/>
      <w:lvlText w:val="%2."/>
      <w:numFmt w:val="decimal"/>
      <w:start w:val="1"/>
    </w:lvl>
  </w:abstractNum>
  <w:abstractNum w:abstractNumId="209">
    <w:nsid w:val="4F3A06D4"/>
    <w:multiLevelType w:val="hybridMultilevel"/>
    <w:lvl w:ilvl="0">
      <w:lvlJc w:val="left"/>
      <w:lvlText w:val="%1."/>
      <w:numFmt w:val="upperLetter"/>
      <w:start w:val="10"/>
    </w:lvl>
    <w:lvl w:ilvl="1">
      <w:lvlJc w:val="left"/>
      <w:lvlText w:val="%2"/>
      <w:numFmt w:val="decimal"/>
      <w:start w:val="1"/>
    </w:lvl>
  </w:abstractNum>
  <w:abstractNum w:abstractNumId="210">
    <w:nsid w:val="59A377B6"/>
    <w:multiLevelType w:val="hybridMultilevel"/>
    <w:lvl w:ilvl="0">
      <w:lvlJc w:val="left"/>
      <w:lvlText w:val="%1."/>
      <w:numFmt w:val="decimal"/>
      <w:start w:val="1"/>
    </w:lvl>
  </w:abstractNum>
  <w:abstractNum w:abstractNumId="211">
    <w:nsid w:val="48AEB063"/>
    <w:multiLevelType w:val="hybridMultilevel"/>
    <w:lvl w:ilvl="0">
      <w:lvlJc w:val="left"/>
      <w:lvlText w:val="·"/>
      <w:numFmt w:val="bullet"/>
      <w:start w:val="1"/>
    </w:lvl>
  </w:abstractNum>
  <w:abstractNum w:abstractNumId="212">
    <w:nsid w:val="24E135"/>
    <w:multiLevelType w:val="hybridMultilevel"/>
    <w:lvl w:ilvl="0">
      <w:lvlJc w:val="left"/>
      <w:lvlText w:val="%1."/>
      <w:numFmt w:val="decimal"/>
      <w:start w:val="2"/>
    </w:lvl>
  </w:abstractNum>
  <w:abstractNum w:abstractNumId="213">
    <w:nsid w:val="BB13C1"/>
    <w:multiLevelType w:val="hybridMultilevel"/>
    <w:lvl w:ilvl="0">
      <w:lvlJc w:val="left"/>
      <w:lvlText w:val="%1."/>
      <w:numFmt w:val="upperLetter"/>
      <w:start w:val="11"/>
    </w:lvl>
  </w:abstractNum>
  <w:abstractNum w:abstractNumId="214">
    <w:nsid w:val="271210C7"/>
    <w:multiLevelType w:val="hybridMultilevel"/>
    <w:lvl w:ilvl="0">
      <w:lvlJc w:val="left"/>
      <w:lvlText w:val="%1."/>
      <w:numFmt w:val="decimal"/>
      <w:start w:val="1"/>
    </w:lvl>
  </w:abstractNum>
  <w:abstractNum w:abstractNumId="215">
    <w:nsid w:val="217B22E4"/>
    <w:multiLevelType w:val="hybridMultilevel"/>
    <w:lvl w:ilvl="0">
      <w:lvlJc w:val="left"/>
      <w:lvlText w:val="%1."/>
      <w:numFmt w:val="decimal"/>
      <w:start w:val="2"/>
    </w:lvl>
  </w:abstractNum>
  <w:abstractNum w:abstractNumId="216">
    <w:nsid w:val="53E31A24"/>
    <w:multiLevelType w:val="hybridMultilevel"/>
    <w:lvl w:ilvl="0">
      <w:lvlJc w:val="left"/>
      <w:lvlText w:val="(%1)"/>
      <w:numFmt w:val="lowerLetter"/>
      <w:start w:val="1"/>
    </w:lvl>
  </w:abstractNum>
  <w:abstractNum w:abstractNumId="217">
    <w:nsid w:val="6DC45E8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18">
    <w:nsid w:val="17304A67"/>
    <w:multiLevelType w:val="hybridMultilevel"/>
    <w:lvl w:ilvl="0">
      <w:lvlJc w:val="left"/>
      <w:lvlText w:val="(%1)"/>
      <w:numFmt w:val="lowerLetter"/>
      <w:start w:val="1"/>
    </w:lvl>
  </w:abstractNum>
  <w:abstractNum w:abstractNumId="219">
    <w:nsid w:val="2BB180D8"/>
    <w:multiLevelType w:val="hybridMultilevel"/>
    <w:lvl w:ilvl="0">
      <w:lvlJc w:val="left"/>
      <w:lvlText w:val="(%1)"/>
      <w:numFmt w:val="lowerLetter"/>
      <w:start w:val="1"/>
    </w:lvl>
  </w:abstractNum>
  <w:abstractNum w:abstractNumId="220">
    <w:nsid w:val="556B69ED"/>
    <w:multiLevelType w:val="hybridMultilevel"/>
    <w:lvl w:ilvl="0">
      <w:lvlJc w:val="left"/>
      <w:lvlText w:val="%1."/>
      <w:numFmt w:val="decimal"/>
      <w:start w:val="3"/>
    </w:lvl>
  </w:abstractNum>
  <w:abstractNum w:abstractNumId="221">
    <w:nsid w:val="70836196"/>
    <w:multiLevelType w:val="hybridMultilevel"/>
    <w:lvl w:ilvl="0">
      <w:lvlJc w:val="left"/>
      <w:lvlText w:val="%1."/>
      <w:numFmt w:val="upperLetter"/>
      <w:start w:val="1"/>
    </w:lvl>
  </w:abstractNum>
  <w:abstractNum w:abstractNumId="222">
    <w:nsid w:val="539F7F12"/>
    <w:multiLevelType w:val="hybridMultilevel"/>
    <w:lvl w:ilvl="0">
      <w:lvlJc w:val="left"/>
      <w:lvlText w:val="%1"/>
      <w:numFmt w:val="upperLetter"/>
      <w:start w:val="1"/>
    </w:lvl>
    <w:lvl w:ilvl="1">
      <w:lvlJc w:val="left"/>
      <w:lvlText w:val="(%2)"/>
      <w:numFmt w:val="lowerLetter"/>
      <w:start w:val="1"/>
    </w:lvl>
  </w:abstractNum>
  <w:abstractNum w:abstractNumId="223">
    <w:nsid w:val="2817E7EC"/>
    <w:multiLevelType w:val="hybridMultilevel"/>
    <w:lvl w:ilvl="0">
      <w:lvlJc w:val="left"/>
      <w:lvlText w:val="%1."/>
      <w:numFmt w:val="upperLetter"/>
      <w:start w:val="2"/>
    </w:lvl>
    <w:lvl w:ilvl="1">
      <w:lvlJc w:val="left"/>
      <w:lvlText w:val="%2"/>
      <w:numFmt w:val="lowerLetter"/>
      <w:start w:val="1"/>
    </w:lvl>
  </w:abstractNum>
  <w:abstractNum w:abstractNumId="224">
    <w:nsid w:val="71482545"/>
    <w:multiLevelType w:val="hybridMultilevel"/>
    <w:lvl w:ilvl="0">
      <w:lvlJc w:val="left"/>
      <w:lvlText w:val="%1."/>
      <w:numFmt w:val="upperLetter"/>
      <w:start w:val="3"/>
    </w:lvl>
  </w:abstractNum>
  <w:abstractNum w:abstractNumId="225">
    <w:nsid w:val="17D78639"/>
    <w:multiLevelType w:val="hybridMultilevel"/>
    <w:lvl w:ilvl="0">
      <w:lvlJc w:val="left"/>
      <w:lvlText w:val="%1."/>
      <w:numFmt w:val="decimal"/>
      <w:start w:val="4"/>
    </w:lvl>
  </w:abstractNum>
  <w:abstractNum w:abstractNumId="226">
    <w:nsid w:val="141D2302"/>
    <w:multiLevelType w:val="hybridMultilevel"/>
    <w:lvl w:ilvl="0">
      <w:lvlJc w:val="left"/>
      <w:lvlText w:val="(%1)"/>
      <w:numFmt w:val="lowerLetter"/>
      <w:start w:val="1"/>
    </w:lvl>
  </w:abstractNum>
  <w:abstractNum w:abstractNumId="227">
    <w:nsid w:val="407168D8"/>
    <w:multiLevelType w:val="hybridMultilevel"/>
    <w:lvl w:ilvl="0">
      <w:lvlJc w:val="left"/>
      <w:lvlText w:val="%1."/>
      <w:numFmt w:val="upperLetter"/>
      <w:start w:val="4"/>
    </w:lvl>
  </w:abstractNum>
  <w:abstractNum w:abstractNumId="228">
    <w:nsid w:val="6A1B45E5"/>
    <w:multiLevelType w:val="hybridMultilevel"/>
    <w:lvl w:ilvl="0">
      <w:lvlJc w:val="left"/>
      <w:lvlText w:val="%1."/>
      <w:numFmt w:val="decimal"/>
      <w:start w:val="5"/>
    </w:lvl>
    <w:lvl w:ilvl="1">
      <w:lvlJc w:val="left"/>
      <w:lvlText w:val="(%2)"/>
      <w:numFmt w:val="lowerLetter"/>
      <w:start w:val="1"/>
    </w:lvl>
  </w:abstractNum>
  <w:abstractNum w:abstractNumId="229">
    <w:nsid w:val="567BD50A"/>
    <w:multiLevelType w:val="hybridMultilevel"/>
    <w:lvl w:ilvl="0">
      <w:lvlJc w:val="left"/>
      <w:lvlText w:val="%1."/>
      <w:numFmt w:val="decimal"/>
      <w:start w:val="6"/>
    </w:lvl>
  </w:abstractNum>
  <w:abstractNum w:abstractNumId="230">
    <w:nsid w:val="73BBD7F8"/>
    <w:multiLevelType w:val="hybridMultilevel"/>
    <w:lvl w:ilvl="0">
      <w:lvlJc w:val="left"/>
      <w:lvlText w:val="%1"/>
      <w:numFmt w:val="decimal"/>
      <w:start w:val="1"/>
    </w:lvl>
    <w:lvl w:ilvl="1">
      <w:lvlJc w:val="left"/>
      <w:lvlText w:val="(%2)"/>
      <w:numFmt w:val="lowerLetter"/>
      <w:start w:val="1"/>
    </w:lvl>
  </w:abstractNum>
  <w:abstractNum w:abstractNumId="231">
    <w:nsid w:val="1876589D"/>
    <w:multiLevelType w:val="hybridMultilevel"/>
    <w:lvl w:ilvl="0">
      <w:lvlJc w:val="left"/>
      <w:lvlText w:val="%1."/>
      <w:numFmt w:val="decimal"/>
      <w:start w:val="7"/>
    </w:lvl>
    <w:lvl w:ilvl="1">
      <w:lvlJc w:val="left"/>
      <w:lvlText w:val="%2"/>
      <w:numFmt w:val="lowerLetter"/>
      <w:start w:val="1"/>
    </w:lvl>
  </w:abstractNum>
  <w:abstractNum w:abstractNumId="232">
    <w:nsid w:val="327FAC77"/>
    <w:multiLevelType w:val="hybridMultilevel"/>
    <w:lvl w:ilvl="0">
      <w:lvlJc w:val="left"/>
      <w:lvlText w:val="%1."/>
      <w:numFmt w:val="decimal"/>
      <w:start w:val="8"/>
    </w:lvl>
  </w:abstractNum>
  <w:abstractNum w:abstractNumId="233">
    <w:nsid w:val="5A606509"/>
    <w:multiLevelType w:val="hybridMultilevel"/>
    <w:lvl w:ilvl="0">
      <w:lvlJc w:val="left"/>
      <w:lvlText w:val="%1"/>
      <w:numFmt w:val="upperLetter"/>
      <w:start w:val="1"/>
    </w:lvl>
    <w:lvl w:ilvl="1">
      <w:lvlJc w:val="left"/>
      <w:lvlText w:val="(%2)"/>
      <w:numFmt w:val="lowerLetter"/>
      <w:start w:val="1"/>
    </w:lvl>
  </w:abstractNum>
  <w:abstractNum w:abstractNumId="234">
    <w:nsid w:val="6F38E6D1"/>
    <w:multiLevelType w:val="hybridMultilevel"/>
    <w:lvl w:ilvl="0">
      <w:lvlJc w:val="left"/>
      <w:lvlText w:val="%1."/>
      <w:numFmt w:val="upperLetter"/>
      <w:start w:val="5"/>
    </w:lvl>
    <w:lvl w:ilvl="1">
      <w:lvlJc w:val="left"/>
      <w:lvlText w:val="%2"/>
      <w:numFmt w:val="lowerLetter"/>
      <w:start w:val="1"/>
    </w:lvl>
  </w:abstractNum>
  <w:abstractNum w:abstractNumId="235">
    <w:nsid w:val="46111BA5"/>
    <w:multiLevelType w:val="hybridMultilevel"/>
    <w:lvl w:ilvl="0">
      <w:lvlJc w:val="left"/>
      <w:lvlText w:val="%1."/>
      <w:numFmt w:val="decimal"/>
      <w:start w:val="1"/>
    </w:lvl>
  </w:abstractNum>
  <w:abstractNum w:abstractNumId="236">
    <w:nsid w:val="5E963896"/>
    <w:multiLevelType w:val="hybridMultilevel"/>
    <w:lvl w:ilvl="0">
      <w:lvlJc w:val="left"/>
      <w:lvlText w:val="%1."/>
      <w:numFmt w:val="decimal"/>
      <w:start w:val="2"/>
    </w:lvl>
  </w:abstractNum>
  <w:abstractNum w:abstractNumId="237">
    <w:nsid w:val="775BA7C1"/>
    <w:multiLevelType w:val="hybridMultilevel"/>
    <w:lvl w:ilvl="0">
      <w:lvlJc w:val="left"/>
      <w:lvlText w:val="(%1)"/>
      <w:numFmt w:val="lowerLetter"/>
      <w:start w:val="1"/>
    </w:lvl>
    <w:lvl w:ilvl="1">
      <w:lvlJc w:val="left"/>
      <w:lvlText w:val="(%2)"/>
      <w:numFmt w:val="lowerRoman"/>
      <w:start w:val="1"/>
    </w:lvl>
  </w:abstractNum>
  <w:abstractNum w:abstractNumId="238">
    <w:nsid w:val="1DD6D6F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39">
    <w:nsid w:val="769A091F"/>
    <w:multiLevelType w:val="hybridMultilevel"/>
    <w:lvl w:ilvl="0">
      <w:lvlJc w:val="left"/>
      <w:lvlText w:val="(%1)"/>
      <w:numFmt w:val="lowerLetter"/>
      <w:start w:val="1"/>
    </w:lvl>
  </w:abstractNum>
  <w:abstractNum w:abstractNumId="240">
    <w:nsid w:val="4695AE95"/>
    <w:multiLevelType w:val="hybridMultilevel"/>
    <w:lvl w:ilvl="0">
      <w:lvlJc w:val="left"/>
      <w:lvlText w:val="(%1)"/>
      <w:numFmt w:val="lowerLetter"/>
      <w:start w:val="1"/>
    </w:lvl>
  </w:abstractNum>
  <w:abstractNum w:abstractNumId="241">
    <w:nsid w:val="777A4EAA"/>
    <w:multiLevelType w:val="hybridMultilevel"/>
    <w:lvl w:ilvl="0">
      <w:lvlJc w:val="left"/>
      <w:lvlText w:val="%1."/>
      <w:numFmt w:val="decimal"/>
      <w:start w:val="3"/>
    </w:lvl>
  </w:abstractNum>
  <w:abstractNum w:abstractNumId="242">
    <w:nsid w:val="3F48B982"/>
    <w:multiLevelType w:val="hybridMultilevel"/>
    <w:lvl w:ilvl="0">
      <w:lvlJc w:val="left"/>
      <w:lvlText w:val="%1."/>
      <w:numFmt w:val="upperLetter"/>
      <w:start w:val="1"/>
    </w:lvl>
  </w:abstractNum>
  <w:abstractNum w:abstractNumId="243">
    <w:nsid w:val="46BA8FCA"/>
    <w:multiLevelType w:val="hybridMultilevel"/>
    <w:lvl w:ilvl="0">
      <w:lvlJc w:val="left"/>
      <w:lvlText w:val="%1"/>
      <w:numFmt w:val="upperLetter"/>
      <w:start w:val="1"/>
    </w:lvl>
    <w:lvl w:ilvl="1">
      <w:lvlJc w:val="left"/>
      <w:lvlText w:val="(%2)"/>
      <w:numFmt w:val="lowerLetter"/>
      <w:start w:val="1"/>
    </w:lvl>
  </w:abstractNum>
  <w:abstractNum w:abstractNumId="244">
    <w:nsid w:val="7835626C"/>
    <w:multiLevelType w:val="hybridMultilevel"/>
    <w:lvl w:ilvl="0">
      <w:lvlJc w:val="left"/>
      <w:lvlText w:val="%1."/>
      <w:numFmt w:val="upperLetter"/>
      <w:start w:val="2"/>
    </w:lvl>
    <w:lvl w:ilvl="1">
      <w:lvlJc w:val="left"/>
      <w:lvlText w:val="%2"/>
      <w:numFmt w:val="lowerLetter"/>
      <w:start w:val="1"/>
    </w:lvl>
  </w:abstractNum>
  <w:abstractNum w:abstractNumId="245">
    <w:nsid w:val="665ACA49"/>
    <w:multiLevelType w:val="hybridMultilevel"/>
    <w:lvl w:ilvl="0">
      <w:lvlJc w:val="left"/>
      <w:lvlText w:val="%1."/>
      <w:numFmt w:val="upperLetter"/>
      <w:start w:val="3"/>
    </w:lvl>
  </w:abstractNum>
  <w:abstractNum w:abstractNumId="246">
    <w:nsid w:val="6835B2AE"/>
    <w:multiLevelType w:val="hybridMultilevel"/>
    <w:lvl w:ilvl="0">
      <w:lvlJc w:val="left"/>
      <w:lvlText w:val="%1."/>
      <w:numFmt w:val="decimal"/>
      <w:start w:val="4"/>
    </w:lvl>
  </w:abstractNum>
  <w:abstractNum w:abstractNumId="247">
    <w:nsid w:val="4C187C90"/>
    <w:multiLevelType w:val="hybridMultilevel"/>
    <w:lvl w:ilvl="0">
      <w:lvlJc w:val="left"/>
      <w:lvlText w:val="(%1)"/>
      <w:numFmt w:val="lowerLetter"/>
      <w:start w:val="1"/>
    </w:lvl>
  </w:abstractNum>
  <w:abstractNum w:abstractNumId="248">
    <w:nsid w:val="541F28CD"/>
    <w:multiLevelType w:val="hybridMultilevel"/>
    <w:lvl w:ilvl="0">
      <w:lvlJc w:val="left"/>
      <w:lvlText w:val="%1."/>
      <w:numFmt w:val="upperLetter"/>
      <w:start w:val="4"/>
    </w:lvl>
  </w:abstractNum>
  <w:abstractNum w:abstractNumId="249">
    <w:nsid w:val="7F65FD16"/>
    <w:multiLevelType w:val="hybridMultilevel"/>
    <w:lvl w:ilvl="0">
      <w:lvlJc w:val="left"/>
      <w:lvlText w:val="%1."/>
      <w:numFmt w:val="decimal"/>
      <w:start w:val="5"/>
    </w:lvl>
  </w:abstractNum>
  <w:abstractNum w:abstractNumId="250">
    <w:nsid w:val="77C9FD68"/>
    <w:multiLevelType w:val="hybridMultilevel"/>
    <w:lvl w:ilvl="0">
      <w:lvlJc w:val="left"/>
      <w:lvlText w:val="%1."/>
      <w:numFmt w:val="decimal"/>
      <w:start w:val="6"/>
    </w:lvl>
  </w:abstractNum>
  <w:abstractNum w:abstractNumId="251">
    <w:nsid w:val="298A92BA"/>
    <w:multiLevelType w:val="hybridMultilevel"/>
    <w:lvl w:ilvl="0">
      <w:lvlJc w:val="left"/>
      <w:lvlText w:val="(%1)"/>
      <w:numFmt w:val="lowerLetter"/>
      <w:start w:val="1"/>
    </w:lvl>
  </w:abstractNum>
  <w:abstractNum w:abstractNumId="252">
    <w:nsid w:val="6FE95EAC"/>
    <w:multiLevelType w:val="hybridMultilevel"/>
    <w:lvl w:ilvl="0">
      <w:lvlJc w:val="left"/>
      <w:lvlText w:val="%1"/>
      <w:numFmt w:val="decimal"/>
      <w:start w:val="1"/>
    </w:lvl>
    <w:lvl w:ilvl="1">
      <w:lvlJc w:val="left"/>
      <w:lvlText w:val="(%2)"/>
      <w:numFmt w:val="lowerLetter"/>
      <w:start w:val="8"/>
    </w:lvl>
  </w:abstractNum>
  <w:abstractNum w:abstractNumId="253">
    <w:nsid w:val="4B697C7A"/>
    <w:multiLevelType w:val="hybridMultilevel"/>
    <w:lvl w:ilvl="0">
      <w:lvlJc w:val="left"/>
      <w:lvlText w:val="%1."/>
      <w:numFmt w:val="decimal"/>
      <w:start w:val="7"/>
    </w:lvl>
    <w:lvl w:ilvl="1">
      <w:lvlJc w:val="left"/>
      <w:lvlText w:val="%2"/>
      <w:numFmt w:val="lowerLetter"/>
      <w:start w:val="1"/>
    </w:lvl>
  </w:abstractNum>
  <w:abstractNum w:abstractNumId="254">
    <w:nsid w:val="51A27AA6"/>
    <w:multiLevelType w:val="hybridMultilevel"/>
    <w:lvl w:ilvl="0">
      <w:lvlJc w:val="left"/>
      <w:lvlText w:val="%1."/>
      <w:numFmt w:val="decimal"/>
      <w:start w:val="8"/>
    </w:lvl>
  </w:abstractNum>
  <w:abstractNum w:abstractNumId="255">
    <w:nsid w:val="613183F2"/>
    <w:multiLevelType w:val="hybridMultilevel"/>
    <w:lvl w:ilvl="0">
      <w:lvlJc w:val="left"/>
      <w:lvlText w:val="(%1)"/>
      <w:numFmt w:val="lowerLetter"/>
      <w:start w:val="1"/>
    </w:lvl>
    <w:lvl w:ilvl="1">
      <w:lvlJc w:val="left"/>
      <w:lvlText w:val="(%2)"/>
      <w:numFmt w:val="lowerRoman"/>
      <w:start w:val="2"/>
    </w:lvl>
  </w:abstractNum>
  <w:abstractNum w:abstractNumId="256">
    <w:nsid w:val="634102B4"/>
    <w:multiLevelType w:val="hybridMultilevel"/>
    <w:lvl w:ilvl="0">
      <w:lvlJc w:val="left"/>
      <w:lvlText w:val="(%1)"/>
      <w:numFmt w:val="lowerLetter"/>
      <w:start w:val="3"/>
    </w:lvl>
  </w:abstractNum>
  <w:abstractNum w:abstractNumId="257">
    <w:nsid w:val="65BF9DA8"/>
    <w:multiLevelType w:val="hybridMultilevel"/>
    <w:lvl w:ilvl="0">
      <w:lvlJc w:val="left"/>
      <w:lvlText w:val="%1."/>
      <w:numFmt w:val="decimal"/>
      <w:start w:val="9"/>
    </w:lvl>
  </w:abstractNum>
  <w:abstractNum w:abstractNumId="258">
    <w:nsid w:val="21A2ECCA"/>
    <w:multiLevelType w:val="hybridMultilevel"/>
    <w:lvl w:ilvl="0">
      <w:lvlJc w:val="left"/>
      <w:lvlText w:val="%1."/>
      <w:numFmt w:val="upperLetter"/>
      <w:start w:val="1"/>
    </w:lvl>
  </w:abstractNum>
  <w:abstractNum w:abstractNumId="259">
    <w:nsid w:val="4D5C4899"/>
    <w:multiLevelType w:val="hybridMultilevel"/>
    <w:lvl w:ilvl="0">
      <w:lvlJc w:val="left"/>
      <w:lvlText w:val="%1."/>
      <w:numFmt w:val="decimal"/>
      <w:start w:val="1"/>
    </w:lvl>
  </w:abstractNum>
  <w:abstractNum w:abstractNumId="260">
    <w:nsid w:val="3C3B72B2"/>
    <w:multiLevelType w:val="hybridMultilevel"/>
    <w:lvl w:ilvl="0">
      <w:lvlJc w:val="left"/>
      <w:lvlText w:val="%1."/>
      <w:numFmt w:val="decimal"/>
      <w:start w:val="3"/>
    </w:lvl>
  </w:abstractNum>
  <w:abstractNum w:abstractNumId="261">
    <w:nsid w:val="155EC4C2"/>
    <w:multiLevelType w:val="hybridMultilevel"/>
    <w:lvl w:ilvl="0">
      <w:lvlJc w:val="left"/>
      <w:lvlText w:val="%1."/>
      <w:numFmt w:val="upperLetter"/>
      <w:start w:val="2"/>
    </w:lvl>
  </w:abstractNum>
  <w:abstractNum w:abstractNumId="262">
    <w:nsid w:val="65D2A137"/>
    <w:multiLevelType w:val="hybridMultilevel"/>
    <w:lvl w:ilvl="0">
      <w:lvlJc w:val="left"/>
      <w:lvlText w:val="%1."/>
      <w:numFmt w:val="upperLetter"/>
      <w:start w:val="3"/>
    </w:lvl>
  </w:abstractNum>
  <w:abstractNum w:abstractNumId="263">
    <w:nsid w:val="6EBB1F2A"/>
    <w:multiLevelType w:val="hybridMultilevel"/>
    <w:lvl w:ilvl="0">
      <w:lvlJc w:val="left"/>
      <w:lvlText w:val="%1."/>
      <w:numFmt w:val="upperLetter"/>
      <w:start w:val="4"/>
    </w:lvl>
  </w:abstractNum>
  <w:abstractNum w:abstractNumId="264">
    <w:nsid w:val="6FBF29CB"/>
    <w:multiLevelType w:val="hybridMultilevel"/>
    <w:lvl w:ilvl="0">
      <w:lvlJc w:val="left"/>
      <w:lvlText w:val="%1."/>
      <w:numFmt w:val="decimal"/>
      <w:start w:val="1"/>
    </w:lvl>
  </w:abstractNum>
  <w:abstractNum w:abstractNumId="265">
    <w:nsid w:val="550B8808"/>
    <w:multiLevelType w:val="hybridMultilevel"/>
    <w:lvl w:ilvl="0">
      <w:lvlJc w:val="left"/>
      <w:lvlText w:val="%1."/>
      <w:numFmt w:val="decimal"/>
      <w:start w:val="2"/>
    </w:lvl>
  </w:abstractNum>
  <w:abstractNum w:abstractNumId="266">
    <w:nsid w:val="34CC3ACF"/>
    <w:multiLevelType w:val="hybridMultilevel"/>
    <w:lvl w:ilvl="0">
      <w:lvlJc w:val="left"/>
      <w:lvlText w:val="%1."/>
      <w:numFmt w:val="decimal"/>
      <w:start w:val="1"/>
    </w:lvl>
    <w:lvl w:ilvl="1">
      <w:lvlJc w:val="left"/>
      <w:lvlText w:val="(%2)"/>
      <w:numFmt w:val="lowerLetter"/>
      <w:start w:val="1"/>
    </w:lvl>
  </w:abstractNum>
  <w:abstractNum w:abstractNumId="267">
    <w:nsid w:val="4E556261"/>
    <w:multiLevelType w:val="hybridMultilevel"/>
    <w:lvl w:ilvl="0">
      <w:lvlJc w:val="left"/>
      <w:lvlText w:val="%1."/>
      <w:numFmt w:val="decimal"/>
      <w:start w:val="5"/>
    </w:lvl>
    <w:lvl w:ilvl="1">
      <w:lvlJc w:val="left"/>
      <w:lvlText w:val="(%2)"/>
      <w:numFmt w:val="lowerLetter"/>
      <w:start w:val="1"/>
    </w:lvl>
  </w:abstractNum>
  <w:abstractNum w:abstractNumId="268">
    <w:nsid w:val="4C672FC9"/>
    <w:multiLevelType w:val="hybridMultilevel"/>
    <w:lvl w:ilvl="0">
      <w:lvlJc w:val="left"/>
      <w:lvlText w:val="%1."/>
      <w:numFmt w:val="decimal"/>
      <w:start w:val="1"/>
    </w:lvl>
    <w:lvl w:ilvl="1">
      <w:lvlJc w:val="left"/>
      <w:lvlText w:val="(%2)"/>
      <w:numFmt w:val="lowerLetter"/>
      <w:start w:val="1"/>
    </w:lvl>
  </w:abstractNum>
  <w:abstractNum w:abstractNumId="269">
    <w:nsid w:val="52A311C3"/>
    <w:multiLevelType w:val="hybridMultilevel"/>
    <w:lvl w:ilvl="0">
      <w:lvlJc w:val="left"/>
      <w:lvlText w:val="%1."/>
      <w:numFmt w:val="decimal"/>
      <w:start w:val="5"/>
    </w:lvl>
    <w:lvl w:ilvl="1">
      <w:lvlJc w:val="left"/>
      <w:lvlText w:val="(%2)"/>
      <w:numFmt w:val="lowerLetter"/>
      <w:start w:val="1"/>
    </w:lvl>
  </w:abstractNum>
  <w:abstractNum w:abstractNumId="270">
    <w:nsid w:val="44EF6B80"/>
    <w:multiLevelType w:val="hybridMultilevel"/>
    <w:lvl w:ilvl="0">
      <w:lvlJc w:val="left"/>
      <w:lvlText w:val="(%1)"/>
      <w:numFmt w:val="decimal"/>
      <w:start w:val="1"/>
    </w:lvl>
  </w:abstractNum>
  <w:abstractNum w:abstractNumId="271">
    <w:nsid w:val="12FCDE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32" Type="http://schemas.openxmlformats.org/officeDocument/2006/relationships/image" Target="media/image213.png"/><Relationship Id="rId247"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jpe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jpeg"/><Relationship Id="rId368" Type="http://schemas.openxmlformats.org/officeDocument/2006/relationships/image" Target="media/image330.jpe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185" Type="http://schemas.openxmlformats.org/officeDocument/2006/relationships/hyperlink" Target="https://www.sec.gov/Archives/edgar/data/1829118/000110465922113695/tm2229263d1_ex3-1.htm" TargetMode="External"/><Relationship Id="rId221" Type="http://schemas.openxmlformats.org/officeDocument/2006/relationships/hyperlink" Target="https://www.sec.gov/Archives/edgar/data/1201935/000101915521000080/tuyada.htm" TargetMode="External"/><Relationship Id="rId222" Type="http://schemas.openxmlformats.org/officeDocument/2006/relationships/hyperlink" Target="https://www.sec.gov/Archives/edgar/data/1829118/000110465922074289/tm2217768d1_ex4-1.htm" TargetMode="External"/><Relationship Id="rId223" Type="http://schemas.openxmlformats.org/officeDocument/2006/relationships/hyperlink" Target="https://www.sec.gov/Archives/edgar/data/1829118/000110465924050855/tuya-20231231xex2d4.htm" TargetMode="External"/><Relationship Id="rId224" Type="http://schemas.openxmlformats.org/officeDocument/2006/relationships/hyperlink" Target="https://www.sec.gov/Archives/edgar/data/1829118/000110465923049845/tuya-20221231xex4d1.htm" TargetMode="External"/><Relationship Id="rId225" Type="http://schemas.openxmlformats.org/officeDocument/2006/relationships/hyperlink" Target="https://www.sec.gov/Archives/edgar/data/1829118/000119312521058848/d75491dex102.htm" TargetMode="External"/><Relationship Id="rId226" Type="http://schemas.openxmlformats.org/officeDocument/2006/relationships/hyperlink" Target="https://www.sec.gov/Archives/edgar/data/1829118/000119312521058848/d75491dex103.htm" TargetMode="External"/><Relationship Id="rId227" Type="http://schemas.openxmlformats.org/officeDocument/2006/relationships/hyperlink" Target="https://www.sec.gov/Archives/edgar/data/1829118/000119312521058848/d75491dex44.htm" TargetMode="External"/><Relationship Id="rId228" Type="http://schemas.openxmlformats.org/officeDocument/2006/relationships/hyperlink" Target="https://www.sec.gov/Archives/edgar/data/1829118/000110465922052200/tuya-20211231xex4d5.htm" TargetMode="External"/><Relationship Id="rId229" Type="http://schemas.openxmlformats.org/officeDocument/2006/relationships/hyperlink" Target="https://www.sec.gov/Archives/edgar/data/1829118/000110465922052200/tuya-20211231xex4d6.htm" TargetMode="External"/><Relationship Id="rId230" Type="http://schemas.openxmlformats.org/officeDocument/2006/relationships/hyperlink" Target="https://www.sec.gov/Archives/edgar/data/1829118/000110465922052200/tuya-20211231xex4d7.htm" TargetMode="External"/><Relationship Id="rId231" Type="http://schemas.openxmlformats.org/officeDocument/2006/relationships/hyperlink" Target="https://www.sec.gov/Archives/edgar/data/1829118/000110465922052200/tuya-20211231xex4d8.htm" TargetMode="External"/><Relationship Id="rId233" Type="http://schemas.openxmlformats.org/officeDocument/2006/relationships/hyperlink" Target="https://www.sec.gov/Archives/edgar/data/1829118/000110465922052200/tuya-20211231xex4d9.htm" TargetMode="External"/><Relationship Id="rId234" Type="http://schemas.openxmlformats.org/officeDocument/2006/relationships/hyperlink" Target="https://www.sec.gov/Archives/edgar/data/1829118/000110465922052200/tuya-20211231xex4d10.htm" TargetMode="External"/><Relationship Id="rId235" Type="http://schemas.openxmlformats.org/officeDocument/2006/relationships/hyperlink" Target="https://www.sec.gov/Archives/edgar/data/1829118/000110465922052200/tuya-20211231xex4d11.htm" TargetMode="External"/><Relationship Id="rId236" Type="http://schemas.openxmlformats.org/officeDocument/2006/relationships/hyperlink" Target="https://www.sec.gov/Archives/edgar/data/1829118/000110465922052200/tuya-20211231xex4d12.htm" TargetMode="External"/><Relationship Id="rId237" Type="http://schemas.openxmlformats.org/officeDocument/2006/relationships/hyperlink" Target="https://www.sec.gov/Archives/edgar/data/1829118/000110465922052200/tuya-20211231xex4d13.htm" TargetMode="External"/><Relationship Id="rId238" Type="http://schemas.openxmlformats.org/officeDocument/2006/relationships/hyperlink" Target="https://www.sec.gov/Archives/edgar/data/1829118/000110465922052200/tuya-20211231xex4d14.htm" TargetMode="External"/><Relationship Id="rId239" Type="http://schemas.openxmlformats.org/officeDocument/2006/relationships/hyperlink" Target="https://www.sec.gov/Archives/edgar/data/1829118/000110465922052200/tuya-20211231xex4d15.htm" TargetMode="External"/><Relationship Id="rId240" Type="http://schemas.openxmlformats.org/officeDocument/2006/relationships/hyperlink" Target="https://www.sec.gov/Archives/edgar/data/1829118/000110465922052200/tuya-20211231xex4d16.htm" TargetMode="External"/><Relationship Id="rId241" Type="http://schemas.openxmlformats.org/officeDocument/2006/relationships/hyperlink" Target="https://www.sec.gov/Archives/edgar/data/1829118/000110465922052200/tuya-20211231xex4d17.htm" TargetMode="External"/><Relationship Id="rId242" Type="http://schemas.openxmlformats.org/officeDocument/2006/relationships/hyperlink" Target="https://www.sec.gov/Archives/edgar/data/1829118/000110465922052200/tuya-20211231xex4d18.htm" TargetMode="External"/><Relationship Id="rId243" Type="http://schemas.openxmlformats.org/officeDocument/2006/relationships/hyperlink" Target="https://www.sec.gov/Archives/edgar/data/1829118/000110465922052200/tuya-20211231xex4d19.htm" TargetMode="External"/><Relationship Id="rId244" Type="http://schemas.openxmlformats.org/officeDocument/2006/relationships/hyperlink" Target="https://www.sec.gov/Archives/edgar/data/1829118/000110465922052200/tuya-20211231xex4d20.htm" TargetMode="External"/><Relationship Id="rId245" Type="http://schemas.openxmlformats.org/officeDocument/2006/relationships/hyperlink" Target="https://www.sec.gov/Archives/edgar/data/1829118/000110465922052200/tuya-20211231xex4d21.htm" TargetMode="External"/><Relationship Id="rId246" Type="http://schemas.openxmlformats.org/officeDocument/2006/relationships/hyperlink" Target="https://www.sec.gov/Archives/edgar/data/1829118/000110465922052200/tuya-20211231xex4d22.htm" TargetMode="External"/><Relationship Id="rId248" Type="http://schemas.openxmlformats.org/officeDocument/2006/relationships/hyperlink" Target="https://www.sec.gov/Archives/edgar/data/1829118/000110465922052200/tuya-20211231xex4d23.htm" TargetMode="External"/><Relationship Id="rId249" Type="http://schemas.openxmlformats.org/officeDocument/2006/relationships/hyperlink" Target="https://www.sec.gov/Archives/edgar/data/1829118/000110465922052200/tuya-20211231xex4d24.htm" TargetMode="External"/><Relationship Id="rId250" Type="http://schemas.openxmlformats.org/officeDocument/2006/relationships/hyperlink" Target="https://www.sec.gov/Archives/edgar/data/1829118/000110465922052200/tuya-20211231xex4d25.htm" TargetMode="External"/><Relationship Id="rId251" Type="http://schemas.openxmlformats.org/officeDocument/2006/relationships/hyperlink" Target="https://www.sec.gov/Archives/edgar/data/1829118/000119312521058848/d75491dex991.htm" TargetMode="External"/><Relationship Id="rId252" Type="http://schemas.openxmlformats.org/officeDocument/2006/relationships/hyperlink" Target="https://www.sec.gov/Archives/edgar/data/1829118/000110465924050855/tuya-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2025-04-24T05:28:04Z</dcterms:created>
  <dcterms:modified xsi:type="dcterms:W3CDTF">2025-04-24T05:28:04Z</dcterms:modified>
</cp:coreProperties>
</file>