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41"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As filed with the Securities and Exchange Commission on May 31, 2022</w:t>
      </w:r>
    </w:p>
    <w:p>
      <w:pPr>
        <w:spacing w:after="0" w:line="31" w:lineRule="exact"/>
        <w:rPr>
          <w:sz w:val="24"/>
          <w:szCs w:val="24"/>
          <w:color w:val="auto"/>
        </w:rPr>
      </w:pPr>
    </w:p>
    <w:p>
      <w:pPr>
        <w:ind w:left="784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wp:posOffset>
            </wp:positionH>
            <wp:positionV relativeFrom="paragraph">
              <wp:posOffset>15875</wp:posOffset>
            </wp:positionV>
            <wp:extent cx="6116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6955" cy="2540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66675</wp:posOffset>
            </wp:positionV>
            <wp:extent cx="6116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6955" cy="8255"/>
                    </a:xfrm>
                    <a:prstGeom prst="rect">
                      <a:avLst/>
                    </a:prstGeom>
                    <a:noFill/>
                  </pic:spPr>
                </pic:pic>
              </a:graphicData>
            </a:graphic>
          </wp:anchor>
        </w:drawing>
      </w:r>
    </w:p>
    <w:p>
      <w:pPr>
        <w:spacing w:after="0" w:line="120" w:lineRule="exact"/>
        <w:rPr>
          <w:sz w:val="24"/>
          <w:szCs w:val="24"/>
          <w:color w:val="auto"/>
        </w:rPr>
      </w:pPr>
    </w:p>
    <w:p>
      <w:pPr>
        <w:jc w:val="center"/>
        <w:ind w:right="-439"/>
        <w:spacing w:after="0"/>
        <w:rPr>
          <w:sz w:val="20"/>
          <w:szCs w:val="20"/>
          <w:color w:val="auto"/>
        </w:rPr>
      </w:pPr>
      <w:r>
        <w:rPr>
          <w:rFonts w:ascii="Arial" w:cs="Arial" w:eastAsia="Arial" w:hAnsi="Arial"/>
          <w:sz w:val="28"/>
          <w:szCs w:val="28"/>
          <w:b w:val="1"/>
          <w:bCs w:val="1"/>
          <w:color w:val="auto"/>
        </w:rPr>
        <w:t>UNITED STATES</w:t>
      </w:r>
    </w:p>
    <w:p>
      <w:pPr>
        <w:jc w:val="center"/>
        <w:ind w:right="-499"/>
        <w:spacing w:after="0" w:line="229"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38100</wp:posOffset>
            </wp:positionV>
            <wp:extent cx="1219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02" w:lineRule="exact"/>
        <w:rPr>
          <w:sz w:val="24"/>
          <w:szCs w:val="24"/>
          <w:color w:val="auto"/>
        </w:rPr>
      </w:pPr>
    </w:p>
    <w:p>
      <w:pPr>
        <w:jc w:val="center"/>
        <w:ind w:right="-499"/>
        <w:spacing w:after="0"/>
        <w:rPr>
          <w:sz w:val="20"/>
          <w:szCs w:val="20"/>
          <w:color w:val="auto"/>
        </w:rPr>
      </w:pPr>
      <w:r>
        <w:rPr>
          <w:rFonts w:ascii="Arial" w:cs="Arial" w:eastAsia="Arial" w:hAnsi="Arial"/>
          <w:sz w:val="28"/>
          <w:szCs w:val="28"/>
          <w:b w:val="1"/>
          <w:bCs w:val="1"/>
          <w:color w:val="auto"/>
        </w:rPr>
        <w:t>FORM F-3</w:t>
      </w:r>
    </w:p>
    <w:p>
      <w:pPr>
        <w:jc w:val="center"/>
        <w:ind w:right="-459"/>
        <w:spacing w:after="0" w:line="231" w:lineRule="auto"/>
        <w:rPr>
          <w:sz w:val="20"/>
          <w:szCs w:val="20"/>
          <w:color w:val="auto"/>
        </w:rPr>
      </w:pPr>
      <w:r>
        <w:rPr>
          <w:rFonts w:ascii="Arial" w:cs="Arial" w:eastAsia="Arial" w:hAnsi="Arial"/>
          <w:sz w:val="17"/>
          <w:szCs w:val="17"/>
          <w:b w:val="1"/>
          <w:bCs w:val="1"/>
          <w:color w:val="auto"/>
        </w:rPr>
        <w:t>REGISTRATION STATEMENT</w:t>
      </w:r>
    </w:p>
    <w:p>
      <w:pPr>
        <w:jc w:val="center"/>
        <w:ind w:right="-459"/>
        <w:spacing w:after="0" w:line="213" w:lineRule="auto"/>
        <w:rPr>
          <w:sz w:val="20"/>
          <w:szCs w:val="20"/>
          <w:color w:val="auto"/>
        </w:rPr>
      </w:pPr>
      <w:r>
        <w:rPr>
          <w:rFonts w:ascii="Arial" w:cs="Arial" w:eastAsia="Arial" w:hAnsi="Arial"/>
          <w:sz w:val="17"/>
          <w:szCs w:val="17"/>
          <w:b w:val="1"/>
          <w:bCs w:val="1"/>
          <w:color w:val="auto"/>
        </w:rPr>
        <w:t>UNDER</w:t>
      </w:r>
    </w:p>
    <w:p>
      <w:pPr>
        <w:jc w:val="center"/>
        <w:ind w:right="-499"/>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38100</wp:posOffset>
            </wp:positionV>
            <wp:extent cx="1219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88" w:lineRule="exact"/>
        <w:rPr>
          <w:sz w:val="24"/>
          <w:szCs w:val="24"/>
          <w:color w:val="auto"/>
        </w:rPr>
      </w:pPr>
    </w:p>
    <w:p>
      <w:pPr>
        <w:jc w:val="center"/>
        <w:ind w:right="-499"/>
        <w:spacing w:after="0"/>
        <w:rPr>
          <w:sz w:val="20"/>
          <w:szCs w:val="20"/>
          <w:color w:val="auto"/>
        </w:rPr>
      </w:pPr>
      <w:r>
        <w:rPr>
          <w:rFonts w:ascii="Arial" w:cs="Arial" w:eastAsia="Arial" w:hAnsi="Arial"/>
          <w:sz w:val="28"/>
          <w:szCs w:val="28"/>
          <w:b w:val="1"/>
          <w:bCs w:val="1"/>
          <w:color w:val="auto"/>
        </w:rPr>
        <w:t>Tuya Inc.</w:t>
      </w:r>
    </w:p>
    <w:p>
      <w:pPr>
        <w:spacing w:after="0" w:line="24"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45720</wp:posOffset>
            </wp:positionV>
            <wp:extent cx="1219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(Translation of Registrant’s name into English)</w:t>
      </w:r>
    </w:p>
    <w:tbl>
      <w:tblPr>
        <w:tblLayout w:type="fixed"/>
        <w:tblInd w:w="1940" w:type="dxa"/>
        <w:tblCellMar>
          <w:top w:w="0" w:type="dxa"/>
          <w:left w:w="0" w:type="dxa"/>
          <w:bottom w:w="0" w:type="dxa"/>
          <w:right w:w="0" w:type="dxa"/>
        </w:tblCellMar>
      </w:tblPr>
      <w:tr>
        <w:trPr>
          <w:trHeight w:val="193"/>
        </w:trPr>
        <w:tc>
          <w:tcPr>
            <w:tcW w:w="34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Cayman Islands</w:t>
            </w:r>
          </w:p>
        </w:tc>
        <w:tc>
          <w:tcPr>
            <w:tcW w:w="3040" w:type="dxa"/>
            <w:vAlign w:val="bottom"/>
          </w:tcPr>
          <w:p>
            <w:pPr>
              <w:ind w:left="1840"/>
              <w:spacing w:after="0" w:line="193" w:lineRule="exact"/>
              <w:rPr>
                <w:sz w:val="20"/>
                <w:szCs w:val="20"/>
                <w:color w:val="auto"/>
              </w:rPr>
            </w:pPr>
            <w:r>
              <w:rPr>
                <w:rFonts w:ascii="Arial" w:cs="Arial" w:eastAsia="Arial" w:hAnsi="Arial"/>
                <w:sz w:val="17"/>
                <w:szCs w:val="17"/>
                <w:b w:val="1"/>
                <w:bCs w:val="1"/>
                <w:color w:val="auto"/>
                <w:w w:val="99"/>
              </w:rPr>
              <w:t>Not Applicable</w:t>
            </w:r>
          </w:p>
        </w:tc>
      </w:tr>
      <w:tr>
        <w:trPr>
          <w:trHeight w:val="133"/>
        </w:trPr>
        <w:tc>
          <w:tcPr>
            <w:tcW w:w="3460" w:type="dxa"/>
            <w:vAlign w:val="bottom"/>
          </w:tcPr>
          <w:p>
            <w:pPr>
              <w:ind w:left="20"/>
              <w:spacing w:after="0" w:line="133" w:lineRule="exact"/>
              <w:rPr>
                <w:sz w:val="20"/>
                <w:szCs w:val="20"/>
                <w:color w:val="auto"/>
              </w:rPr>
            </w:pPr>
            <w:r>
              <w:rPr>
                <w:rFonts w:ascii="Arial" w:cs="Arial" w:eastAsia="Arial" w:hAnsi="Arial"/>
                <w:sz w:val="14"/>
                <w:szCs w:val="14"/>
                <w:color w:val="auto"/>
              </w:rPr>
              <w:t>(State or other jurisdiction of</w:t>
            </w:r>
          </w:p>
        </w:tc>
        <w:tc>
          <w:tcPr>
            <w:tcW w:w="3040" w:type="dxa"/>
            <w:vAlign w:val="bottom"/>
          </w:tcPr>
          <w:p>
            <w:pPr>
              <w:ind w:left="1820"/>
              <w:spacing w:after="0" w:line="133" w:lineRule="exact"/>
              <w:rPr>
                <w:sz w:val="20"/>
                <w:szCs w:val="20"/>
                <w:color w:val="auto"/>
              </w:rPr>
            </w:pPr>
            <w:r>
              <w:rPr>
                <w:rFonts w:ascii="Arial" w:cs="Arial" w:eastAsia="Arial" w:hAnsi="Arial"/>
                <w:sz w:val="14"/>
                <w:szCs w:val="14"/>
                <w:color w:val="auto"/>
              </w:rPr>
              <w:t>(I.R.S. Employer</w:t>
            </w:r>
          </w:p>
        </w:tc>
      </w:tr>
      <w:tr>
        <w:trPr>
          <w:trHeight w:val="181"/>
        </w:trPr>
        <w:tc>
          <w:tcPr>
            <w:tcW w:w="346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040" w:type="dxa"/>
            <w:vAlign w:val="bottom"/>
          </w:tcPr>
          <w:p>
            <w:pPr>
              <w:ind w:left="1660"/>
              <w:spacing w:after="0"/>
              <w:rPr>
                <w:sz w:val="20"/>
                <w:szCs w:val="20"/>
                <w:color w:val="auto"/>
              </w:rPr>
            </w:pPr>
            <w:r>
              <w:rPr>
                <w:rFonts w:ascii="Arial" w:cs="Arial" w:eastAsia="Arial" w:hAnsi="Arial"/>
                <w:sz w:val="14"/>
                <w:szCs w:val="14"/>
                <w:color w:val="auto"/>
                <w:w w:val="99"/>
              </w:rPr>
              <w:t>Identification Number)</w:t>
            </w:r>
          </w:p>
        </w:tc>
      </w:tr>
    </w:tbl>
    <w:p>
      <w:pPr>
        <w:spacing w:after="0" w:line="142" w:lineRule="exact"/>
        <w:rPr>
          <w:sz w:val="24"/>
          <w:szCs w:val="24"/>
          <w:color w:val="auto"/>
        </w:rPr>
      </w:pPr>
    </w:p>
    <w:p>
      <w:pPr>
        <w:ind w:left="4220"/>
        <w:spacing w:after="0"/>
        <w:rPr>
          <w:sz w:val="20"/>
          <w:szCs w:val="20"/>
          <w:color w:val="auto"/>
        </w:rPr>
      </w:pPr>
      <w:r>
        <w:rPr>
          <w:rFonts w:ascii="Arial" w:cs="Arial" w:eastAsia="Arial" w:hAnsi="Arial"/>
          <w:sz w:val="17"/>
          <w:szCs w:val="17"/>
          <w:b w:val="1"/>
          <w:bCs w:val="1"/>
          <w:color w:val="auto"/>
        </w:rPr>
        <w:t>10/F, Building A, Huace Center</w:t>
      </w:r>
    </w:p>
    <w:p>
      <w:pPr>
        <w:ind w:left="4280"/>
        <w:spacing w:after="0" w:line="212" w:lineRule="auto"/>
        <w:rPr>
          <w:sz w:val="20"/>
          <w:szCs w:val="20"/>
          <w:color w:val="auto"/>
        </w:rPr>
      </w:pPr>
      <w:r>
        <w:rPr>
          <w:rFonts w:ascii="Arial" w:cs="Arial" w:eastAsia="Arial" w:hAnsi="Arial"/>
          <w:sz w:val="17"/>
          <w:szCs w:val="17"/>
          <w:b w:val="1"/>
          <w:bCs w:val="1"/>
          <w:color w:val="auto"/>
        </w:rPr>
        <w:t>Xihu District, Hangzhou City</w:t>
      </w:r>
    </w:p>
    <w:p>
      <w:pPr>
        <w:ind w:left="4700"/>
        <w:spacing w:after="0" w:line="213" w:lineRule="auto"/>
        <w:rPr>
          <w:sz w:val="20"/>
          <w:szCs w:val="20"/>
          <w:color w:val="auto"/>
        </w:rPr>
      </w:pPr>
      <w:r>
        <w:rPr>
          <w:rFonts w:ascii="Arial" w:cs="Arial" w:eastAsia="Arial" w:hAnsi="Arial"/>
          <w:sz w:val="17"/>
          <w:szCs w:val="17"/>
          <w:b w:val="1"/>
          <w:bCs w:val="1"/>
          <w:color w:val="auto"/>
        </w:rPr>
        <w:t>Zhejiang, 310012</w:t>
      </w:r>
    </w:p>
    <w:p>
      <w:pPr>
        <w:ind w:left="4380"/>
        <w:spacing w:after="0" w:line="224" w:lineRule="auto"/>
        <w:rPr>
          <w:sz w:val="20"/>
          <w:szCs w:val="20"/>
          <w:color w:val="auto"/>
        </w:rPr>
      </w:pPr>
      <w:r>
        <w:rPr>
          <w:rFonts w:ascii="Arial" w:cs="Arial" w:eastAsia="Arial" w:hAnsi="Arial"/>
          <w:sz w:val="17"/>
          <w:szCs w:val="17"/>
          <w:b w:val="1"/>
          <w:bCs w:val="1"/>
          <w:color w:val="auto"/>
        </w:rPr>
        <w:t>People’s Republic of China</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45720</wp:posOffset>
            </wp:positionV>
            <wp:extent cx="1219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08" w:lineRule="exact"/>
        <w:rPr>
          <w:sz w:val="24"/>
          <w:szCs w:val="24"/>
          <w:color w:val="auto"/>
        </w:rPr>
      </w:pPr>
    </w:p>
    <w:p>
      <w:pPr>
        <w:ind w:left="4580"/>
        <w:spacing w:after="0"/>
        <w:rPr>
          <w:sz w:val="20"/>
          <w:szCs w:val="20"/>
          <w:color w:val="auto"/>
        </w:rPr>
      </w:pPr>
      <w:r>
        <w:rPr>
          <w:rFonts w:ascii="Arial" w:cs="Arial" w:eastAsia="Arial" w:hAnsi="Arial"/>
          <w:sz w:val="17"/>
          <w:szCs w:val="17"/>
          <w:b w:val="1"/>
          <w:bCs w:val="1"/>
          <w:color w:val="auto"/>
        </w:rPr>
        <w:t>Cogency Global Inc.</w:t>
      </w:r>
    </w:p>
    <w:p>
      <w:pPr>
        <w:ind w:left="4180"/>
        <w:spacing w:after="0" w:line="212" w:lineRule="auto"/>
        <w:rPr>
          <w:sz w:val="20"/>
          <w:szCs w:val="20"/>
          <w:color w:val="auto"/>
        </w:rPr>
      </w:pPr>
      <w:r>
        <w:rPr>
          <w:rFonts w:ascii="Arial" w:cs="Arial" w:eastAsia="Arial" w:hAnsi="Arial"/>
          <w:sz w:val="17"/>
          <w:szCs w:val="17"/>
          <w:b w:val="1"/>
          <w:bCs w:val="1"/>
          <w:color w:val="auto"/>
        </w:rPr>
        <w:t>122 East 42nd Street, 18th Floor</w:t>
      </w:r>
    </w:p>
    <w:p>
      <w:pPr>
        <w:ind w:left="4560"/>
        <w:spacing w:after="0" w:line="213" w:lineRule="auto"/>
        <w:rPr>
          <w:sz w:val="20"/>
          <w:szCs w:val="20"/>
          <w:color w:val="auto"/>
        </w:rPr>
      </w:pPr>
      <w:r>
        <w:rPr>
          <w:rFonts w:ascii="Arial" w:cs="Arial" w:eastAsia="Arial" w:hAnsi="Arial"/>
          <w:sz w:val="17"/>
          <w:szCs w:val="17"/>
          <w:b w:val="1"/>
          <w:bCs w:val="1"/>
          <w:color w:val="auto"/>
        </w:rPr>
        <w:t>New York, NY 10168</w:t>
      </w:r>
    </w:p>
    <w:p>
      <w:pPr>
        <w:spacing w:after="0" w:line="1" w:lineRule="exact"/>
        <w:rPr>
          <w:sz w:val="24"/>
          <w:szCs w:val="24"/>
          <w:color w:val="auto"/>
        </w:rPr>
      </w:pPr>
    </w:p>
    <w:p>
      <w:pPr>
        <w:ind w:left="4740"/>
        <w:spacing w:after="0"/>
        <w:rPr>
          <w:sz w:val="20"/>
          <w:szCs w:val="20"/>
          <w:color w:val="auto"/>
        </w:rPr>
      </w:pPr>
      <w:r>
        <w:rPr>
          <w:rFonts w:ascii="Arial" w:cs="Arial" w:eastAsia="Arial" w:hAnsi="Arial"/>
          <w:sz w:val="17"/>
          <w:szCs w:val="17"/>
          <w:b w:val="1"/>
          <w:bCs w:val="1"/>
          <w:color w:val="auto"/>
        </w:rPr>
        <w:t>+1 800-221-0102</w:t>
      </w:r>
    </w:p>
    <w:p>
      <w:pPr>
        <w:ind w:left="230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52" w:lineRule="exact"/>
        <w:rPr>
          <w:sz w:val="24"/>
          <w:szCs w:val="24"/>
          <w:color w:val="auto"/>
        </w:rPr>
      </w:pPr>
    </w:p>
    <w:tbl>
      <w:tblPr>
        <w:tblLayout w:type="fixed"/>
        <w:tblInd w:w="1200" w:type="dxa"/>
        <w:tblCellMar>
          <w:top w:w="0" w:type="dxa"/>
          <w:left w:w="0" w:type="dxa"/>
          <w:bottom w:w="0" w:type="dxa"/>
          <w:right w:w="0" w:type="dxa"/>
        </w:tblCellMar>
      </w:tblPr>
      <w:tr>
        <w:trPr>
          <w:trHeight w:val="230"/>
        </w:trPr>
        <w:tc>
          <w:tcPr>
            <w:tcW w:w="3140" w:type="dxa"/>
            <w:vAlign w:val="bottom"/>
            <w:vMerge w:val="restart"/>
          </w:tcPr>
          <w:p>
            <w:pPr>
              <w:jc w:val="center"/>
              <w:ind w:left="16"/>
              <w:spacing w:after="0"/>
              <w:rPr>
                <w:sz w:val="20"/>
                <w:szCs w:val="20"/>
                <w:color w:val="auto"/>
              </w:rPr>
            </w:pPr>
            <w:r>
              <w:rPr>
                <w:rFonts w:ascii="Arial" w:cs="Arial" w:eastAsia="Arial" w:hAnsi="Arial"/>
                <w:sz w:val="17"/>
                <w:szCs w:val="17"/>
                <w:b w:val="1"/>
                <w:bCs w:val="1"/>
                <w:color w:val="auto"/>
                <w:w w:val="83"/>
              </w:rPr>
              <w:t>Yao (Jessie) Liu</w:t>
            </w:r>
          </w:p>
        </w:tc>
        <w:tc>
          <w:tcPr>
            <w:tcW w:w="360" w:type="dxa"/>
            <w:vAlign w:val="bottom"/>
            <w:tcBorders>
              <w:top w:val="single" w:sz="8" w:color="auto"/>
            </w:tcBorders>
            <w:vMerge w:val="restart"/>
          </w:tcPr>
          <w:p>
            <w:pPr>
              <w:spacing w:after="0"/>
              <w:rPr>
                <w:sz w:val="20"/>
                <w:szCs w:val="20"/>
                <w:color w:val="auto"/>
              </w:rPr>
            </w:pPr>
          </w:p>
        </w:tc>
        <w:tc>
          <w:tcPr>
            <w:tcW w:w="156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Copies to:</w:t>
            </w:r>
          </w:p>
        </w:tc>
        <w:tc>
          <w:tcPr>
            <w:tcW w:w="3040" w:type="dxa"/>
            <w:vAlign w:val="bottom"/>
            <w:vMerge w:val="restart"/>
          </w:tcPr>
          <w:p>
            <w:pPr>
              <w:jc w:val="center"/>
              <w:ind w:right="16"/>
              <w:spacing w:after="0"/>
              <w:rPr>
                <w:sz w:val="20"/>
                <w:szCs w:val="20"/>
                <w:color w:val="auto"/>
              </w:rPr>
            </w:pPr>
            <w:r>
              <w:rPr>
                <w:rFonts w:ascii="Arial" w:cs="Arial" w:eastAsia="Arial" w:hAnsi="Arial"/>
                <w:sz w:val="17"/>
                <w:szCs w:val="17"/>
                <w:b w:val="1"/>
                <w:bCs w:val="1"/>
                <w:color w:val="auto"/>
                <w:w w:val="89"/>
              </w:rPr>
              <w:t>Li He, Esq.</w:t>
            </w: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500" w:type="dxa"/>
            <w:vAlign w:val="bottom"/>
            <w:gridSpan w:val="2"/>
          </w:tcPr>
          <w:p>
            <w:pPr>
              <w:jc w:val="center"/>
              <w:ind w:right="260"/>
              <w:spacing w:after="0" w:line="160" w:lineRule="exact"/>
              <w:rPr>
                <w:sz w:val="20"/>
                <w:szCs w:val="20"/>
                <w:color w:val="auto"/>
              </w:rPr>
            </w:pPr>
            <w:r>
              <w:rPr>
                <w:rFonts w:ascii="Arial" w:cs="Arial" w:eastAsia="Arial" w:hAnsi="Arial"/>
                <w:sz w:val="17"/>
                <w:szCs w:val="17"/>
                <w:b w:val="1"/>
                <w:bCs w:val="1"/>
                <w:color w:val="auto"/>
                <w:w w:val="86"/>
              </w:rPr>
              <w:t>Tuya Inc.</w:t>
            </w:r>
          </w:p>
        </w:tc>
        <w:tc>
          <w:tcPr>
            <w:tcW w:w="1560" w:type="dxa"/>
            <w:vAlign w:val="bottom"/>
          </w:tcPr>
          <w:p>
            <w:pPr>
              <w:spacing w:after="0"/>
              <w:rPr>
                <w:sz w:val="13"/>
                <w:szCs w:val="13"/>
                <w:color w:val="auto"/>
              </w:rPr>
            </w:pPr>
          </w:p>
        </w:tc>
        <w:tc>
          <w:tcPr>
            <w:tcW w:w="304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0"/>
              </w:rPr>
              <w:t>Davis Polk &amp; Wardwell LLP</w:t>
            </w:r>
          </w:p>
        </w:tc>
        <w:tc>
          <w:tcPr>
            <w:tcW w:w="0" w:type="dxa"/>
            <w:vAlign w:val="bottom"/>
          </w:tcPr>
          <w:p>
            <w:pPr>
              <w:spacing w:after="0"/>
              <w:rPr>
                <w:sz w:val="1"/>
                <w:szCs w:val="1"/>
                <w:color w:val="auto"/>
              </w:rPr>
            </w:pPr>
          </w:p>
        </w:tc>
      </w:tr>
      <w:tr>
        <w:trPr>
          <w:trHeight w:val="160"/>
        </w:trPr>
        <w:tc>
          <w:tcPr>
            <w:tcW w:w="3500" w:type="dxa"/>
            <w:vAlign w:val="bottom"/>
            <w:gridSpan w:val="2"/>
          </w:tcPr>
          <w:p>
            <w:pPr>
              <w:jc w:val="center"/>
              <w:ind w:right="260"/>
              <w:spacing w:after="0" w:line="160" w:lineRule="exact"/>
              <w:rPr>
                <w:sz w:val="20"/>
                <w:szCs w:val="20"/>
                <w:color w:val="auto"/>
              </w:rPr>
            </w:pPr>
            <w:r>
              <w:rPr>
                <w:rFonts w:ascii="Arial" w:cs="Arial" w:eastAsia="Arial" w:hAnsi="Arial"/>
                <w:sz w:val="17"/>
                <w:szCs w:val="17"/>
                <w:b w:val="1"/>
                <w:bCs w:val="1"/>
                <w:color w:val="auto"/>
                <w:w w:val="85"/>
              </w:rPr>
              <w:t>10/F, Building A, Huace Center</w:t>
            </w:r>
          </w:p>
        </w:tc>
        <w:tc>
          <w:tcPr>
            <w:tcW w:w="4600" w:type="dxa"/>
            <w:vAlign w:val="bottom"/>
            <w:gridSpan w:val="2"/>
          </w:tcPr>
          <w:p>
            <w:pPr>
              <w:jc w:val="center"/>
              <w:ind w:left="1416"/>
              <w:spacing w:after="0" w:line="160" w:lineRule="exact"/>
              <w:rPr>
                <w:sz w:val="20"/>
                <w:szCs w:val="20"/>
                <w:color w:val="auto"/>
              </w:rPr>
            </w:pPr>
            <w:r>
              <w:rPr>
                <w:rFonts w:ascii="Arial" w:cs="Arial" w:eastAsia="Arial" w:hAnsi="Arial"/>
                <w:sz w:val="17"/>
                <w:szCs w:val="17"/>
                <w:b w:val="1"/>
                <w:bCs w:val="1"/>
                <w:color w:val="auto"/>
                <w:w w:val="85"/>
              </w:rPr>
              <w:t>c/o 18th Floor, The Hong Kong Club Building</w:t>
            </w:r>
          </w:p>
        </w:tc>
        <w:tc>
          <w:tcPr>
            <w:tcW w:w="0" w:type="dxa"/>
            <w:vAlign w:val="bottom"/>
          </w:tcPr>
          <w:p>
            <w:pPr>
              <w:spacing w:after="0"/>
              <w:rPr>
                <w:sz w:val="1"/>
                <w:szCs w:val="1"/>
                <w:color w:val="auto"/>
              </w:rPr>
            </w:pPr>
          </w:p>
        </w:tc>
      </w:tr>
      <w:tr>
        <w:trPr>
          <w:trHeight w:val="160"/>
        </w:trPr>
        <w:tc>
          <w:tcPr>
            <w:tcW w:w="3500" w:type="dxa"/>
            <w:vAlign w:val="bottom"/>
            <w:gridSpan w:val="2"/>
          </w:tcPr>
          <w:p>
            <w:pPr>
              <w:jc w:val="center"/>
              <w:ind w:right="260"/>
              <w:spacing w:after="0" w:line="160" w:lineRule="exact"/>
              <w:rPr>
                <w:sz w:val="20"/>
                <w:szCs w:val="20"/>
                <w:color w:val="auto"/>
              </w:rPr>
            </w:pPr>
            <w:r>
              <w:rPr>
                <w:rFonts w:ascii="Arial" w:cs="Arial" w:eastAsia="Arial" w:hAnsi="Arial"/>
                <w:sz w:val="17"/>
                <w:szCs w:val="17"/>
                <w:b w:val="1"/>
                <w:bCs w:val="1"/>
                <w:color w:val="auto"/>
                <w:w w:val="86"/>
              </w:rPr>
              <w:t>Xihu District, Hangzhou City, Zhejiang, 310012</w:t>
            </w:r>
          </w:p>
        </w:tc>
        <w:tc>
          <w:tcPr>
            <w:tcW w:w="1560" w:type="dxa"/>
            <w:vAlign w:val="bottom"/>
          </w:tcPr>
          <w:p>
            <w:pPr>
              <w:spacing w:after="0"/>
              <w:rPr>
                <w:sz w:val="13"/>
                <w:szCs w:val="13"/>
                <w:color w:val="auto"/>
              </w:rPr>
            </w:pPr>
          </w:p>
        </w:tc>
        <w:tc>
          <w:tcPr>
            <w:tcW w:w="304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88"/>
              </w:rPr>
              <w:t>3A Chater Road, Central</w:t>
            </w:r>
          </w:p>
        </w:tc>
        <w:tc>
          <w:tcPr>
            <w:tcW w:w="0" w:type="dxa"/>
            <w:vAlign w:val="bottom"/>
          </w:tcPr>
          <w:p>
            <w:pPr>
              <w:spacing w:after="0"/>
              <w:rPr>
                <w:sz w:val="1"/>
                <w:szCs w:val="1"/>
                <w:color w:val="auto"/>
              </w:rPr>
            </w:pPr>
          </w:p>
        </w:tc>
      </w:tr>
      <w:tr>
        <w:trPr>
          <w:trHeight w:val="160"/>
        </w:trPr>
        <w:tc>
          <w:tcPr>
            <w:tcW w:w="3500" w:type="dxa"/>
            <w:vAlign w:val="bottom"/>
            <w:gridSpan w:val="2"/>
          </w:tcPr>
          <w:p>
            <w:pPr>
              <w:jc w:val="center"/>
              <w:ind w:right="260"/>
              <w:spacing w:after="0" w:line="160" w:lineRule="exact"/>
              <w:rPr>
                <w:sz w:val="20"/>
                <w:szCs w:val="20"/>
                <w:color w:val="auto"/>
              </w:rPr>
            </w:pPr>
            <w:r>
              <w:rPr>
                <w:rFonts w:ascii="Arial" w:cs="Arial" w:eastAsia="Arial" w:hAnsi="Arial"/>
                <w:sz w:val="17"/>
                <w:szCs w:val="17"/>
                <w:b w:val="1"/>
                <w:bCs w:val="1"/>
                <w:color w:val="auto"/>
                <w:w w:val="83"/>
              </w:rPr>
              <w:t>People’s Republic of China</w:t>
            </w:r>
          </w:p>
        </w:tc>
        <w:tc>
          <w:tcPr>
            <w:tcW w:w="1560" w:type="dxa"/>
            <w:vAlign w:val="bottom"/>
          </w:tcPr>
          <w:p>
            <w:pPr>
              <w:spacing w:after="0"/>
              <w:rPr>
                <w:sz w:val="13"/>
                <w:szCs w:val="13"/>
                <w:color w:val="auto"/>
              </w:rPr>
            </w:pPr>
          </w:p>
        </w:tc>
        <w:tc>
          <w:tcPr>
            <w:tcW w:w="304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85"/>
              </w:rPr>
              <w:t>Hong Kong</w:t>
            </w:r>
          </w:p>
        </w:tc>
        <w:tc>
          <w:tcPr>
            <w:tcW w:w="0" w:type="dxa"/>
            <w:vAlign w:val="bottom"/>
          </w:tcPr>
          <w:p>
            <w:pPr>
              <w:spacing w:after="0"/>
              <w:rPr>
                <w:sz w:val="1"/>
                <w:szCs w:val="1"/>
                <w:color w:val="auto"/>
              </w:rPr>
            </w:pPr>
          </w:p>
        </w:tc>
      </w:tr>
      <w:tr>
        <w:trPr>
          <w:trHeight w:val="160"/>
        </w:trPr>
        <w:tc>
          <w:tcPr>
            <w:tcW w:w="3140" w:type="dxa"/>
            <w:vAlign w:val="bottom"/>
          </w:tcPr>
          <w:p>
            <w:pPr>
              <w:jc w:val="center"/>
              <w:ind w:left="16"/>
              <w:spacing w:after="0" w:line="160" w:lineRule="exact"/>
              <w:rPr>
                <w:sz w:val="20"/>
                <w:szCs w:val="20"/>
                <w:color w:val="auto"/>
              </w:rPr>
            </w:pPr>
            <w:r>
              <w:rPr>
                <w:rFonts w:ascii="Arial" w:cs="Arial" w:eastAsia="Arial" w:hAnsi="Arial"/>
                <w:sz w:val="17"/>
                <w:szCs w:val="17"/>
                <w:b w:val="1"/>
                <w:bCs w:val="1"/>
                <w:color w:val="auto"/>
                <w:w w:val="86"/>
              </w:rPr>
              <w:t>+86 0571-86915981</w:t>
            </w:r>
          </w:p>
        </w:tc>
        <w:tc>
          <w:tcPr>
            <w:tcW w:w="360" w:type="dxa"/>
            <w:vAlign w:val="bottom"/>
          </w:tcPr>
          <w:p>
            <w:pPr>
              <w:spacing w:after="0"/>
              <w:rPr>
                <w:sz w:val="13"/>
                <w:szCs w:val="13"/>
                <w:color w:val="auto"/>
              </w:rPr>
            </w:pPr>
          </w:p>
        </w:tc>
        <w:tc>
          <w:tcPr>
            <w:tcW w:w="4600" w:type="dxa"/>
            <w:vAlign w:val="bottom"/>
            <w:gridSpan w:val="2"/>
          </w:tcPr>
          <w:p>
            <w:pPr>
              <w:jc w:val="center"/>
              <w:ind w:left="1416"/>
              <w:spacing w:after="0" w:line="160" w:lineRule="exact"/>
              <w:rPr>
                <w:sz w:val="20"/>
                <w:szCs w:val="20"/>
                <w:color w:val="auto"/>
              </w:rPr>
            </w:pPr>
            <w:r>
              <w:rPr>
                <w:rFonts w:ascii="Arial" w:cs="Arial" w:eastAsia="Arial" w:hAnsi="Arial"/>
                <w:sz w:val="17"/>
                <w:szCs w:val="17"/>
                <w:b w:val="1"/>
                <w:bCs w:val="1"/>
                <w:color w:val="auto"/>
                <w:w w:val="85"/>
              </w:rPr>
              <w:t>+852 2533-3300</w:t>
            </w:r>
          </w:p>
        </w:tc>
        <w:tc>
          <w:tcPr>
            <w:tcW w:w="0" w:type="dxa"/>
            <w:vAlign w:val="bottom"/>
          </w:tcPr>
          <w:p>
            <w:pPr>
              <w:spacing w:after="0"/>
              <w:rPr>
                <w:sz w:val="1"/>
                <w:szCs w:val="1"/>
                <w:color w:val="auto"/>
              </w:rPr>
            </w:pPr>
          </w:p>
        </w:tc>
      </w:tr>
      <w:tr>
        <w:trPr>
          <w:trHeight w:val="217"/>
        </w:trPr>
        <w:tc>
          <w:tcPr>
            <w:tcW w:w="3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Attention: Investor Relations</w:t>
            </w:r>
          </w:p>
        </w:tc>
        <w:tc>
          <w:tcPr>
            <w:tcW w:w="1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65405</wp:posOffset>
            </wp:positionV>
            <wp:extent cx="1219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70" w:lineRule="exact"/>
        <w:rPr>
          <w:sz w:val="24"/>
          <w:szCs w:val="24"/>
          <w:color w:val="auto"/>
        </w:rPr>
      </w:pPr>
    </w:p>
    <w:p>
      <w:pPr>
        <w:ind w:left="480" w:right="600" w:firstLine="356"/>
        <w:spacing w:after="0" w:line="239" w:lineRule="auto"/>
        <w:rPr>
          <w:sz w:val="20"/>
          <w:szCs w:val="20"/>
          <w:color w:val="auto"/>
        </w:rPr>
      </w:pPr>
      <w:r>
        <w:rPr>
          <w:rFonts w:ascii="Arial" w:cs="Arial" w:eastAsia="Arial" w:hAnsi="Arial"/>
          <w:sz w:val="17"/>
          <w:szCs w:val="17"/>
          <w:b w:val="1"/>
          <w:bCs w:val="1"/>
          <w:color w:val="auto"/>
        </w:rPr>
        <w:t>Approximate date of commencement of proposed sale to the public: from time to time after the effective date of this registration statement</w:t>
      </w:r>
    </w:p>
    <w:p>
      <w:pPr>
        <w:spacing w:after="0" w:line="15" w:lineRule="exact"/>
        <w:rPr>
          <w:sz w:val="24"/>
          <w:szCs w:val="24"/>
          <w:color w:val="auto"/>
        </w:rPr>
      </w:pPr>
    </w:p>
    <w:p>
      <w:pPr>
        <w:ind w:left="480" w:right="340" w:firstLine="356"/>
        <w:spacing w:after="0" w:line="202" w:lineRule="exact"/>
        <w:rPr>
          <w:sz w:val="20"/>
          <w:szCs w:val="20"/>
          <w:color w:val="auto"/>
        </w:rPr>
      </w:pPr>
      <w:r>
        <w:rPr>
          <w:rFonts w:ascii="Arial" w:cs="Arial" w:eastAsia="Arial" w:hAnsi="Arial"/>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ind w:left="480" w:right="100" w:firstLine="356"/>
        <w:spacing w:after="0" w:line="200"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180" w:firstLine="356"/>
        <w:spacing w:after="0" w:line="191"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 w:lineRule="exact"/>
        <w:rPr>
          <w:sz w:val="24"/>
          <w:szCs w:val="24"/>
          <w:color w:val="auto"/>
        </w:rPr>
      </w:pPr>
    </w:p>
    <w:p>
      <w:pPr>
        <w:ind w:left="480" w:right="120" w:firstLine="356"/>
        <w:spacing w:after="0" w:line="200"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60" w:firstLine="356"/>
        <w:spacing w:after="0" w:line="191" w:lineRule="exact"/>
        <w:rPr>
          <w:sz w:val="20"/>
          <w:szCs w:val="20"/>
          <w:color w:val="auto"/>
        </w:rPr>
      </w:pPr>
      <w:r>
        <w:rPr>
          <w:rFonts w:ascii="Arial" w:cs="Arial" w:eastAsia="Arial" w:hAnsi="Arial"/>
          <w:sz w:val="17"/>
          <w:szCs w:val="17"/>
          <w:color w:val="auto"/>
        </w:rPr>
        <w:t xml:space="preserve">If this Form is a registration statement pursuant to General Instruction I.C.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7"/>
          <w:szCs w:val="17"/>
          <w:color w:val="auto"/>
        </w:rPr>
        <w:t>☒</w:t>
      </w:r>
    </w:p>
    <w:p>
      <w:pPr>
        <w:spacing w:after="0" w:line="2" w:lineRule="exact"/>
        <w:rPr>
          <w:sz w:val="24"/>
          <w:szCs w:val="24"/>
          <w:color w:val="auto"/>
        </w:rPr>
      </w:pPr>
    </w:p>
    <w:p>
      <w:pPr>
        <w:ind w:left="480" w:right="320" w:firstLine="356"/>
        <w:spacing w:after="0" w:line="201"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right"/>
        <w:ind w:left="840"/>
        <w:spacing w:after="0" w:line="227"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7"/>
          <w:szCs w:val="17"/>
          <w:color w:val="auto"/>
        </w:rPr>
        <w:t>☒</w:t>
      </w:r>
    </w:p>
    <w:p>
      <w:pPr>
        <w:spacing w:after="0" w:line="1" w:lineRule="exact"/>
        <w:rPr>
          <w:sz w:val="24"/>
          <w:szCs w:val="24"/>
          <w:color w:val="auto"/>
        </w:rPr>
      </w:pPr>
    </w:p>
    <w:p>
      <w:pPr>
        <w:ind w:left="480" w:right="60" w:firstLine="356"/>
        <w:spacing w:after="0" w:line="191" w:lineRule="exact"/>
        <w:rPr>
          <w:sz w:val="20"/>
          <w:szCs w:val="20"/>
          <w:color w:val="auto"/>
        </w:rPr>
      </w:pPr>
      <w:r>
        <w:rPr>
          <w:rFonts w:ascii="Arial" w:cs="Arial" w:eastAsia="Arial" w:hAnsi="Arial"/>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wp:posOffset>
            </wp:positionH>
            <wp:positionV relativeFrom="paragraph">
              <wp:posOffset>85090</wp:posOffset>
            </wp:positionV>
            <wp:extent cx="1219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16" w:lineRule="exact"/>
        <w:rPr>
          <w:sz w:val="24"/>
          <w:szCs w:val="24"/>
          <w:color w:val="auto"/>
        </w:rPr>
      </w:pPr>
    </w:p>
    <w:p>
      <w:pPr>
        <w:ind w:left="840" w:right="420" w:hanging="351"/>
        <w:spacing w:after="0" w:line="24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wp:posOffset>
            </wp:positionH>
            <wp:positionV relativeFrom="paragraph">
              <wp:posOffset>-3810</wp:posOffset>
            </wp:positionV>
            <wp:extent cx="6116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20955</wp:posOffset>
            </wp:positionV>
            <wp:extent cx="6116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6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279400</wp:posOffset>
            </wp:positionV>
            <wp:extent cx="67525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10100"/>
          </w:cols>
          <w:pgMar w:left="640" w:top="238" w:right="115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100330</wp:posOffset>
            </wp:positionV>
            <wp:extent cx="770890" cy="381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0890" cy="38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800"/>
        <w:spacing w:after="0"/>
        <w:rPr>
          <w:sz w:val="20"/>
          <w:szCs w:val="20"/>
          <w:color w:val="auto"/>
        </w:rPr>
      </w:pPr>
      <w:r>
        <w:rPr>
          <w:rFonts w:ascii="Arial" w:cs="Arial" w:eastAsia="Arial" w:hAnsi="Arial"/>
          <w:sz w:val="32"/>
          <w:szCs w:val="32"/>
          <w:b w:val="1"/>
          <w:bCs w:val="1"/>
          <w:color w:val="auto"/>
        </w:rPr>
        <w:t>Tuya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Class A Ordinary Shares</w:t>
      </w:r>
    </w:p>
    <w:p>
      <w:pPr>
        <w:spacing w:after="0" w:line="95" w:lineRule="exact"/>
        <w:rPr>
          <w:sz w:val="20"/>
          <w:szCs w:val="20"/>
          <w:color w:val="auto"/>
        </w:rPr>
      </w:pPr>
    </w:p>
    <w:p>
      <w:pPr>
        <w:ind w:left="1240" w:right="479" w:firstLine="356"/>
        <w:spacing w:after="0" w:line="243" w:lineRule="auto"/>
        <w:rPr>
          <w:sz w:val="20"/>
          <w:szCs w:val="20"/>
          <w:color w:val="auto"/>
        </w:rPr>
      </w:pPr>
      <w:r>
        <w:rPr>
          <w:rFonts w:ascii="Arial" w:cs="Arial" w:eastAsia="Arial" w:hAnsi="Arial"/>
          <w:sz w:val="18"/>
          <w:szCs w:val="18"/>
          <w:color w:val="auto"/>
        </w:rPr>
        <w:t>We may from time to time in one or more offerings offer and sell our Class A ordinary shares, par value US$0.00005 per share, including Class A ordinary shares represented by American depositary shares, or ADSs.</w:t>
      </w:r>
    </w:p>
    <w:p>
      <w:pPr>
        <w:spacing w:after="0" w:line="65" w:lineRule="exact"/>
        <w:rPr>
          <w:sz w:val="20"/>
          <w:szCs w:val="20"/>
          <w:color w:val="auto"/>
        </w:rPr>
      </w:pPr>
    </w:p>
    <w:p>
      <w:pPr>
        <w:ind w:left="1240" w:right="499" w:firstLine="356"/>
        <w:spacing w:after="0" w:line="238" w:lineRule="auto"/>
        <w:rPr>
          <w:sz w:val="20"/>
          <w:szCs w:val="20"/>
          <w:color w:val="auto"/>
        </w:rPr>
      </w:pPr>
      <w:r>
        <w:rPr>
          <w:rFonts w:ascii="Arial" w:cs="Arial" w:eastAsia="Arial" w:hAnsi="Arial"/>
          <w:sz w:val="18"/>
          <w:szCs w:val="18"/>
          <w:color w:val="auto"/>
        </w:rPr>
        <w:t>In addition, from time to time, the selling shareholders (if any) to be named in a prospectus supplement may offer and sell our Class A ordinary shares or ADSs held by them. The selling shareholders (if any) may sell our Class A ordinary shares or ADSs through public or private transactions at prevailing market prices or at privately negotiated prices. We will not receive any proceeds from the sale of our Class A ordinary shares or ADSs by the selling shareholders (if any).</w:t>
      </w:r>
    </w:p>
    <w:p>
      <w:pPr>
        <w:spacing w:after="0" w:line="81" w:lineRule="exact"/>
        <w:rPr>
          <w:sz w:val="20"/>
          <w:szCs w:val="20"/>
          <w:color w:val="auto"/>
        </w:rPr>
      </w:pPr>
    </w:p>
    <w:p>
      <w:pPr>
        <w:ind w:left="1240" w:right="559" w:firstLine="356"/>
        <w:spacing w:after="0" w:line="238" w:lineRule="auto"/>
        <w:rPr>
          <w:sz w:val="20"/>
          <w:szCs w:val="20"/>
          <w:color w:val="auto"/>
        </w:rPr>
      </w:pPr>
      <w:r>
        <w:rPr>
          <w:rFonts w:ascii="Arial" w:cs="Arial" w:eastAsia="Arial" w:hAnsi="Arial"/>
          <w:sz w:val="18"/>
          <w:szCs w:val="18"/>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68" w:lineRule="exact"/>
        <w:rPr>
          <w:sz w:val="20"/>
          <w:szCs w:val="20"/>
          <w:color w:val="auto"/>
        </w:rPr>
      </w:pPr>
    </w:p>
    <w:p>
      <w:pPr>
        <w:ind w:left="1240" w:right="699" w:firstLine="356"/>
        <w:spacing w:after="0" w:line="237" w:lineRule="auto"/>
        <w:rPr>
          <w:sz w:val="20"/>
          <w:szCs w:val="20"/>
          <w:color w:val="auto"/>
        </w:rPr>
      </w:pPr>
      <w:r>
        <w:rPr>
          <w:rFonts w:ascii="Arial" w:cs="Arial" w:eastAsia="Arial" w:hAnsi="Arial"/>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see the section entitled “Plan of Distribution” of this prospectus.</w:t>
      </w:r>
    </w:p>
    <w:p>
      <w:pPr>
        <w:spacing w:after="0" w:line="68" w:lineRule="exact"/>
        <w:rPr>
          <w:sz w:val="20"/>
          <w:szCs w:val="20"/>
          <w:color w:val="auto"/>
        </w:rPr>
      </w:pPr>
    </w:p>
    <w:p>
      <w:pPr>
        <w:ind w:left="1240" w:right="699" w:firstLine="356"/>
        <w:spacing w:after="0" w:line="283" w:lineRule="auto"/>
        <w:rPr>
          <w:sz w:val="20"/>
          <w:szCs w:val="20"/>
          <w:color w:val="auto"/>
        </w:rPr>
      </w:pPr>
      <w:r>
        <w:rPr>
          <w:rFonts w:ascii="Arial" w:cs="Arial" w:eastAsia="Arial" w:hAnsi="Arial"/>
          <w:sz w:val="17"/>
          <w:szCs w:val="17"/>
          <w:color w:val="auto"/>
        </w:rPr>
        <w:t>The ADSs are listed on the New York Stock Exchange under the symbol “TUYA.” On May 27, 2022 the last reported sale price of the ADSs on the New York Stock Exchange was US$2.68 per ADS.</w:t>
      </w:r>
    </w:p>
    <w:p>
      <w:pPr>
        <w:spacing w:after="0" w:line="42" w:lineRule="exact"/>
        <w:rPr>
          <w:sz w:val="20"/>
          <w:szCs w:val="20"/>
          <w:color w:val="auto"/>
        </w:rPr>
      </w:pPr>
    </w:p>
    <w:p>
      <w:pPr>
        <w:ind w:left="1240" w:right="579" w:firstLine="356"/>
        <w:spacing w:after="0" w:line="346"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securities involves a high degree of risk. You should carefully consider the risks described under “Risk Factors” starting on page </w:t>
      </w:r>
      <w:hyperlink w:anchor="page13">
        <w:r>
          <w:rPr>
            <w:rFonts w:ascii="Arial" w:cs="Arial" w:eastAsia="Arial" w:hAnsi="Arial"/>
            <w:sz w:val="14"/>
            <w:szCs w:val="14"/>
            <w:b w:val="1"/>
            <w:bCs w:val="1"/>
            <w:u w:val="single" w:color="auto"/>
            <w:color w:val="0000EE"/>
          </w:rPr>
          <w:t>10</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this prospectus, included in any prospectus supplement or in the documents incorporated by reference into this prospectus before you invest in our securities.</w:t>
      </w:r>
    </w:p>
    <w:p>
      <w:pPr>
        <w:spacing w:after="0" w:line="2" w:lineRule="exact"/>
        <w:rPr>
          <w:sz w:val="20"/>
          <w:szCs w:val="20"/>
          <w:color w:val="auto"/>
        </w:rPr>
      </w:pPr>
    </w:p>
    <w:p>
      <w:pPr>
        <w:ind w:left="1240" w:right="459" w:firstLine="356"/>
        <w:spacing w:after="0" w:line="234" w:lineRule="auto"/>
        <w:rPr>
          <w:sz w:val="20"/>
          <w:szCs w:val="20"/>
          <w:color w:val="auto"/>
        </w:rPr>
      </w:pPr>
      <w:r>
        <w:rPr>
          <w:rFonts w:ascii="Arial" w:cs="Arial" w:eastAsia="Arial" w:hAnsi="Arial"/>
          <w:sz w:val="18"/>
          <w:szCs w:val="18"/>
          <w:color w:val="auto"/>
        </w:rPr>
        <w:t xml:space="preserve">Tuya Inc. is not an operating company in China but a Cayman Islands holding company with no equity ownership in its consolidated variable interest entities. We conduct substantially all of our business operations in China through (i) our PRC subsidiaries, including Hangzhou Tuya Information Technology Co., Ltd., our wholly-owned subsidiary incorporated in the PRC, and (ii) Hangzhou Tuya Technology Co., Ltd., or Hangzhou Tuya Technology, the variable interest entity, or VIE, with which we have maintained contractual arrangements. Due to PRC restrictions on foreign ownership of telecommunication businesses, we currently conduct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business through the VIE, and rely on contractual arrangements among Tuya Information, the VIE and its nominee shareholders to control the business operations of the VIE. The revenue generated by the VIE contributed less than 0.1% of our total revenue in each of 2019 and 2020, and the revenue contribution from the VIE was nil in 2021. As used in this prospectus, “Tuya,” “we,” “us,” “our company,” and “our” refer to Tuya Inc., our Cayman Islands holding company and its subsidiaries, and in the context of describing our operations and consolidated financial information, the VIE. Investors in our ADSs are not purchasing equity interests in our subsidiaries or the VIE but instead are purchasing equity interests in Tuya Inc., a Cayman Islands holding company.</w:t>
      </w:r>
    </w:p>
    <w:p>
      <w:pPr>
        <w:spacing w:after="0" w:line="68" w:lineRule="exact"/>
        <w:rPr>
          <w:sz w:val="20"/>
          <w:szCs w:val="20"/>
          <w:color w:val="auto"/>
        </w:rPr>
      </w:pPr>
    </w:p>
    <w:p>
      <w:pPr>
        <w:ind w:left="1240" w:right="479" w:firstLine="356"/>
        <w:spacing w:after="0" w:line="249" w:lineRule="auto"/>
        <w:rPr>
          <w:sz w:val="20"/>
          <w:szCs w:val="20"/>
          <w:color w:val="auto"/>
        </w:rPr>
      </w:pPr>
      <w:r>
        <w:rPr>
          <w:rFonts w:ascii="Arial" w:cs="Arial" w:eastAsia="Arial" w:hAnsi="Arial"/>
          <w:sz w:val="17"/>
          <w:szCs w:val="17"/>
          <w:color w:val="auto"/>
        </w:rPr>
        <w:t>Our corporate structure is subject to risks associated with our contractual arrangements with the VIE. If the PRC government deems that our contractual arrangements with the VIE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the VIE and investors in our company face uncertainty about potential future actions by the PRC government that could affect the enforceability of the contractual arrangements with the VIE and, consequently, the business, financial condition and results of operations of the VIE and our company as a whole. Our Class A ordinary shares or our ADSs may significantly decline in value, if we are unable to assert our contractual control rights over the assets of our PRC subsidiaries and VIE that conduct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67525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46" w:lineRule="exact"/>
        <w:rPr>
          <w:sz w:val="20"/>
          <w:szCs w:val="20"/>
          <w:color w:val="auto"/>
        </w:rPr>
      </w:pPr>
    </w:p>
    <w:p>
      <w:pPr>
        <w:ind w:left="1240" w:right="599"/>
        <w:spacing w:after="0" w:line="228" w:lineRule="auto"/>
        <w:rPr>
          <w:rFonts w:ascii="Arial" w:cs="Arial" w:eastAsia="Arial" w:hAnsi="Arial"/>
          <w:sz w:val="18"/>
          <w:szCs w:val="18"/>
          <w:color w:val="auto"/>
        </w:rPr>
      </w:pPr>
      <w:r>
        <w:rPr>
          <w:rFonts w:ascii="Arial" w:cs="Arial" w:eastAsia="Arial" w:hAnsi="Arial"/>
          <w:sz w:val="18"/>
          <w:szCs w:val="18"/>
          <w:color w:val="auto"/>
        </w:rPr>
        <w:t xml:space="preserve">substantially all of our operations. For a detailed description of the risks associated with our corporate structure, please refer to “Item 3. Key Information — 3. D. Risk Factors — Risks Related to Our Corporate Structure” in our </w:t>
      </w:r>
      <w:hyperlink r:id="rId21">
        <w:r>
          <w:rPr>
            <w:rFonts w:ascii="Arial" w:cs="Arial" w:eastAsia="Arial" w:hAnsi="Arial"/>
            <w:sz w:val="18"/>
            <w:szCs w:val="18"/>
            <w:u w:val="single" w:color="auto"/>
            <w:color w:val="0000EE"/>
          </w:rPr>
          <w:t>annual report on Form 20-F for the fiscal year ended December 31, 2021</w:t>
        </w:r>
      </w:hyperlink>
      <w:r>
        <w:rPr>
          <w:rFonts w:ascii="Arial" w:cs="Arial" w:eastAsia="Arial" w:hAnsi="Arial"/>
          <w:sz w:val="18"/>
          <w:szCs w:val="18"/>
          <w:color w:val="auto"/>
        </w:rPr>
        <w:t>, or our 2021 Form 20-F.</w:t>
      </w:r>
    </w:p>
    <w:p>
      <w:pPr>
        <w:spacing w:after="0" w:line="54" w:lineRule="exact"/>
        <w:rPr>
          <w:sz w:val="20"/>
          <w:szCs w:val="20"/>
          <w:color w:val="auto"/>
        </w:rPr>
      </w:pPr>
    </w:p>
    <w:p>
      <w:pPr>
        <w:ind w:left="1240" w:right="459" w:firstLine="356"/>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We also face various legal and operational risks and uncertainties related to doing business in China. For example, we face risks associated with regulatory approvals of offshore offerings, anti-monopoly regulatory actions, cybersecurity and data privacy, as well as the lack of inspection from the U.S. Public Company Accounting Oversight Board, or PCAOB, on our auditors. The PRC government has authority to regulate and exert influence on companies operating in the PRC, including their ability to conduct business, accept foreign investments or be listed on foreign stock exchanges. The PRC government may also intervene with or influence our operations as the government deems appropriate to further regulatory political and societal goals, among other things, which could result in an adverse impact on our operations and/or value of our Class A ordinary shares and the ADSs. The PRC government has recently published new policies that have significantly impacted our industry and we cannot rule out the possibility that it will in the future further release regulations or policies regarding our industry, including those that may have adverse impacts on our business, financial condition and results of operations. These actions may cause the value of such securities to significantly decline or in extreme cases, become worthless. For a more detailed discussion of these risks, see “Item 3. Key Information — 3.D. Risk Factors — Risks Related to Doing Business in China” and “Item 3. Key Information — 3.D. Risk Factors — Risks Related to Our Corporate Structure” in our </w:t>
      </w:r>
      <w:hyperlink r:id="rId22">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86" w:lineRule="exact"/>
        <w:rPr>
          <w:sz w:val="20"/>
          <w:szCs w:val="20"/>
          <w:color w:val="auto"/>
        </w:rPr>
      </w:pPr>
    </w:p>
    <w:p>
      <w:pPr>
        <w:ind w:left="1240" w:right="479" w:firstLine="356"/>
        <w:spacing w:after="0" w:line="247" w:lineRule="auto"/>
        <w:rPr>
          <w:rFonts w:ascii="Arial" w:cs="Arial" w:eastAsia="Arial" w:hAnsi="Arial"/>
          <w:sz w:val="17"/>
          <w:szCs w:val="17"/>
          <w:color w:val="auto"/>
        </w:rPr>
      </w:pPr>
      <w:r>
        <w:rPr>
          <w:rFonts w:ascii="Arial" w:cs="Arial" w:eastAsia="Arial" w:hAnsi="Arial"/>
          <w:sz w:val="17"/>
          <w:szCs w:val="17"/>
          <w:color w:val="auto"/>
        </w:rPr>
        <w:t xml:space="preserve">The Holding Foreign Companies Accountable Act, or the HFCAA, was enacted on December 18, 2020. The HFCAA states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over-the-counter trading market in the United States. On December 16, 2021, the PCAOB issued a report to notify the SEC of its determination that the PCAOB is unable to inspect or investigate completely registered public accounting firms headquartered in mainland China and Hong Kong. The PCAOB identified our external auditor as one of the registered public accounting firms that the PCAOB is unable to inspect or investigate completely. The HFCAA or other efforts to increase U.S. regulatory access to audit information could cause investor uncertainty for affected issuers, including us, and the market price of the ADSs could be adversely affected. On May 26, 2022, we were conclusively identified by the SEC under the HFCAA as having filed audit reports issued by a registered public accounting firm that cannot be inspected or investigated completed by the PCAOB in connection with our filing of our 2021 Form 20- F. For more details, see “Item 3. Key Information — 3.D. Risk Factors — Risks Related to Doing Business in China — Our ADSs will be prohibited from trading in the United States under the Holding Foreign Companies Accountable Act, or the HFCAA, in 2024, if the PCAOB is unable to inspect or fully investigate auditors located in China, or 2023, if proposed changes to the law are enacted. The delisting of our ADSs, or the threat of their being delisted, may materially and adversely affect the value of your investment”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74" w:lineRule="exact"/>
        <w:rPr>
          <w:sz w:val="20"/>
          <w:szCs w:val="20"/>
          <w:color w:val="auto"/>
        </w:rPr>
      </w:pPr>
    </w:p>
    <w:p>
      <w:pPr>
        <w:ind w:left="1240" w:right="479" w:firstLine="356"/>
        <w:spacing w:after="0" w:line="234" w:lineRule="auto"/>
        <w:rPr>
          <w:sz w:val="20"/>
          <w:szCs w:val="20"/>
          <w:color w:val="auto"/>
        </w:rPr>
      </w:pPr>
      <w:r>
        <w:rPr>
          <w:rFonts w:ascii="Arial" w:cs="Arial" w:eastAsia="Arial" w:hAnsi="Arial"/>
          <w:sz w:val="18"/>
          <w:szCs w:val="18"/>
          <w:color w:val="auto"/>
        </w:rPr>
        <w:t>Tuya Inc. is a holding company with no material operations of its own. As a result, although other means are available for us to obtain financing at the holding company level, Tuya Inc.’s ability to pay dividends to the shareholders and to service any debt it may incur may depend upon dividends paid by our PRC subsidiaries and service fees paid by the VIE in China. Under PRC law, Tuya Inc. may provide funding to our PRC subsidiaries through capital contributions or loans, subject to the approval of government authorities and limits on the amount of capital contributions and loans. If any of our subsidiaries incurs debt on its own behalf in the future, the instruments governing such debt may restrict its ability to pay dividends to Tuya Inc. In addition, our PRC subsidiaries are required to make appropriations to certain statutory reserve funds, which are not distributable as cash dividends except in the event of a solvent liquidation of the companies. For more details, see “Our Company — Transfer of Funds and Other Assets through Our Organization” in this prospectus. Tuya Inc. has not previously declared or paid any cash dividend or dividend in kind, and has no plan to declare or pay any dividends in the near future on our shares or the ADSs representing our Class A ordinary shares.</w:t>
      </w:r>
    </w:p>
    <w:p>
      <w:pPr>
        <w:spacing w:after="0" w:line="72" w:lineRule="exact"/>
        <w:rPr>
          <w:sz w:val="20"/>
          <w:szCs w:val="20"/>
          <w:color w:val="auto"/>
        </w:rPr>
      </w:pPr>
    </w:p>
    <w:p>
      <w:pPr>
        <w:ind w:left="1240" w:right="859" w:firstLine="356"/>
        <w:spacing w:after="0" w:line="254" w:lineRule="auto"/>
        <w:rPr>
          <w:sz w:val="20"/>
          <w:szCs w:val="20"/>
          <w:color w:val="auto"/>
        </w:rPr>
      </w:pPr>
      <w:r>
        <w:rPr>
          <w:rFonts w:ascii="Arial" w:cs="Arial" w:eastAsia="Arial" w:hAnsi="Arial"/>
          <w:sz w:val="18"/>
          <w:szCs w:val="18"/>
          <w:color w:val="auto"/>
        </w:rPr>
        <w:t>This prospectus may not be used to offer or sell any securities unless accompanied by a prospectus supplement.</w:t>
      </w:r>
    </w:p>
    <w:p>
      <w:pPr>
        <w:spacing w:after="0" w:line="65" w:lineRule="exact"/>
        <w:rPr>
          <w:sz w:val="20"/>
          <w:szCs w:val="20"/>
          <w:color w:val="auto"/>
        </w:rPr>
      </w:pPr>
    </w:p>
    <w:p>
      <w:pPr>
        <w:ind w:left="1240" w:right="699" w:firstLine="356"/>
        <w:spacing w:after="0" w:line="24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0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date of this prospectus is 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237490</wp:posOffset>
            </wp:positionV>
            <wp:extent cx="67525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160020</wp:posOffset>
            </wp:positionV>
            <wp:extent cx="1219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gridSpan w:val="5"/>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5"/>
        </w:trPr>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7"/>
        </w:trPr>
        <w:tc>
          <w:tcPr>
            <w:tcW w:w="7800" w:type="dxa"/>
            <w:vAlign w:val="bottom"/>
            <w:gridSpan w:val="16"/>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60" w:type="dxa"/>
            <w:vAlign w:val="bottom"/>
            <w:shd w:val="clear" w:color="auto" w:fill="CCEEFF"/>
          </w:tcPr>
          <w:p>
            <w:pPr>
              <w:spacing w:after="0"/>
              <w:rPr>
                <w:sz w:val="17"/>
                <w:szCs w:val="17"/>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780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60" w:type="dxa"/>
            <w:vAlign w:val="bottom"/>
          </w:tcPr>
          <w:p>
            <w:pPr>
              <w:spacing w:after="0"/>
              <w:rPr>
                <w:sz w:val="18"/>
                <w:szCs w:val="18"/>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13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OUR COMPANY</w:t>
              </w:r>
            </w:hyperlink>
          </w:p>
        </w:tc>
        <w:tc>
          <w:tcPr>
            <w:tcW w:w="6460" w:type="dxa"/>
            <w:vAlign w:val="bottom"/>
            <w:tcBorders>
              <w:bottom w:val="single" w:sz="8" w:color="CCEEFF"/>
            </w:tcBorders>
            <w:gridSpan w:val="12"/>
            <w:shd w:val="clear" w:color="auto" w:fill="CCEEFF"/>
          </w:tcPr>
          <w:p>
            <w:pPr>
              <w:spacing w:after="0"/>
              <w:rPr>
                <w:sz w:val="20"/>
                <w:szCs w:val="20"/>
                <w:color w:val="auto"/>
              </w:rPr>
            </w:pPr>
          </w:p>
        </w:tc>
        <w:tc>
          <w:tcPr>
            <w:tcW w:w="16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27"/>
        </w:trPr>
        <w:tc>
          <w:tcPr>
            <w:tcW w:w="780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6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1620" w:type="dxa"/>
            <w:vAlign w:val="bottom"/>
            <w:gridSpan w:val="6"/>
            <w:shd w:val="clear" w:color="auto" w:fill="CCEEFF"/>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USE OF PROCEEDS</w:t>
              </w:r>
            </w:hyperlink>
          </w:p>
        </w:tc>
        <w:tc>
          <w:tcPr>
            <w:tcW w:w="6180" w:type="dxa"/>
            <w:vAlign w:val="bottom"/>
            <w:gridSpan w:val="10"/>
            <w:shd w:val="clear" w:color="auto" w:fill="CCEEFF"/>
          </w:tcPr>
          <w:p>
            <w:pPr>
              <w:spacing w:after="0"/>
              <w:rPr>
                <w:sz w:val="19"/>
                <w:szCs w:val="19"/>
                <w:color w:val="auto"/>
              </w:rPr>
            </w:pPr>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780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DESCRIPTION OF SHARE CAPITAL</w:t>
              </w:r>
            </w:hyperlink>
          </w:p>
        </w:tc>
        <w:tc>
          <w:tcPr>
            <w:tcW w:w="26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7800" w:type="dxa"/>
            <w:vAlign w:val="bottom"/>
            <w:gridSpan w:val="16"/>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AMERICAN DEPOSITARY SHARES</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60" w:type="dxa"/>
            <w:vAlign w:val="bottom"/>
            <w:shd w:val="clear" w:color="auto" w:fill="CCEEFF"/>
          </w:tcPr>
          <w:p>
            <w:pPr>
              <w:spacing w:after="0"/>
              <w:rPr>
                <w:sz w:val="21"/>
                <w:szCs w:val="21"/>
                <w:color w:val="auto"/>
              </w:rPr>
            </w:pPr>
          </w:p>
        </w:tc>
      </w:tr>
      <w:tr>
        <w:trPr>
          <w:trHeight w:val="227"/>
        </w:trPr>
        <w:tc>
          <w:tcPr>
            <w:tcW w:w="4420" w:type="dxa"/>
            <w:vAlign w:val="bottom"/>
            <w:tcBorders>
              <w:top w:val="single" w:sz="8" w:color="0000EE"/>
            </w:tcBorders>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ENFORCEABILITY OF CIVIL LIABILITIES</w:t>
              </w:r>
            </w:hyperlink>
          </w:p>
        </w:tc>
        <w:tc>
          <w:tcPr>
            <w:tcW w:w="3380" w:type="dxa"/>
            <w:vAlign w:val="bottom"/>
            <w:tcBorders>
              <w:top w:val="single" w:sz="8" w:color="CCEEFF"/>
            </w:tcBorders>
            <w:gridSpan w:val="3"/>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c>
          <w:tcPr>
            <w:tcW w:w="60" w:type="dxa"/>
            <w:vAlign w:val="bottom"/>
            <w:tcBorders>
              <w:top w:val="single" w:sz="8" w:color="CCEEFF"/>
            </w:tcBorders>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92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TAXATION</w:t>
              </w:r>
            </w:hyperlink>
          </w:p>
        </w:tc>
        <w:tc>
          <w:tcPr>
            <w:tcW w:w="6880" w:type="dxa"/>
            <w:vAlign w:val="bottom"/>
            <w:tcBorders>
              <w:bottom w:val="single" w:sz="8" w:color="CCEEFF"/>
            </w:tcBorders>
            <w:gridSpan w:val="14"/>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SELLING SHAREHOLDERS</w:t>
              </w:r>
            </w:hyperlink>
          </w:p>
        </w:tc>
        <w:tc>
          <w:tcPr>
            <w:tcW w:w="260" w:type="dxa"/>
            <w:vAlign w:val="bottom"/>
            <w:gridSpan w:val="4"/>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7800" w:type="dxa"/>
            <w:vAlign w:val="bottom"/>
            <w:gridSpan w:val="16"/>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60" w:type="dxa"/>
            <w:vAlign w:val="bottom"/>
            <w:shd w:val="clear" w:color="auto" w:fill="CCEEFF"/>
          </w:tcPr>
          <w:p>
            <w:pPr>
              <w:spacing w:after="0"/>
              <w:rPr>
                <w:sz w:val="21"/>
                <w:szCs w:val="21"/>
                <w:color w:val="auto"/>
              </w:rPr>
            </w:pPr>
          </w:p>
        </w:tc>
      </w:tr>
      <w:tr>
        <w:trPr>
          <w:trHeight w:val="227"/>
        </w:trPr>
        <w:tc>
          <w:tcPr>
            <w:tcW w:w="210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5700" w:type="dxa"/>
            <w:vAlign w:val="bottom"/>
            <w:tcBorders>
              <w:top w:val="single" w:sz="8" w:color="CCEEFF"/>
            </w:tcBorders>
            <w:gridSpan w:val="9"/>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jc w:val="right"/>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c>
          <w:tcPr>
            <w:tcW w:w="60" w:type="dxa"/>
            <w:vAlign w:val="bottom"/>
            <w:tcBorders>
              <w:top w:val="single" w:sz="8" w:color="CCEEFF"/>
            </w:tcBorders>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7"/>
        </w:trPr>
        <w:tc>
          <w:tcPr>
            <w:tcW w:w="800" w:type="dxa"/>
            <w:vAlign w:val="bottom"/>
            <w:tcBorders>
              <w:bottom w:val="single" w:sz="8" w:color="0000EE"/>
            </w:tcBorders>
            <w:shd w:val="clear" w:color="auto" w:fill="CCEEFF"/>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EXPERTS</w:t>
              </w:r>
            </w:hyperlink>
          </w:p>
        </w:tc>
        <w:tc>
          <w:tcPr>
            <w:tcW w:w="7000" w:type="dxa"/>
            <w:vAlign w:val="bottom"/>
            <w:tcBorders>
              <w:bottom w:val="single" w:sz="8" w:color="CCEEFF"/>
            </w:tcBorders>
            <w:gridSpan w:val="15"/>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7"/>
        </w:trPr>
        <w:tc>
          <w:tcPr>
            <w:tcW w:w="780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 ABOUT US</w:t>
              </w:r>
            </w:hyperlink>
          </w:p>
        </w:tc>
        <w:tc>
          <w:tcPr>
            <w:tcW w:w="26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7800" w:type="dxa"/>
            <w:vAlign w:val="bottom"/>
            <w:gridSpan w:val="16"/>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INCORPORATION OF DOCUMENTS BY REFERENCE</w:t>
              </w:r>
            </w:hyperlink>
          </w:p>
        </w:tc>
        <w:tc>
          <w:tcPr>
            <w:tcW w:w="260" w:type="dxa"/>
            <w:vAlign w:val="bottom"/>
            <w:gridSpan w:val="4"/>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-2524125</wp:posOffset>
            </wp:positionV>
            <wp:extent cx="4947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94792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5011420</wp:posOffset>
            </wp:positionV>
            <wp:extent cx="67525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ABOUT THIS PROSPECTUS</w:t>
      </w:r>
    </w:p>
    <w:p>
      <w:pPr>
        <w:spacing w:after="0" w:line="144" w:lineRule="exact"/>
        <w:rPr>
          <w:sz w:val="20"/>
          <w:szCs w:val="20"/>
          <w:color w:val="auto"/>
        </w:rPr>
      </w:pPr>
    </w:p>
    <w:p>
      <w:pPr>
        <w:ind w:left="1240" w:right="459" w:firstLine="356"/>
        <w:spacing w:after="0" w:line="249" w:lineRule="auto"/>
        <w:rPr>
          <w:sz w:val="20"/>
          <w:szCs w:val="20"/>
          <w:color w:val="auto"/>
        </w:rPr>
      </w:pPr>
      <w:r>
        <w:rPr>
          <w:rFonts w:ascii="Arial" w:cs="Arial" w:eastAsia="Arial" w:hAnsi="Arial"/>
          <w:sz w:val="18"/>
          <w:szCs w:val="18"/>
          <w:color w:val="auto"/>
        </w:rPr>
        <w:t>We are a “well-known seasoned issuer” as defined in Rule 405 under the Securities Act of 1933, as amended, or the Securities Act. This prospectus is part of an automatic shelf registration statement that we filed with the Securities and Exchange Commission, or the SEC. By using an automatic shelf registration statement, we or any selling shareholder may, at any time and from time to time,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30" w:lineRule="exact"/>
        <w:rPr>
          <w:sz w:val="20"/>
          <w:szCs w:val="20"/>
          <w:color w:val="auto"/>
        </w:rPr>
      </w:pPr>
    </w:p>
    <w:p>
      <w:pPr>
        <w:ind w:left="1240" w:right="599" w:firstLine="356"/>
        <w:spacing w:after="0" w:line="271" w:lineRule="auto"/>
        <w:rPr>
          <w:sz w:val="20"/>
          <w:szCs w:val="20"/>
          <w:color w:val="auto"/>
        </w:rPr>
      </w:pPr>
      <w:r>
        <w:rPr>
          <w:rFonts w:ascii="Arial" w:cs="Arial" w:eastAsia="Arial" w:hAnsi="Arial"/>
          <w:sz w:val="17"/>
          <w:szCs w:val="17"/>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113" w:lineRule="exact"/>
        <w:rPr>
          <w:sz w:val="20"/>
          <w:szCs w:val="20"/>
          <w:color w:val="auto"/>
        </w:rPr>
      </w:pPr>
    </w:p>
    <w:p>
      <w:pPr>
        <w:ind w:left="1780" w:hanging="176"/>
        <w:spacing w:after="0"/>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“ADSs” refers to the American depositary shares, each representing one Class A ordinary share;</w:t>
      </w:r>
    </w:p>
    <w:p>
      <w:pPr>
        <w:spacing w:after="0" w:line="124" w:lineRule="exact"/>
        <w:rPr>
          <w:rFonts w:ascii="Arial" w:cs="Arial" w:eastAsia="Arial" w:hAnsi="Arial"/>
          <w:sz w:val="17"/>
          <w:szCs w:val="17"/>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“CAC” refers to the Cyberspace Administration of China;</w:t>
      </w:r>
    </w:p>
    <w:p>
      <w:pPr>
        <w:spacing w:after="0" w:line="113" w:lineRule="exact"/>
        <w:rPr>
          <w:rFonts w:ascii="Arial" w:cs="Arial" w:eastAsia="Arial" w:hAnsi="Arial"/>
          <w:sz w:val="18"/>
          <w:szCs w:val="18"/>
          <w:color w:val="auto"/>
        </w:rPr>
      </w:pPr>
    </w:p>
    <w:p>
      <w:pPr>
        <w:ind w:left="1780" w:right="1079" w:hanging="176"/>
        <w:spacing w:after="0" w:line="270"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“CIC” refers to China Insights Consultancy, an independent professional market research and consulting company;</w:t>
      </w:r>
    </w:p>
    <w:p>
      <w:pPr>
        <w:spacing w:after="0" w:line="67" w:lineRule="exact"/>
        <w:rPr>
          <w:rFonts w:ascii="Arial" w:cs="Arial" w:eastAsia="Arial" w:hAnsi="Arial"/>
          <w:sz w:val="18"/>
          <w:szCs w:val="18"/>
          <w:color w:val="auto"/>
        </w:rPr>
      </w:pPr>
    </w:p>
    <w:p>
      <w:pPr>
        <w:ind w:left="1780" w:right="1059" w:hanging="176"/>
        <w:spacing w:after="0" w:line="270"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 of this prospectus only, Taiwan, Hong Kong and Macau;</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A ordinary share” refers to our Class A ordinary shares, par value US$0.00005 per share;</w:t>
      </w:r>
    </w:p>
    <w:p>
      <w:pPr>
        <w:spacing w:after="0" w:line="124" w:lineRule="exact"/>
        <w:rPr>
          <w:rFonts w:ascii="Arial" w:cs="Arial" w:eastAsia="Arial" w:hAnsi="Arial"/>
          <w:sz w:val="17"/>
          <w:szCs w:val="17"/>
          <w:color w:val="auto"/>
        </w:rPr>
      </w:pPr>
    </w:p>
    <w:p>
      <w:pPr>
        <w:ind w:left="1780" w:hanging="176"/>
        <w:spacing w:after="0"/>
        <w:tabs>
          <w:tab w:leader="none" w:pos="1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B ordinary share” refers to our Class B ordinary shares, par value US$0.00005 per share;</w:t>
      </w:r>
    </w:p>
    <w:p>
      <w:pPr>
        <w:spacing w:after="0" w:line="124" w:lineRule="exact"/>
        <w:rPr>
          <w:rFonts w:ascii="Arial" w:cs="Arial" w:eastAsia="Arial" w:hAnsi="Arial"/>
          <w:sz w:val="17"/>
          <w:szCs w:val="17"/>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“Hangzhou Tuya Technology” refers to Hangzhou Tuya Technology Co., Ltd.;</w:t>
      </w:r>
    </w:p>
    <w:p>
      <w:pPr>
        <w:spacing w:after="0" w:line="126" w:lineRule="exact"/>
        <w:rPr>
          <w:rFonts w:ascii="Arial" w:cs="Arial" w:eastAsia="Arial" w:hAnsi="Arial"/>
          <w:sz w:val="18"/>
          <w:szCs w:val="18"/>
          <w:color w:val="auto"/>
        </w:rPr>
      </w:pPr>
    </w:p>
    <w:p>
      <w:pPr>
        <w:ind w:left="1780" w:right="719" w:hanging="176"/>
        <w:spacing w:after="0" w:line="258"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“IoT” refers to Internet of Things, the concept of connecting a large number of physical objects as well as the people using them to a large, interconnected network, turning everyday things into “smart” connected devices;</w:t>
      </w:r>
    </w:p>
    <w:p>
      <w:pPr>
        <w:spacing w:after="0" w:line="79" w:lineRule="exact"/>
        <w:rPr>
          <w:rFonts w:ascii="Arial" w:cs="Arial" w:eastAsia="Arial" w:hAnsi="Arial"/>
          <w:sz w:val="18"/>
          <w:szCs w:val="18"/>
          <w:color w:val="auto"/>
        </w:rPr>
      </w:pPr>
    </w:p>
    <w:p>
      <w:pPr>
        <w:ind w:left="1780" w:right="1139" w:hanging="176"/>
        <w:spacing w:after="0" w:line="270"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“MAA” or “Articles” refers to the eighth amended and restated memorandum and articles of association of our company, currently effective;</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113" w:lineRule="exact"/>
        <w:rPr>
          <w:rFonts w:ascii="Arial" w:cs="Arial" w:eastAsia="Arial" w:hAnsi="Arial"/>
          <w:sz w:val="18"/>
          <w:szCs w:val="18"/>
          <w:color w:val="auto"/>
        </w:rPr>
      </w:pPr>
    </w:p>
    <w:p>
      <w:pPr>
        <w:ind w:left="1780" w:right="519" w:hanging="176"/>
        <w:spacing w:after="0" w:line="333" w:lineRule="auto"/>
        <w:tabs>
          <w:tab w:leader="none" w:pos="1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“SaaS” refers to software as a service, a cloud-based software licensing and delivery model in which software and associated data are centrally hosted and are available to end users over the internet;</w:t>
      </w:r>
    </w:p>
    <w:p>
      <w:pPr>
        <w:spacing w:after="0" w:line="23" w:lineRule="exact"/>
        <w:rPr>
          <w:rFonts w:ascii="Arial" w:cs="Arial" w:eastAsia="Arial" w:hAnsi="Arial"/>
          <w:sz w:val="16"/>
          <w:szCs w:val="16"/>
          <w:color w:val="auto"/>
        </w:rPr>
      </w:pPr>
    </w:p>
    <w:p>
      <w:pPr>
        <w:ind w:left="1780" w:right="1419" w:hanging="176"/>
        <w:spacing w:after="0" w:line="270"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or “ordinary shares” refer to our Class A and Class B ordinary shares, par value US$0.00005 per share;</w:t>
      </w:r>
    </w:p>
    <w:p>
      <w:pPr>
        <w:spacing w:after="0" w:line="67" w:lineRule="exact"/>
        <w:rPr>
          <w:rFonts w:ascii="Arial" w:cs="Arial" w:eastAsia="Arial" w:hAnsi="Arial"/>
          <w:sz w:val="18"/>
          <w:szCs w:val="18"/>
          <w:color w:val="auto"/>
        </w:rPr>
      </w:pPr>
    </w:p>
    <w:p>
      <w:pPr>
        <w:ind w:left="1780" w:right="519" w:hanging="176"/>
        <w:spacing w:after="0" w:line="258"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“Tuya,” “we,” “us,” “our company,” and “our” refer to Tuya Inc., a Cayman Islands company and its subsidiaries and, in the context of describing our operations and consolidated financial information, its consolidated variable interest entity, or VIE;</w:t>
      </w:r>
    </w:p>
    <w:p>
      <w:pPr>
        <w:spacing w:after="0" w:line="79" w:lineRule="exact"/>
        <w:rPr>
          <w:rFonts w:ascii="Arial" w:cs="Arial" w:eastAsia="Arial" w:hAnsi="Arial"/>
          <w:sz w:val="18"/>
          <w:szCs w:val="18"/>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“Tuya Information” refers to Hangzhou Tuya Information Technology Co., Ltd.;</w:t>
      </w:r>
    </w:p>
    <w:p>
      <w:pPr>
        <w:spacing w:after="0" w:line="126" w:lineRule="exact"/>
        <w:rPr>
          <w:rFonts w:ascii="Arial" w:cs="Arial" w:eastAsia="Arial" w:hAnsi="Arial"/>
          <w:sz w:val="18"/>
          <w:szCs w:val="18"/>
          <w:color w:val="auto"/>
        </w:rPr>
      </w:pPr>
    </w:p>
    <w:p>
      <w:pPr>
        <w:ind w:left="1780" w:hanging="176"/>
        <w:spacing w:after="0"/>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 and</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right="659" w:hanging="176"/>
        <w:spacing w:after="0" w:line="274" w:lineRule="auto"/>
        <w:tabs>
          <w:tab w:leader="none" w:pos="1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“variable interest entity,” or “VIE,” refers to the PRC entity of which we have power to control the management, and financial and operating policies and have the right to recognize and receive substantially all the economic benefits and in which we have an exclusive option to purchase all or part of the equity interests at the minimum price possible to the extent permitted by PRC law.</w:t>
      </w:r>
    </w:p>
    <w:p>
      <w:pPr>
        <w:spacing w:after="0" w:line="95" w:lineRule="exact"/>
        <w:rPr>
          <w:sz w:val="20"/>
          <w:szCs w:val="20"/>
          <w:color w:val="auto"/>
        </w:rPr>
      </w:pPr>
    </w:p>
    <w:p>
      <w:pPr>
        <w:ind w:left="1240" w:right="1119" w:firstLine="356"/>
        <w:spacing w:after="0" w:line="286"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RMB6.3726 to US$1.00, the exchange rate set forth in the</w:t>
      </w:r>
    </w:p>
    <w:p>
      <w:pPr>
        <w:spacing w:after="0" w:line="1" w:lineRule="exact"/>
        <w:rPr>
          <w:sz w:val="20"/>
          <w:szCs w:val="20"/>
          <w:color w:val="auto"/>
        </w:rPr>
      </w:pPr>
    </w:p>
    <w:p>
      <w:pPr>
        <w:jc w:val="both"/>
        <w:ind w:left="1240" w:right="459"/>
        <w:spacing w:after="0" w:line="251" w:lineRule="auto"/>
        <w:rPr>
          <w:sz w:val="20"/>
          <w:szCs w:val="20"/>
          <w:color w:val="auto"/>
        </w:rPr>
      </w:pPr>
      <w:r>
        <w:rPr>
          <w:rFonts w:ascii="Arial" w:cs="Arial" w:eastAsia="Arial" w:hAnsi="Arial"/>
          <w:sz w:val="18"/>
          <w:szCs w:val="18"/>
          <w:color w:val="auto"/>
        </w:rPr>
        <w:t>H.10 statistical release of the Federal Reserve Board on December 30, 2021. We make no representation that any Renminbi or U.S. dollar amounts could have been, or could be, converted into U.S. dollars or Renminbi, as the case may be, at any particular rate, or at all.</w:t>
      </w:r>
    </w:p>
    <w:p>
      <w:pPr>
        <w:spacing w:after="0" w:line="125" w:lineRule="exact"/>
        <w:rPr>
          <w:sz w:val="20"/>
          <w:szCs w:val="20"/>
          <w:color w:val="auto"/>
        </w:rPr>
      </w:pPr>
    </w:p>
    <w:p>
      <w:pPr>
        <w:ind w:left="1240" w:right="939" w:firstLine="356"/>
        <w:spacing w:after="0" w:line="270" w:lineRule="auto"/>
        <w:rPr>
          <w:sz w:val="20"/>
          <w:szCs w:val="20"/>
          <w:color w:val="auto"/>
        </w:rPr>
      </w:pPr>
      <w:r>
        <w:rPr>
          <w:rFonts w:ascii="Arial" w:cs="Arial" w:eastAsia="Arial" w:hAnsi="Arial"/>
          <w:sz w:val="18"/>
          <w:szCs w:val="18"/>
          <w:color w:val="auto"/>
        </w:rPr>
        <w:t>All discrepancies in any table between the amounts identified as total amounts and the sum of the amounts listed therein are due to rounding.</w:t>
      </w:r>
    </w:p>
    <w:p>
      <w:pPr>
        <w:spacing w:after="0" w:line="108" w:lineRule="exact"/>
        <w:rPr>
          <w:sz w:val="20"/>
          <w:szCs w:val="20"/>
          <w:color w:val="auto"/>
        </w:rPr>
      </w:pPr>
    </w:p>
    <w:p>
      <w:pPr>
        <w:ind w:left="1240" w:right="1059" w:firstLine="356"/>
        <w:spacing w:after="0" w:line="270" w:lineRule="auto"/>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4" w:lineRule="exact"/>
        <w:rPr>
          <w:sz w:val="20"/>
          <w:szCs w:val="20"/>
          <w:color w:val="auto"/>
        </w:rPr>
      </w:pPr>
    </w:p>
    <w:p>
      <w:pPr>
        <w:ind w:left="1240" w:right="519" w:firstLine="356"/>
        <w:spacing w:after="0" w:line="253" w:lineRule="auto"/>
        <w:rPr>
          <w:sz w:val="20"/>
          <w:szCs w:val="20"/>
          <w:color w:val="auto"/>
        </w:rPr>
      </w:pPr>
      <w:r>
        <w:rPr>
          <w:rFonts w:ascii="Arial" w:cs="Arial" w:eastAsia="Arial" w:hAnsi="Arial"/>
          <w:sz w:val="18"/>
          <w:szCs w:val="18"/>
          <w:color w:val="auto"/>
        </w:rPr>
        <w:t>This prospectus and the documents incorporated by reference in this prospectus contain statements that constitute forward-looking statements. Many of the forward-looking statements contained in this prospectus and the documents incorporated by reference herein can be identified by the use of forward-looking words such as “aim,” “anticipate,” “believe,” “could,” “estimate,” “expect,” “intend,” “likely to,” “may,” “plan,” “potential,” “should” and “will” or other similar expressions.</w:t>
      </w:r>
    </w:p>
    <w:p>
      <w:pPr>
        <w:spacing w:after="0" w:line="123" w:lineRule="exact"/>
        <w:rPr>
          <w:sz w:val="20"/>
          <w:szCs w:val="20"/>
          <w:color w:val="auto"/>
        </w:rPr>
      </w:pPr>
    </w:p>
    <w:p>
      <w:pPr>
        <w:ind w:left="1240" w:right="599" w:firstLine="356"/>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Forward-looking statements appear in a number of places in this prospectus and the documents incorporated by reference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 — 3.D. Risk Factors” in our </w:t>
      </w:r>
      <w:hyperlink r:id="rId21">
        <w:r>
          <w:rPr>
            <w:rFonts w:ascii="Arial" w:cs="Arial" w:eastAsia="Arial" w:hAnsi="Arial"/>
            <w:sz w:val="18"/>
            <w:szCs w:val="18"/>
            <w:u w:val="single" w:color="auto"/>
            <w:color w:val="0000EE"/>
          </w:rPr>
          <w:t>2021 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These risks and uncertainties include factors relating to:</w:t>
      </w:r>
    </w:p>
    <w:p>
      <w:pPr>
        <w:spacing w:after="0" w:line="90" w:lineRule="exact"/>
        <w:rPr>
          <w:sz w:val="20"/>
          <w:szCs w:val="20"/>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political, demographic and business conditions in China and globally;</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growth strategies;</w:t>
      </w:r>
    </w:p>
    <w:p>
      <w:pPr>
        <w:spacing w:after="0" w:line="113" w:lineRule="exact"/>
        <w:rPr>
          <w:rFonts w:ascii="Arial" w:cs="Arial" w:eastAsia="Arial" w:hAnsi="Arial"/>
          <w:sz w:val="18"/>
          <w:szCs w:val="18"/>
          <w:color w:val="auto"/>
        </w:rPr>
      </w:pPr>
    </w:p>
    <w:p>
      <w:pPr>
        <w:ind w:left="1780" w:right="69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operating initiatives, including advertising and promotional efforts and new product and service development by us and our competitors;</w:t>
      </w:r>
    </w:p>
    <w:p>
      <w:pPr>
        <w:spacing w:after="0" w:line="67" w:lineRule="exact"/>
        <w:rPr>
          <w:rFonts w:ascii="Arial" w:cs="Arial" w:eastAsia="Arial" w:hAnsi="Arial"/>
          <w:sz w:val="18"/>
          <w:szCs w:val="18"/>
          <w:color w:val="auto"/>
        </w:rPr>
      </w:pPr>
    </w:p>
    <w:p>
      <w:pPr>
        <w:ind w:left="1780" w:right="87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apply our technologies to support and expand our product and service offerings;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and conduct our business in the future;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growth of the IoT PaaS and SaaS industries in China and globally;</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personnel and the ability to retain such personnel;</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IoT PaaS and SaaS industries;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government measures taken in response thereto;</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policies and regulations;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may affect our financial condition, liquidity and results of operations; and</w:t>
      </w:r>
    </w:p>
    <w:p>
      <w:pPr>
        <w:spacing w:after="0" w:line="113" w:lineRule="exact"/>
        <w:rPr>
          <w:rFonts w:ascii="Arial" w:cs="Arial" w:eastAsia="Arial" w:hAnsi="Arial"/>
          <w:sz w:val="18"/>
          <w:szCs w:val="18"/>
          <w:color w:val="auto"/>
        </w:rPr>
      </w:pPr>
    </w:p>
    <w:p>
      <w:pPr>
        <w:ind w:left="1780" w:right="479" w:hanging="176"/>
        <w:spacing w:after="0" w:line="270"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risk factors discussed under the section entitled “Item 3. Key Information — 3.D. Risk Factors” in our </w:t>
      </w:r>
      <w:hyperlink r:id="rId21">
        <w:r>
          <w:rPr>
            <w:rFonts w:ascii="Arial" w:cs="Arial" w:eastAsia="Arial" w:hAnsi="Arial"/>
            <w:sz w:val="18"/>
            <w:szCs w:val="18"/>
            <w:u w:val="single" w:color="auto"/>
            <w:color w:val="0000EE"/>
          </w:rPr>
          <w:t>2021 Form 20-F</w:t>
        </w:r>
      </w:hyperlink>
      <w:r>
        <w:rPr>
          <w:rFonts w:ascii="Arial" w:cs="Arial" w:eastAsia="Arial" w:hAnsi="Arial"/>
          <w:sz w:val="18"/>
          <w:szCs w:val="18"/>
          <w:color w:val="auto"/>
        </w:rPr>
        <w:t>.</w:t>
      </w:r>
    </w:p>
    <w:p>
      <w:pPr>
        <w:spacing w:after="0" w:line="108" w:lineRule="exact"/>
        <w:rPr>
          <w:sz w:val="20"/>
          <w:szCs w:val="20"/>
          <w:color w:val="auto"/>
        </w:rPr>
      </w:pPr>
    </w:p>
    <w:p>
      <w:pPr>
        <w:ind w:left="1240" w:right="499" w:firstLine="356"/>
        <w:spacing w:after="0" w:line="269" w:lineRule="auto"/>
        <w:rPr>
          <w:sz w:val="20"/>
          <w:szCs w:val="20"/>
          <w:color w:val="auto"/>
        </w:rPr>
      </w:pPr>
      <w:r>
        <w:rPr>
          <w:rFonts w:ascii="Arial" w:cs="Arial" w:eastAsia="Arial" w:hAnsi="Arial"/>
          <w:sz w:val="17"/>
          <w:szCs w:val="17"/>
          <w:color w:val="auto"/>
        </w:rPr>
        <w:t>This list of important factors is not exhaustive. We would like to caution you not to place undue reliance on these forward-looking statements. We operate in an evolving environment. New risks emerge from time to time and it is impossible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00" w:lineRule="exact"/>
        <w:rPr>
          <w:sz w:val="20"/>
          <w:szCs w:val="20"/>
          <w:color w:val="auto"/>
        </w:rPr>
      </w:pPr>
    </w:p>
    <w:p>
      <w:pPr>
        <w:ind w:left="1240" w:right="459" w:firstLine="356"/>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OUR COMPANY</w:t>
      </w:r>
    </w:p>
    <w:p>
      <w:pPr>
        <w:spacing w:after="0" w:line="22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left="1240" w:right="459" w:firstLine="356"/>
        <w:spacing w:after="0" w:line="268" w:lineRule="auto"/>
        <w:rPr>
          <w:sz w:val="20"/>
          <w:szCs w:val="20"/>
          <w:color w:val="auto"/>
        </w:rPr>
      </w:pPr>
      <w:r>
        <w:rPr>
          <w:rFonts w:ascii="Arial" w:cs="Arial" w:eastAsia="Arial" w:hAnsi="Arial"/>
          <w:sz w:val="16"/>
          <w:szCs w:val="16"/>
          <w:color w:val="auto"/>
        </w:rPr>
        <w:t>We established the world’s first IoT cloud development platform, according to CIC. Through our IoT cloud development platform, we deliver a variety of offerings. Our IoT Platform as a Service, or PaaS, enables brands, OEMs, and developers to develop, launch, manage and monetize smart devices and services. Our Industry SaaS offering enables businesses to deploy, connect, and manage large numbers and different types of smart devices. We also offer businesses, developers and end users a diverse range of cloud -based value-added services to improve their ability to develop and manage IoT experiences. Through our IoT cloud development platform, we have enabled developers to activate an IoT ecosystem of brands, OEMs, partners and end users to engage and communicate through a broad range of smart devices.</w:t>
      </w:r>
    </w:p>
    <w:p>
      <w:pPr>
        <w:spacing w:after="0" w:line="104" w:lineRule="exact"/>
        <w:rPr>
          <w:sz w:val="20"/>
          <w:szCs w:val="20"/>
          <w:color w:val="auto"/>
        </w:rPr>
      </w:pPr>
    </w:p>
    <w:p>
      <w:pPr>
        <w:ind w:left="1240" w:right="559" w:firstLine="356"/>
        <w:spacing w:after="0" w:line="266" w:lineRule="auto"/>
        <w:rPr>
          <w:sz w:val="20"/>
          <w:szCs w:val="20"/>
          <w:color w:val="auto"/>
        </w:rPr>
      </w:pPr>
      <w:r>
        <w:rPr>
          <w:rFonts w:ascii="Arial" w:cs="Arial" w:eastAsia="Arial" w:hAnsi="Arial"/>
          <w:sz w:val="16"/>
          <w:szCs w:val="16"/>
          <w:color w:val="auto"/>
        </w:rPr>
        <w:t>We have cultivated a large and diversified customer base. We had approximately 5,000 and 8,400 customers, respectively, in 2020 and 2021, primarily including brands, OEMs, industry operators and system integrators. For the same periods, our IoT PaaS empowered approximately 2,700 and 4,100 brands, respectively, to develop their smart devices, including leading brands such as Calex, Philips and Schneider Electric. Our IoT PaaS currently enables businesses and developers across over 200 countries and regions globally to develop smart devices in more than 2,200 categories. We were the largest IoT PaaS provider in the global market of IoT PaaS in terms of the volume of smart devices powered in 2021, according to CIC. As of December 31, 2021, there were approximately 388.3 million smart devices powered by Tuya. We are also attracting an increasing number of Industry SaaS customers. We have established a large and active community of over 510,000 registered IoT device and software developers as of December 31, 2021. Smart devices powered by Tuya are currently available in approximately 120,000 stores all over the world.</w:t>
      </w:r>
    </w:p>
    <w:p>
      <w:pPr>
        <w:spacing w:after="0" w:line="105" w:lineRule="exact"/>
        <w:rPr>
          <w:sz w:val="20"/>
          <w:szCs w:val="20"/>
          <w:color w:val="auto"/>
        </w:rPr>
      </w:pPr>
    </w:p>
    <w:p>
      <w:pPr>
        <w:ind w:left="1240" w:right="559" w:firstLine="356"/>
        <w:spacing w:after="0" w:line="236" w:lineRule="auto"/>
        <w:rPr>
          <w:sz w:val="20"/>
          <w:szCs w:val="20"/>
          <w:color w:val="auto"/>
        </w:rPr>
      </w:pPr>
      <w:r>
        <w:rPr>
          <w:rFonts w:ascii="Arial" w:cs="Arial" w:eastAsia="Arial" w:hAnsi="Arial"/>
          <w:sz w:val="18"/>
          <w:szCs w:val="18"/>
          <w:color w:val="auto"/>
        </w:rPr>
        <w:t>Our offerings enable customers across a broad range of industry verticals, such as smart home, smart business, healthcare, education, agriculture, outdoors and sport, and entertainment. Our platform is cloud-agnostic, allowing customers to simultaneously work with multiple public cloud solutions, such as Amazon Web Services, Microsoft Azure and Tencent Cloud, as well as their private cloud infrastructures, with the flexibility to switch among them if needed. Our platform also integrates mainstream third-party technologies, such as Amazon Alexa, Google Assistant and Samsung SmartThings, to make smart devices more intelligent.</w:t>
      </w:r>
    </w:p>
    <w:p>
      <w:pPr>
        <w:spacing w:after="0" w:line="110" w:lineRule="exact"/>
        <w:rPr>
          <w:sz w:val="20"/>
          <w:szCs w:val="20"/>
          <w:color w:val="auto"/>
        </w:rPr>
      </w:pPr>
    </w:p>
    <w:p>
      <w:pPr>
        <w:ind w:left="1240" w:right="479" w:firstLine="356"/>
        <w:spacing w:after="0" w:line="250" w:lineRule="auto"/>
        <w:rPr>
          <w:sz w:val="20"/>
          <w:szCs w:val="20"/>
          <w:color w:val="auto"/>
        </w:rPr>
      </w:pPr>
      <w:r>
        <w:rPr>
          <w:rFonts w:ascii="Arial" w:cs="Arial" w:eastAsia="Arial" w:hAnsi="Arial"/>
          <w:sz w:val="17"/>
          <w:szCs w:val="17"/>
          <w:color w:val="auto"/>
        </w:rPr>
        <w:t>Our platform benefits from network effects driven by our ecosystem of developers, businesses, partners and end users. End users of smart devices demand a single interface to interact with various types of devices from different brands — an experience similar to using different apps on one smartphone. Our platform provides an open architecture to connect any device from any brand, while enabling users to manage all devices across brands through a single portal. As a result, we believe that as our platform continues to grow, more brands and OEMs want to join our platform to integrate their devices onto the single user interface through which devices from other brands are connected. These self-reinforcing network effects further increase our brand awareness and generate word-of-mouth referrals, helping us build an extensive, vibrant and increasingly interconnected IoT ecosystem.</w:t>
      </w:r>
    </w:p>
    <w:p>
      <w:pPr>
        <w:spacing w:after="0" w:line="115" w:lineRule="exact"/>
        <w:rPr>
          <w:sz w:val="20"/>
          <w:szCs w:val="20"/>
          <w:color w:val="auto"/>
        </w:rPr>
      </w:pPr>
    </w:p>
    <w:p>
      <w:pPr>
        <w:ind w:left="1240" w:right="599" w:firstLine="356"/>
        <w:spacing w:after="0" w:line="265" w:lineRule="auto"/>
        <w:rPr>
          <w:sz w:val="20"/>
          <w:szCs w:val="20"/>
          <w:color w:val="auto"/>
        </w:rPr>
      </w:pPr>
      <w:r>
        <w:rPr>
          <w:rFonts w:ascii="Arial" w:cs="Arial" w:eastAsia="Arial" w:hAnsi="Arial"/>
          <w:sz w:val="16"/>
          <w:szCs w:val="16"/>
          <w:color w:val="auto"/>
        </w:rPr>
        <w:t>We help our customers succeed and benefit from their long-term growth through our consumption-based revenue model as we deploy IoT PaaS on more smart devices developed by our customers. We had 311 premium IoT PaaS customers, defined as IoT PaaS customers who individually contributed more than US $100,000 of revenues during the immediately preceding 12-month periods, as of December 31, 2021. In the 12 months ended December 31, 2021, our premium IoT PaaS customers contributed approximately</w:t>
      </w:r>
    </w:p>
    <w:p>
      <w:pPr>
        <w:spacing w:after="0" w:line="1" w:lineRule="exact"/>
        <w:rPr>
          <w:sz w:val="20"/>
          <w:szCs w:val="20"/>
          <w:color w:val="auto"/>
        </w:rPr>
      </w:pPr>
    </w:p>
    <w:p>
      <w:pPr>
        <w:ind w:left="1240" w:right="479"/>
        <w:spacing w:after="0" w:line="236" w:lineRule="auto"/>
        <w:rPr>
          <w:sz w:val="20"/>
          <w:szCs w:val="20"/>
          <w:color w:val="auto"/>
        </w:rPr>
      </w:pPr>
      <w:r>
        <w:rPr>
          <w:rFonts w:ascii="Arial" w:cs="Arial" w:eastAsia="Arial" w:hAnsi="Arial"/>
          <w:sz w:val="18"/>
          <w:szCs w:val="18"/>
          <w:color w:val="auto"/>
        </w:rPr>
        <w:t>88. 6% of our revenues generated from IoT PaaS. Our dollar-based net expansion rate of IoT PaaS was 153% for the trailing 12-month period ended December 31, 2021, indicating strong growth within our existing customer base.</w:t>
      </w:r>
    </w:p>
    <w:p>
      <w:pPr>
        <w:spacing w:after="0" w:line="121" w:lineRule="exact"/>
        <w:rPr>
          <w:sz w:val="20"/>
          <w:szCs w:val="20"/>
          <w:color w:val="auto"/>
        </w:rPr>
      </w:pPr>
    </w:p>
    <w:p>
      <w:pPr>
        <w:ind w:left="1240" w:right="519" w:firstLine="356"/>
        <w:spacing w:after="0" w:line="272" w:lineRule="auto"/>
        <w:rPr>
          <w:sz w:val="20"/>
          <w:szCs w:val="20"/>
          <w:color w:val="auto"/>
        </w:rPr>
      </w:pPr>
      <w:r>
        <w:rPr>
          <w:rFonts w:ascii="Arial" w:cs="Arial" w:eastAsia="Arial" w:hAnsi="Arial"/>
          <w:sz w:val="16"/>
          <w:szCs w:val="16"/>
          <w:color w:val="auto"/>
        </w:rPr>
        <w:t>We also provide Industry SaaS to help businesses drive efficiency, cost saving and productivity across verticals, from smart commercial lighting to smart hotel and community. The deployment of our Industry SaaS solutions also enables us to reach and build relationships with a large number of brands, hardware companies and system integrators, which reinforces our network effects and synergies. We have also gained significant traction of Industry SaaS since its launch in late 2019, demonstrated by the fact that over 85% of businesses that became our smart hotel SaaS customers in 2020 renewed their contracts with us in 2021.</w:t>
      </w: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519" w:firstLine="356"/>
        <w:spacing w:after="0" w:line="271" w:lineRule="auto"/>
        <w:rPr>
          <w:sz w:val="20"/>
          <w:szCs w:val="20"/>
          <w:color w:val="auto"/>
        </w:rPr>
      </w:pPr>
      <w:r>
        <w:rPr>
          <w:rFonts w:ascii="Arial" w:cs="Arial" w:eastAsia="Arial" w:hAnsi="Arial"/>
          <w:sz w:val="17"/>
          <w:szCs w:val="17"/>
          <w:color w:val="auto"/>
        </w:rPr>
        <w:t>Our business has scaled rapidly in recent years. In 2021, we achieved deployment of IoT PaaS of 184.0 million, representing an increase of 57.9% from 116.5 million in 2020. In 2021, our revenues were US$302.1 million, representing an increase of approximately 67.9% from 2020. In 2020, our revenues grew to US$179.9 million, representing an increase of 70.0% from 2019. We generated net losses of US$70.5 million, US$66.9 million, and US$175.4 million in 2019, 2020 and 2021, respectively.</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Information</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principal executive office is located at 10/F, Building A, Huace Center, Xihu District,</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Hangzhou City, Zhejiang, 310012, People’s Republic of China. Our telephone number at this address is +86</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0571-86915981. Our registered office in the Cayman Islands is located at Maples Corporate Services</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Limited, PO Box 309, Ugland House, Grand Cayman, KY1-1104, Cayman Islands. We have appointed</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Cogency Global Inc., located at 122 East 42nd Street, 18th Floor, New York, NY 10168, as our agent upon</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whom process may be served in any action brought against us under the securities laws of the United States</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in connection with offerings of securities registered by the registration statement of which this prospectus is</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 part.</w:t>
      </w:r>
    </w:p>
    <w:p>
      <w:pPr>
        <w:spacing w:after="0" w:line="140" w:lineRule="exact"/>
        <w:rPr>
          <w:sz w:val="20"/>
          <w:szCs w:val="20"/>
          <w:color w:val="auto"/>
        </w:rPr>
      </w:pPr>
    </w:p>
    <w:p>
      <w:pPr>
        <w:ind w:left="1240" w:right="659" w:firstLine="356"/>
        <w:spacing w:after="0" w:line="255"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www.sec.gov. You can also find information on our website at ir.tuya.com. The information contained on our website is not a part of this prospectus.</w:t>
      </w:r>
    </w:p>
    <w:p>
      <w:pPr>
        <w:spacing w:after="0" w:line="121" w:lineRule="exact"/>
        <w:rPr>
          <w:sz w:val="20"/>
          <w:szCs w:val="20"/>
          <w:color w:val="auto"/>
        </w:rPr>
      </w:pPr>
    </w:p>
    <w:p>
      <w:pPr>
        <w:ind w:left="1240" w:right="919" w:firstLine="356"/>
        <w:spacing w:after="0" w:line="270" w:lineRule="auto"/>
        <w:rPr>
          <w:rFonts w:ascii="Arial" w:cs="Arial" w:eastAsia="Arial" w:hAnsi="Arial"/>
          <w:sz w:val="18"/>
          <w:szCs w:val="18"/>
          <w:color w:val="auto"/>
        </w:rPr>
      </w:pPr>
      <w:r>
        <w:rPr>
          <w:rFonts w:ascii="Arial" w:cs="Arial" w:eastAsia="Arial" w:hAnsi="Arial"/>
          <w:sz w:val="18"/>
          <w:szCs w:val="18"/>
          <w:color w:val="auto"/>
        </w:rPr>
        <w:t xml:space="preserve">Additional information with respect to our company is included in the documents incorporated by reference in this prospectus, including our </w:t>
      </w:r>
      <w:hyperlink r:id="rId21">
        <w:r>
          <w:rPr>
            <w:rFonts w:ascii="Arial" w:cs="Arial" w:eastAsia="Arial" w:hAnsi="Arial"/>
            <w:sz w:val="18"/>
            <w:szCs w:val="18"/>
            <w:u w:val="single" w:color="auto"/>
            <w:color w:val="0000EE"/>
          </w:rPr>
          <w:t>2021 Form 20-F</w:t>
        </w:r>
      </w:hyperlink>
      <w:r>
        <w:rPr>
          <w:rFonts w:ascii="Arial" w:cs="Arial" w:eastAsia="Arial" w:hAnsi="Arial"/>
          <w:sz w:val="18"/>
          <w:szCs w:val="18"/>
          <w:color w:val="auto"/>
        </w:rPr>
        <w:t>.</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Holding Company Structure and Contractual Arrangements with the VIE</w:t>
      </w:r>
    </w:p>
    <w:p>
      <w:pPr>
        <w:spacing w:after="0" w:line="144" w:lineRule="exact"/>
        <w:rPr>
          <w:sz w:val="20"/>
          <w:szCs w:val="20"/>
          <w:color w:val="auto"/>
        </w:rPr>
      </w:pPr>
    </w:p>
    <w:p>
      <w:pPr>
        <w:ind w:left="1240" w:right="459" w:firstLine="356"/>
        <w:spacing w:after="0" w:line="252" w:lineRule="auto"/>
        <w:rPr>
          <w:sz w:val="20"/>
          <w:szCs w:val="20"/>
          <w:color w:val="auto"/>
        </w:rPr>
      </w:pPr>
      <w:r>
        <w:rPr>
          <w:rFonts w:ascii="Arial" w:cs="Arial" w:eastAsia="Arial" w:hAnsi="Arial"/>
          <w:sz w:val="18"/>
          <w:szCs w:val="18"/>
          <w:color w:val="auto"/>
        </w:rPr>
        <w:t xml:space="preserve">Tuya Inc. is a Cayman Islands holding company and operates in China mainly through its PRC subsidiaries. It also conducts business internationally with local offices in the U.S., India, Germany, and Japan, among other locations. Due to PRC restrictions on foreign ownership of telecommunication businesses, we currently conduct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business through the VIE incorporated in China, and rely on contractual arrangements among Tuya Information, the VIE and its nominee shareholders to control the business operations of the VIE.</w:t>
      </w:r>
    </w:p>
    <w:p>
      <w:pPr>
        <w:spacing w:after="0" w:line="124" w:lineRule="exact"/>
        <w:rPr>
          <w:sz w:val="20"/>
          <w:szCs w:val="20"/>
          <w:color w:val="auto"/>
        </w:rPr>
      </w:pPr>
    </w:p>
    <w:p>
      <w:pPr>
        <w:ind w:left="1240" w:right="519" w:firstLine="356"/>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The contractual arrangements, including the exclusive business cooperation agreement, equity interest pledge agreement, exclusive option agreement, powers of attorney and spousal consents, were initially entered into in December 2014 and were last amended and restated in January 2022. In line with common practice in the PRC for industries subject to foreign investment restrictions, we would gain effective control over, and receive all the economic benefits generated by the businesses currently operated by the VIE through these contractual arrangements. For more details of these contractual arrangements, see “Item 4. Information on the Company — 4.C. Organizational Structure — Contractual Arrangements with the VIE and the VIE’s Respective Shareholders”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115" w:lineRule="exact"/>
        <w:rPr>
          <w:sz w:val="20"/>
          <w:szCs w:val="20"/>
          <w:color w:val="auto"/>
        </w:rPr>
      </w:pPr>
    </w:p>
    <w:p>
      <w:pPr>
        <w:ind w:left="1240" w:right="579" w:firstLine="356"/>
        <w:spacing w:after="0" w:line="268" w:lineRule="auto"/>
        <w:rPr>
          <w:sz w:val="20"/>
          <w:szCs w:val="20"/>
          <w:color w:val="auto"/>
        </w:rPr>
      </w:pPr>
      <w:r>
        <w:rPr>
          <w:rFonts w:ascii="Arial" w:cs="Arial" w:eastAsia="Arial" w:hAnsi="Arial"/>
          <w:sz w:val="17"/>
          <w:szCs w:val="17"/>
          <w:color w:val="auto"/>
        </w:rPr>
        <w:t>The VIE has historically accounted for an immaterial portion of our total revenues and assets. The revenues generated by the VIE contributed less than 0.1% of our total revenues in each of 2019 and 2020. The revenue contribution from the VIE was nil in 2021. As of December 31, 2020 and 2021, the assets of the VIE, excluding amounts due from other companies in our group, represented 0.16% and 0.01% of our consolidated total assets, respectively. We expect the contribution of revenues and assets to our group from the VIE to remain immaterial in the foreseeable future. Additionally, the VIE currently does not hold any licenses or permits that are material to our current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240" w:right="739" w:firstLine="356"/>
        <w:spacing w:after="0" w:line="258" w:lineRule="auto"/>
        <w:rPr>
          <w:sz w:val="20"/>
          <w:szCs w:val="20"/>
          <w:color w:val="auto"/>
        </w:rPr>
      </w:pPr>
      <w:r>
        <w:rPr>
          <w:rFonts w:ascii="Arial" w:cs="Arial" w:eastAsia="Arial" w:hAnsi="Arial"/>
          <w:sz w:val="18"/>
          <w:szCs w:val="18"/>
          <w:color w:val="auto"/>
        </w:rPr>
        <w:t>The following chart illustrates our corporate structure, including our significant subsidiaries as that term is defined under Section 1-02 of Regulation S-X under the Securities Act, the VIE and certain other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102235</wp:posOffset>
            </wp:positionV>
            <wp:extent cx="5151120" cy="2507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151120" cy="250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Note:</w:t>
      </w:r>
    </w:p>
    <w:p>
      <w:pPr>
        <w:spacing w:after="0" w:line="93" w:lineRule="exact"/>
        <w:rPr>
          <w:sz w:val="20"/>
          <w:szCs w:val="20"/>
          <w:color w:val="auto"/>
        </w:rPr>
      </w:pPr>
    </w:p>
    <w:p>
      <w:pPr>
        <w:ind w:left="1600" w:right="659" w:hanging="352"/>
        <w:spacing w:after="0" w:line="265" w:lineRule="auto"/>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Shareholders of Hangzhou Tuya Technology are Xueji (Jerry) Wang (our director and CEO), Liaohan (Leo) Chen (our director and president), Yaona Lin (our employee), Ruixin Zhou (our CTO) and Peihong Chen (our employee), each holding approximately 60.7%, 13.1%, 11.5%, 9.8% and 4.9%, respectively, of Hangzhou Tuya Technology’s equity interests. Xueji (Jerry) Wang, Liaohan (Leo) Chen, Yaona Lin, Ruixin Zhou and Peihong Chen each holds approximately 19.9%, 5.0%, 4.4%, 3.8% and 1.8%, respectively, of our equity interests.</w:t>
      </w:r>
    </w:p>
    <w:p>
      <w:pPr>
        <w:spacing w:after="0" w:line="116" w:lineRule="exact"/>
        <w:rPr>
          <w:sz w:val="20"/>
          <w:szCs w:val="20"/>
          <w:color w:val="auto"/>
        </w:rPr>
      </w:pPr>
    </w:p>
    <w:p>
      <w:pPr>
        <w:ind w:left="1240" w:right="459" w:firstLine="356"/>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Our corporate structure involves unique risks to investors in the ADSs. The VIE is owned by certain nominee shareholders, not us. All of these nominee shareholders are also beneficial owners of our company. Investors in our ADSs are purchasing equity securities of a Cayman Islands holding company rather than equity securities issued by our subsidiaries or the VIE. Investors who are non-PRC residents may never directly hold equity interests in the VIE under current PRC laws and regulations. In addition, our contractual arrangements with the VIE have not been tested in court.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 and, consequently, negatively affect our ability to consolidate the financial results of the VIE and the financial performance of our company as a whole. Our ADSs may decline in value or become worthless if we are unable to effectively enforce our contractual control rights over the assets and operations of the VIE. For a detailed discussion of the risks as a result of the VIE structure, see “Item 3. Key Information — 3.D. Risk Factor — Risks Related to Our Corporate Structure”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Transfer of Funds and Other Assets through Our Organization</w:t>
      </w:r>
    </w:p>
    <w:p>
      <w:pPr>
        <w:spacing w:after="0" w:line="144" w:lineRule="exact"/>
        <w:rPr>
          <w:sz w:val="20"/>
          <w:szCs w:val="20"/>
          <w:color w:val="auto"/>
        </w:rPr>
      </w:pPr>
    </w:p>
    <w:p>
      <w:pPr>
        <w:ind w:left="1240" w:right="519" w:firstLine="356"/>
        <w:spacing w:after="0" w:line="251" w:lineRule="auto"/>
        <w:rPr>
          <w:sz w:val="20"/>
          <w:szCs w:val="20"/>
          <w:color w:val="auto"/>
        </w:rPr>
      </w:pPr>
      <w:r>
        <w:rPr>
          <w:rFonts w:ascii="Arial" w:cs="Arial" w:eastAsia="Arial" w:hAnsi="Arial"/>
          <w:sz w:val="18"/>
          <w:szCs w:val="18"/>
          <w:color w:val="auto"/>
        </w:rPr>
        <w:t>Under PRC law, Tuya Inc. may provide funding to our PRC subsidiaries through capital contributions or loans, subject to the approval of government authorities and limits on the amount of capital contributions and loans. As of December 31, 2021, through its intermediate holding company, Tuya Inc. had made cumulative capital contributions of US$363.9 million to its PRC subsidiaries. These funds have been used by our PRC subsidiaries mainly for their business operations. Because Tuya Inc. controls the VIE through contractual arrangements, it is not able to make direct capital contribution to the VIE. Nonetheless, Tuya Inc.</w:t>
      </w:r>
    </w:p>
    <w:p>
      <w:pPr>
        <w:sectPr>
          <w:pgSz w:w="11900" w:h="16838" w:orient="portrait"/>
          <w:cols w:equalWidth="0" w:num="1">
            <w:col w:w="9819"/>
          </w:cols>
          <w:pgMar w:left="640" w:top="131"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275590</wp:posOffset>
            </wp:positionV>
            <wp:extent cx="67525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spacing w:after="0" w:line="249" w:lineRule="auto"/>
        <w:rPr>
          <w:sz w:val="20"/>
          <w:szCs w:val="20"/>
          <w:color w:val="auto"/>
        </w:rPr>
      </w:pPr>
      <w:r>
        <w:rPr>
          <w:rFonts w:ascii="Arial" w:cs="Arial" w:eastAsia="Arial" w:hAnsi="Arial"/>
          <w:sz w:val="17"/>
          <w:szCs w:val="17"/>
          <w:color w:val="auto"/>
        </w:rPr>
        <w:t>and its subsidiaries may transfer cash to the VIE by loans or by making payment to the VIE for inter- group transactions, subject to satisfaction of applicable government registration and approval requirements. In 2019, 2020 and 2021, Tuya Inc. and its subsidiaries did not make any loans to the VIE. In addition, Tuya Information may, from time to time, lend cash to the VIE or settle the VIE’s payment obligations on behalf of VIE to provide temporary working capital support to the VIE. In 2019, 2020 and 2021, the net amounts of working capital support provided by Tuya Information to the VIE were RMB2.0 million, RMB0.2 million and RMB2.7 million (US$0.4 million), respectively. As of December 31, 2019, 2020 and 2021, the amounts owed by VIE to Tuya Information associated with the foregoing working capital support arrangements were RMB4.5 million, RMB4.6 million and RMB7.1 million (US$1.1 million), respectively. The VIE has historically funded its operations primarily using cash generated from its operating activities and the working capital support provided by Tuya Information.</w:t>
      </w:r>
    </w:p>
    <w:p>
      <w:pPr>
        <w:spacing w:after="0" w:line="104" w:lineRule="exact"/>
        <w:rPr>
          <w:sz w:val="20"/>
          <w:szCs w:val="20"/>
          <w:color w:val="auto"/>
        </w:rPr>
      </w:pPr>
    </w:p>
    <w:p>
      <w:pPr>
        <w:ind w:left="1240" w:right="579" w:firstLine="356"/>
        <w:spacing w:after="0" w:line="249" w:lineRule="auto"/>
        <w:rPr>
          <w:sz w:val="20"/>
          <w:szCs w:val="20"/>
          <w:color w:val="auto"/>
        </w:rPr>
      </w:pPr>
      <w:r>
        <w:rPr>
          <w:rFonts w:ascii="Arial" w:cs="Arial" w:eastAsia="Arial" w:hAnsi="Arial"/>
          <w:sz w:val="17"/>
          <w:szCs w:val="17"/>
          <w:color w:val="auto"/>
        </w:rPr>
        <w:t>Tuya Inc. is a holding company with no material operations of its own. As a result, although other means are available for us to obtain financing at the holding company level, Tuya Inc.’s ability to pay dividends to the shareholders and to service any debt it may incur may depend upon dividends paid by our PRC subsidiaries and service fees paid by the VIE in China. If any of our subsidiaries incurs debt on its own behalf in the future, the instruments governing such debt may restrict its ability to pay dividends to Tuya Inc. In addition, our PRC subsidiaries are required to make appropriations to certain statutory reserve funds, which are not distributable as cash dividends except in the event of a solvent liquidation of the companies. In 2019, 2020 and 2021, no dividends or distributions were made to Tuya Inc. by its PRC subsidiaries. The VIE may transfer cash to Tuya Information, our wholly-owned subsidiary in the PRC, by paying service fees pursuant to the contractual arrangements through which we control and consolidate the financial results of the VIE. In each of 2019, 2020 and 2021, the VIE did not pay any service fees to Tuya Information pursuant to the contractual arrangements.</w:t>
      </w:r>
    </w:p>
    <w:p>
      <w:pPr>
        <w:spacing w:after="0" w:line="115" w:lineRule="exact"/>
        <w:rPr>
          <w:sz w:val="20"/>
          <w:szCs w:val="20"/>
          <w:color w:val="auto"/>
        </w:rPr>
      </w:pPr>
    </w:p>
    <w:p>
      <w:pPr>
        <w:ind w:left="1240" w:right="479" w:firstLine="356"/>
        <w:spacing w:after="0" w:line="249" w:lineRule="auto"/>
        <w:rPr>
          <w:sz w:val="20"/>
          <w:szCs w:val="20"/>
          <w:color w:val="auto"/>
        </w:rPr>
      </w:pPr>
      <w:r>
        <w:rPr>
          <w:rFonts w:ascii="Arial" w:cs="Arial" w:eastAsia="Arial" w:hAnsi="Arial"/>
          <w:sz w:val="17"/>
          <w:szCs w:val="17"/>
          <w:color w:val="auto"/>
        </w:rPr>
        <w:t>Tuya Inc. has not previously declared or paid any cash dividend or dividend in kind, and has no plan to declare or pay any dividends in the near future on our shares or the ADSs representing our Class A ordinary shares. We currently intend to retain our available funds and any future earnings to operate and expand our business. We currently do not have any plan to require our PRC subsidiaries to distribute their retained earnings and intend to retain them to operate and expand our business in the PRC.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20" w:lineRule="exact"/>
        <w:rPr>
          <w:sz w:val="20"/>
          <w:szCs w:val="20"/>
          <w:color w:val="auto"/>
        </w:rPr>
      </w:pPr>
    </w:p>
    <w:p>
      <w:pPr>
        <w:jc w:val="both"/>
        <w:ind w:left="1240" w:right="579" w:firstLine="356"/>
        <w:spacing w:after="0" w:line="243" w:lineRule="auto"/>
        <w:rPr>
          <w:sz w:val="20"/>
          <w:szCs w:val="20"/>
          <w:color w:val="auto"/>
        </w:rPr>
      </w:pPr>
      <w:r>
        <w:rPr>
          <w:rFonts w:ascii="Arial" w:cs="Arial" w:eastAsia="Arial" w:hAnsi="Arial"/>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ectPr>
          <w:pgSz w:w="11900" w:h="16838" w:orient="portrait"/>
          <w:cols w:equalWidth="0" w:num="1">
            <w:col w:w="9819"/>
          </w:cols>
          <w:pgMar w:left="6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Hypothetical pre-tax earnings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-180340</wp:posOffset>
            </wp:positionV>
            <wp:extent cx="4693920" cy="186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4693920" cy="186690"/>
                    </a:xfrm>
                    <a:prstGeom prst="rect">
                      <a:avLst/>
                    </a:prstGeom>
                    <a:noFill/>
                  </pic:spPr>
                </pic:pic>
              </a:graphicData>
            </a:graphic>
          </wp:anchor>
        </w:drawing>
      </w:r>
    </w:p>
    <w:p>
      <w:pPr>
        <w:spacing w:after="0" w:line="17"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Tax on earnings at statutory rate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19050</wp:posOffset>
            </wp:positionV>
            <wp:extent cx="4693920" cy="161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693920" cy="161290"/>
                    </a:xfrm>
                    <a:prstGeom prst="rect">
                      <a:avLst/>
                    </a:prstGeom>
                    <a:noFill/>
                  </pic:spPr>
                </pic:pic>
              </a:graphicData>
            </a:graphic>
          </wp:anchor>
        </w:drawing>
      </w:r>
    </w:p>
    <w:p>
      <w:pPr>
        <w:spacing w:after="0" w:line="3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Net earnings available for distribution</w:t>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Withholding tax at standard rate of 10%</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20320</wp:posOffset>
            </wp:positionV>
            <wp:extent cx="4693920"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4693920" cy="161290"/>
                    </a:xfrm>
                    <a:prstGeom prst="rect">
                      <a:avLst/>
                    </a:prstGeom>
                    <a:noFill/>
                  </pic:spPr>
                </pic:pic>
              </a:graphicData>
            </a:graphic>
          </wp:anchor>
        </w:drawing>
      </w:r>
    </w:p>
    <w:p>
      <w:pPr>
        <w:spacing w:after="0" w:line="4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Net distribution to Parent/Shareholders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155575</wp:posOffset>
            </wp:positionV>
            <wp:extent cx="1219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36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Notes: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Taxation Scenario</w:t>
      </w:r>
      <w:r>
        <w:rPr>
          <w:rFonts w:ascii="Arial" w:cs="Arial" w:eastAsia="Arial" w:hAnsi="Arial"/>
          <w:sz w:val="13"/>
          <w:szCs w:val="13"/>
          <w:b w:val="1"/>
          <w:bCs w:val="1"/>
          <w:color w:val="auto"/>
          <w:vertAlign w:val="superscript"/>
        </w:rPr>
        <w:t>(1)</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Statutory Tax and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Standard Rates</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100%</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(25)%</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75%</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67.5%</w:t>
      </w:r>
    </w:p>
    <w:p>
      <w:pPr>
        <w:spacing w:after="0" w:line="629" w:lineRule="exact"/>
        <w:rPr>
          <w:sz w:val="20"/>
          <w:szCs w:val="20"/>
          <w:color w:val="auto"/>
        </w:rPr>
      </w:pPr>
    </w:p>
    <w:p>
      <w:pPr>
        <w:sectPr>
          <w:pgSz w:w="11900" w:h="16838" w:orient="portrait"/>
          <w:cols w:equalWidth="0" w:num="2">
            <w:col w:w="7080" w:space="720"/>
            <w:col w:w="2019"/>
          </w:cols>
          <w:pgMar w:left="640" w:top="132" w:right="1440" w:bottom="1440" w:gutter="0" w:footer="0" w:header="0"/>
          <w:type w:val="continuous"/>
        </w:sectPr>
      </w:pPr>
    </w:p>
    <w:p>
      <w:pPr>
        <w:ind w:left="1600" w:right="939" w:hanging="352"/>
        <w:spacing w:after="0" w:line="287" w:lineRule="auto"/>
        <w:tabs>
          <w:tab w:leader="none" w:pos="1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this example, the tax calculation has been simplified. The hypothetical book pre-tax earnings amount, not considering timing differences, is assumed to equal taxable income in China.</w:t>
      </w:r>
    </w:p>
    <w:p>
      <w:pPr>
        <w:spacing w:after="0" w:line="28" w:lineRule="exact"/>
        <w:rPr>
          <w:rFonts w:ascii="Arial" w:cs="Arial" w:eastAsia="Arial" w:hAnsi="Arial"/>
          <w:sz w:val="14"/>
          <w:szCs w:val="14"/>
          <w:color w:val="auto"/>
        </w:rPr>
      </w:pPr>
    </w:p>
    <w:p>
      <w:pPr>
        <w:ind w:left="1600" w:right="679" w:hanging="352"/>
        <w:spacing w:after="0" w:line="265" w:lineRule="auto"/>
        <w:tabs>
          <w:tab w:leader="none" w:pos="1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Under the terms of the contractual arrangements between us and the VIE, our PRC subsidiary may charge the VIE for services provided to the VIE. These service fees shall be recognized as expenses of the VIE, with a corresponding amount as service income by our PRC subsidiary and eliminate in consolidation. For income tax purposes, our PRC subsidiary and the VIE file income tax returns on a separate company basis. The service fees paid are recognized as a tax deduction by the VIE and as income by our PRC subsidiary and are tax neutral.</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0" w:right="459" w:hanging="352"/>
        <w:spacing w:after="0" w:line="263" w:lineRule="auto"/>
        <w:tabs>
          <w:tab w:leader="none" w:pos="1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Tuya Information, our wholly-owned PRC subsidiary, was eligible to enjoy a preferential tax rate of 15% from 2018 to 2020 to the extent it has taxable income under the EIT Law. As of December 31, 2021, the renewal application of Tuya Information’s High and New Technology Enterprise, or the HNTE, qualification was completed and Tuya Information continues qualifying as an HNTE and entitles to enjoy the 15% beneficial tax rate for the years ended December 31, 2022, 2023 and 2024.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45" w:lineRule="exact"/>
        <w:rPr>
          <w:rFonts w:ascii="Arial" w:cs="Arial" w:eastAsia="Arial" w:hAnsi="Arial"/>
          <w:sz w:val="14"/>
          <w:szCs w:val="14"/>
          <w:color w:val="auto"/>
        </w:rPr>
      </w:pPr>
    </w:p>
    <w:p>
      <w:pPr>
        <w:ind w:left="1600" w:right="499" w:hanging="352"/>
        <w:spacing w:after="0" w:line="284" w:lineRule="auto"/>
        <w:tabs>
          <w:tab w:leader="none" w:pos="1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PRC Enterprise Income Tax Law imposes a withholding income tax of 10% on dividends distributed by a foreign invested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107" w:lineRule="exact"/>
        <w:rPr>
          <w:sz w:val="20"/>
          <w:szCs w:val="20"/>
          <w:color w:val="auto"/>
        </w:rPr>
      </w:pPr>
    </w:p>
    <w:p>
      <w:pPr>
        <w:ind w:left="1240" w:right="479" w:firstLine="356"/>
        <w:spacing w:after="0" w:line="265" w:lineRule="auto"/>
        <w:rPr>
          <w:sz w:val="20"/>
          <w:szCs w:val="20"/>
          <w:color w:val="auto"/>
        </w:rPr>
      </w:pPr>
      <w:r>
        <w:rPr>
          <w:rFonts w:ascii="Arial" w:cs="Arial" w:eastAsia="Arial" w:hAnsi="Arial"/>
          <w:sz w:val="17"/>
          <w:szCs w:val="17"/>
          <w:color w:val="auto"/>
        </w:rPr>
        <w:t>The table above has been prepared under the assumption that all profits of the VIE will be distributed as fees to Tuya Information under tax neutral contractual arrangements. If in the future, the accumulated earnings of the VIE exceed the fees paid to Tuya Information, or if the current and contemplated fee structure between the intercompany entities is determined to be non-substantive and disallowed by Chinese tax authorities, we have other tax-planning strategies that can be deployed on a tax neutral basis. Should all tax planning strategies fail, the VIE could, as a matter of last resort, make a non-deductible transfer to our PRC subsidiary for the amounts of the stranded cash in the VIE. This would result in the double taxation of earnings: one at the VIE level (for non-deductible expenses) and one at Tuya Information level (for presumptive earnings on the transfer). Such a transfer and the related tax burdens would reduce our after-tax income to approximately 50.6% of the pre-tax income. Our management believes that there is only a remote possibility that this scenario would happen.</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The Holding Foreign Companies Accountable Act</w:t>
      </w:r>
    </w:p>
    <w:p>
      <w:pPr>
        <w:spacing w:after="0" w:line="144" w:lineRule="exact"/>
        <w:rPr>
          <w:sz w:val="20"/>
          <w:szCs w:val="20"/>
          <w:color w:val="auto"/>
        </w:rPr>
      </w:pPr>
    </w:p>
    <w:p>
      <w:pPr>
        <w:ind w:left="1240" w:right="479" w:firstLine="356"/>
        <w:spacing w:after="0" w:line="214" w:lineRule="exact"/>
        <w:rPr>
          <w:rFonts w:ascii="Arial" w:cs="Arial" w:eastAsia="Arial" w:hAnsi="Arial"/>
          <w:sz w:val="17"/>
          <w:szCs w:val="17"/>
          <w:color w:val="auto"/>
        </w:rPr>
      </w:pPr>
      <w:r>
        <w:rPr>
          <w:rFonts w:ascii="Arial" w:cs="Arial" w:eastAsia="Arial" w:hAnsi="Arial"/>
          <w:sz w:val="17"/>
          <w:szCs w:val="17"/>
          <w:color w:val="auto"/>
        </w:rPr>
        <w:t>The Holding Foreign Companies Accountable Act, or the HFCAA, was enacted on December 18, 2020. The HFCAA states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over-the-counter trading market in the United States. On December 16, 2021, the PCAOB issued a report to notify the SEC of its determination that the PCAOB is unable to inspect or investigate completely registered public accounting firms headquartered in mainland China and Hong Kong. The PCAOB identified our external auditor as one of the registered public accounting firms that the PCAOB is unable to inspect or investigate completely. The HFCAA or other efforts to increase U.S. regulatory access to audit information could cause investor uncertainty for affected issuers, including us, and the market price of the ADSs could be adversely affected. On May 26, 2022, we were conclusively identified by the SEC under the HFCAA as having filed audit reports issued by a registered public accounting firm that cannot be inspected or investigated completed by the PCAOB in connection with our filing of our 2021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For more details, see “Item 3. Key Information — 3.D. Risk Factors — Risks Related to Doing Business in China — Our ADSs will be prohibited from trading in the United States under the Holding Foreign Companies Accountable Act, or the HFCAA, in 2024, if the PCAOB is unable to inspect or fully investigate auditors located in China, or 2023, if proposed changes to the law are enacted. The delisting of our ADSs, or the threat of their being delisted, may materially and adversely affect the value of your investment”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PRC Cybersecurity Review</w:t>
      </w:r>
    </w:p>
    <w:p>
      <w:pPr>
        <w:spacing w:after="0" w:line="157" w:lineRule="exact"/>
        <w:rPr>
          <w:sz w:val="20"/>
          <w:szCs w:val="20"/>
          <w:color w:val="auto"/>
        </w:rPr>
      </w:pPr>
    </w:p>
    <w:p>
      <w:pPr>
        <w:ind w:left="1240" w:right="559" w:firstLine="356"/>
        <w:spacing w:after="0" w:line="252" w:lineRule="auto"/>
        <w:rPr>
          <w:sz w:val="20"/>
          <w:szCs w:val="20"/>
          <w:color w:val="auto"/>
        </w:rPr>
      </w:pPr>
      <w:r>
        <w:rPr>
          <w:rFonts w:ascii="Arial" w:cs="Arial" w:eastAsia="Arial" w:hAnsi="Arial"/>
          <w:sz w:val="18"/>
          <w:szCs w:val="18"/>
          <w:color w:val="auto"/>
        </w:rPr>
        <w:t>On December 28, 2021, the CAC and several other administrations jointly promulgated the Measures for Cybersecurity Review, or Cybersecurity Review Measures, which became effective on February 15, 2022. The Cybersecurity Review Measures provide that (i) a “network platform operator” holding over one million users’ personal information shall apply for a cybersecurity review when listing their securities “in a foreign country”, (ii) a critical information infrastructure operator, or a CIIO, that intends to purchase internet</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products and services that affect or may affect national security shall apply for a cybersecurity review, and</w:t>
      </w:r>
    </w:p>
    <w:p>
      <w:pPr>
        <w:spacing w:after="0" w:line="31" w:lineRule="exact"/>
        <w:rPr>
          <w:sz w:val="20"/>
          <w:szCs w:val="20"/>
          <w:color w:val="auto"/>
        </w:rPr>
      </w:pPr>
    </w:p>
    <w:p>
      <w:pPr>
        <w:ind w:left="1240" w:right="499" w:firstLine="8"/>
        <w:spacing w:after="0" w:line="263" w:lineRule="auto"/>
        <w:tabs>
          <w:tab w:leader="none" w:pos="1573"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 “network platform operator” carrying out data processing activities that affect or may affect national security shall apply for a cybersecurity review. Since the Cybersecurity Review Measures are relatively new, significant uncertainties exist in relation to their interpretation and implementation. Additionally, the Cybersecurity Review Measures do not provide the exact scope of “network platform operator” or the circumstances that would “affect or may affect national security.” As a result, there can be no assurance that we will not be required to apply for a cybersecurity review pursuant to the Cybersecurity Review Measures. To the extent any cybersecurity review is required, we cannot assure you that we will be able to complete it in a timely manner, or at all. 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 See “Item 3. Key Information — 3.D. Risk Factors — 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Potential CSRC Approval Required for Issuance and Listing of Securities Overseas</w:t>
      </w:r>
    </w:p>
    <w:p>
      <w:pPr>
        <w:spacing w:after="0" w:line="144" w:lineRule="exact"/>
        <w:rPr>
          <w:sz w:val="20"/>
          <w:szCs w:val="20"/>
          <w:color w:val="auto"/>
        </w:rPr>
      </w:pPr>
    </w:p>
    <w:p>
      <w:pPr>
        <w:ind w:left="1240" w:right="519" w:firstLine="356"/>
        <w:spacing w:after="0" w:line="263" w:lineRule="auto"/>
        <w:rPr>
          <w:rFonts w:ascii="Arial" w:cs="Arial" w:eastAsia="Arial" w:hAnsi="Arial"/>
          <w:sz w:val="17"/>
          <w:szCs w:val="17"/>
          <w:color w:val="0000EE"/>
        </w:rPr>
      </w:pPr>
      <w:r>
        <w:rPr>
          <w:rFonts w:ascii="Arial" w:cs="Arial" w:eastAsia="Arial" w:hAnsi="Arial"/>
          <w:sz w:val="17"/>
          <w:szCs w:val="17"/>
          <w:color w:val="auto"/>
        </w:rPr>
        <w:t xml:space="preserve">On December 24, 2021, the CSRC published the draft Regulations of the State Council on the Administration of Overseas Issuance and Listing of Securities by Domestic Companies (Draft for Comments), or Administrative Provisions, and the draft Measures for the Record-Filing of Overseas Issuance and Listing of Securities by Domestic Companies (Draft for Comments), or Filing Measures, for public comments. Pursuant to these drafts, PRC domestic companies that seek to directly or indirectly issue or list their securities overseas shall file with the CSRC certain required documents, and “PRC domestic companies” are defined to include both (i) PRC companies limited by shares that seek direct issuance of shares and listing overseas, and (ii) offshore-incorporated companies whose main business operations are in China that seek indirect issuance of shares and listing overseas based on their onshore equity, assets or similar interests. More specifically, a “PRC domestic company” that seeks an initial public offering overseas, or a “PRC domestic company” already listed overseas who seeks to list its securities in another overseas market, shall file the required documents with the CSRC within three (3) business days after submitting the application documents for the foregoing transactions. As of the date of this prospectus, it remains uncertain when the final Administrative Provision and Filing Measures will be adopted. Uncertainties also exist regarding the final form of these regulations as well as the interpretation and implementation thereof after promulgation. If the Administrative Provisions and Filing Measures are adopted in the current form, we may be required to file required documents with the CSRC regarding our future securities offerings, which could take up to 20 business days for the CSRC to review and approve after submitting all required documents. See “Item 3. Key Information — 3.D. Risk Factors — The filing, approval or other administration requirements of the CSRC, the CAC or other PRC government authorities </w:t>
      </w:r>
      <w:hyperlink r:id="rId21">
        <w:r>
          <w:rPr>
            <w:rFonts w:ascii="Arial" w:cs="Arial" w:eastAsia="Arial" w:hAnsi="Arial"/>
            <w:sz w:val="17"/>
            <w:szCs w:val="17"/>
            <w:color w:val="auto"/>
          </w:rPr>
          <w:t xml:space="preserve">may be required to maintain our listing status or conduct future offshore securities offerings” in our </w:t>
        </w:r>
        <w:r>
          <w:rPr>
            <w:rFonts w:ascii="Arial" w:cs="Arial" w:eastAsia="Arial" w:hAnsi="Arial"/>
            <w:sz w:val="17"/>
            <w:szCs w:val="17"/>
            <w:u w:val="single" w:color="auto"/>
            <w:color w:val="0000EE"/>
          </w:rPr>
          <w:t>2021</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Form 20-F</w:t>
        </w:r>
        <w:r>
          <w:rPr>
            <w:rFonts w:ascii="Arial" w:cs="Arial" w:eastAsia="Arial" w:hAnsi="Arial"/>
            <w:sz w:val="17"/>
            <w:szCs w:val="17"/>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RISK FACTORS</w:t>
      </w:r>
    </w:p>
    <w:p>
      <w:pPr>
        <w:spacing w:after="0" w:line="144" w:lineRule="exact"/>
        <w:rPr>
          <w:sz w:val="20"/>
          <w:szCs w:val="20"/>
          <w:color w:val="auto"/>
        </w:rPr>
      </w:pPr>
    </w:p>
    <w:p>
      <w:pPr>
        <w:ind w:left="1240" w:right="639" w:firstLine="356"/>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risks. You should carefully consider the risks described under the section “Item 3. Key Information — 3.D. Risk Factors”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 which is incorporated into this prospectus by reference, and any additional risk factors disclosed in any accompanying prospectus supplement or any other document incorporated by reference in this prospectus before investing in any securities that may be offered pursuant to this prospectus. Please see “Where You Can Find More Information About Us” and “Incorporation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USE OF PROCEEDS</w:t>
      </w:r>
    </w:p>
    <w:p>
      <w:pPr>
        <w:spacing w:after="0" w:line="144" w:lineRule="exact"/>
        <w:rPr>
          <w:sz w:val="20"/>
          <w:szCs w:val="20"/>
          <w:color w:val="auto"/>
        </w:rPr>
      </w:pPr>
    </w:p>
    <w:p>
      <w:pPr>
        <w:ind w:left="1240" w:right="499" w:firstLine="356"/>
        <w:spacing w:after="0" w:line="258" w:lineRule="auto"/>
        <w:rPr>
          <w:sz w:val="20"/>
          <w:szCs w:val="20"/>
          <w:color w:val="auto"/>
        </w:rPr>
      </w:pPr>
      <w:r>
        <w:rPr>
          <w:rFonts w:ascii="Arial" w:cs="Arial" w:eastAsia="Arial" w:hAnsi="Arial"/>
          <w:sz w:val="18"/>
          <w:szCs w:val="18"/>
          <w:color w:val="auto"/>
        </w:rPr>
        <w:t>We intend to use the net proceeds from the sale of the securities we offer as set forth in the applicable prospectus supplement(s). The specific allocations of the proceeds we receive from the sale of our securities will be described in the applicable prospectus supplement(s).</w:t>
      </w:r>
    </w:p>
    <w:p>
      <w:pPr>
        <w:spacing w:after="0" w:line="120" w:lineRule="exact"/>
        <w:rPr>
          <w:sz w:val="20"/>
          <w:szCs w:val="20"/>
          <w:color w:val="auto"/>
        </w:rPr>
      </w:pPr>
    </w:p>
    <w:p>
      <w:pPr>
        <w:ind w:left="1240" w:right="659" w:firstLine="356"/>
        <w:spacing w:after="0" w:line="270" w:lineRule="auto"/>
        <w:rPr>
          <w:sz w:val="20"/>
          <w:szCs w:val="20"/>
          <w:color w:val="auto"/>
        </w:rPr>
      </w:pPr>
      <w:r>
        <w:rPr>
          <w:rFonts w:ascii="Arial" w:cs="Arial" w:eastAsia="Arial" w:hAnsi="Arial"/>
          <w:sz w:val="18"/>
          <w:szCs w:val="18"/>
          <w:color w:val="auto"/>
        </w:rPr>
        <w:t>We will not receive any proceeds from the sale of our Class A ordinary shares or ADSs by the selling shareholders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DESCRIPTION OF SHARE CAPITAL</w:t>
      </w:r>
    </w:p>
    <w:p>
      <w:pPr>
        <w:spacing w:after="0" w:line="144" w:lineRule="exact"/>
        <w:rPr>
          <w:sz w:val="20"/>
          <w:szCs w:val="20"/>
          <w:color w:val="auto"/>
        </w:rPr>
      </w:pPr>
    </w:p>
    <w:p>
      <w:pPr>
        <w:ind w:left="1240" w:right="599" w:firstLine="356"/>
        <w:spacing w:after="0" w:line="288" w:lineRule="auto"/>
        <w:rPr>
          <w:sz w:val="20"/>
          <w:szCs w:val="20"/>
          <w:color w:val="auto"/>
        </w:rPr>
      </w:pPr>
      <w:r>
        <w:rPr>
          <w:rFonts w:ascii="Arial" w:cs="Arial" w:eastAsia="Arial" w:hAnsi="Arial"/>
          <w:sz w:val="16"/>
          <w:szCs w:val="16"/>
          <w:color w:val="auto"/>
        </w:rPr>
        <w:t>We are a Cayman Islands exempted company and our affairs are governed by our memorandum and articles of association, as amended and restated from time to time, and Companies Act (as amended) of the Cayman Islands, which we refer to as Companies Act below, and the common law of the Cayman Islands.</w:t>
      </w:r>
    </w:p>
    <w:p>
      <w:pPr>
        <w:spacing w:after="0" w:line="85" w:lineRule="exact"/>
        <w:rPr>
          <w:sz w:val="20"/>
          <w:szCs w:val="20"/>
          <w:color w:val="auto"/>
        </w:rPr>
      </w:pPr>
    </w:p>
    <w:p>
      <w:pPr>
        <w:ind w:left="1240" w:right="599" w:firstLine="356"/>
        <w:spacing w:after="0" w:line="235" w:lineRule="auto"/>
        <w:rPr>
          <w:sz w:val="20"/>
          <w:szCs w:val="20"/>
          <w:color w:val="auto"/>
        </w:rPr>
      </w:pPr>
      <w:r>
        <w:rPr>
          <w:rFonts w:ascii="Arial" w:cs="Arial" w:eastAsia="Arial" w:hAnsi="Arial"/>
          <w:sz w:val="18"/>
          <w:szCs w:val="18"/>
          <w:color w:val="auto"/>
        </w:rPr>
        <w:t>As of the date of this prospectus, our authorized share capital consists of US $50,000 divided into 1,000,000,000 ordinary shares of a par value of US$0.00005 each, comprising of (i) 600,000,000 Class A ordinary shares of a par value of US$0.00005 each, (ii) 200,000,000 Class B ordinary shares of a par value of US$0.00005 each, and (iii) 200,000,000 shares of such class or classes as our board of directors may determine. As of the date of this prospectus, there are 571,246,560 ordinary shares that are issued and outstanding, consisting of 491,846,560 Class A ordinary shares (including 5,433,895 Class A ordinary shares issued to the depositary bank for bulk issuance of ADSs reserved for future issuances upon the exercise or vesting of awards granted under our 2015 Equity Incentive Plan and 17,831,921 Class A ordinary shares represented by ADSs that have been repurchased by us from open market) and 79,400,000 Class B ordinary shares.</w:t>
      </w:r>
    </w:p>
    <w:p>
      <w:pPr>
        <w:spacing w:after="0" w:line="121" w:lineRule="exact"/>
        <w:rPr>
          <w:sz w:val="20"/>
          <w:szCs w:val="20"/>
          <w:color w:val="auto"/>
        </w:rPr>
      </w:pPr>
    </w:p>
    <w:p>
      <w:pPr>
        <w:ind w:left="1240" w:right="539" w:firstLine="356"/>
        <w:spacing w:after="0" w:line="316" w:lineRule="auto"/>
        <w:rPr>
          <w:sz w:val="20"/>
          <w:szCs w:val="20"/>
          <w:color w:val="auto"/>
        </w:rPr>
      </w:pPr>
      <w:r>
        <w:rPr>
          <w:rFonts w:ascii="Arial" w:cs="Arial" w:eastAsia="Arial" w:hAnsi="Arial"/>
          <w:sz w:val="16"/>
          <w:szCs w:val="16"/>
          <w:color w:val="auto"/>
        </w:rPr>
        <w:t>The following are summaries of material provisions of our eighth memorandum and articles of association, or the MAA, and the Companies Act as they relate to the material terms of our ordinary shares.</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Ordinary Shares</w:t>
      </w:r>
    </w:p>
    <w:p>
      <w:pPr>
        <w:spacing w:after="0" w:line="144" w:lineRule="exact"/>
        <w:rPr>
          <w:sz w:val="20"/>
          <w:szCs w:val="20"/>
          <w:color w:val="auto"/>
        </w:rPr>
      </w:pPr>
    </w:p>
    <w:p>
      <w:pPr>
        <w:ind w:left="1240" w:right="559" w:firstLine="356"/>
        <w:spacing w:after="0" w:line="279"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Holders of ordinary shares will have the same rights. All of our issued and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shares are fully paid and non -assessable.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spacing w:after="0" w:line="92" w:lineRule="exact"/>
        <w:rPr>
          <w:sz w:val="20"/>
          <w:szCs w:val="20"/>
          <w:color w:val="auto"/>
        </w:rPr>
      </w:pPr>
    </w:p>
    <w:p>
      <w:pPr>
        <w:ind w:left="1240" w:right="519" w:firstLine="356"/>
        <w:spacing w:after="0" w:line="251"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The holders of our ordinary shares are entitled to such dividends as may be declared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subject to our MAA and the Companies Act. Our MAA provides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12" w:lineRule="exact"/>
        <w:rPr>
          <w:sz w:val="20"/>
          <w:szCs w:val="20"/>
          <w:color w:val="auto"/>
        </w:rPr>
      </w:pPr>
    </w:p>
    <w:p>
      <w:pPr>
        <w:ind w:left="1240" w:right="659" w:firstLine="356"/>
        <w:spacing w:after="0" w:line="255" w:lineRule="auto"/>
        <w:rPr>
          <w:sz w:val="20"/>
          <w:szCs w:val="20"/>
          <w:color w:val="auto"/>
        </w:rPr>
      </w:pPr>
      <w:r>
        <w:rPr>
          <w:rFonts w:ascii="Arial" w:cs="Arial" w:eastAsia="Arial" w:hAnsi="Arial"/>
          <w:sz w:val="18"/>
          <w:szCs w:val="18"/>
          <w:b w:val="1"/>
          <w:bCs w:val="1"/>
          <w:i w:val="1"/>
          <w:iCs w:val="1"/>
          <w:color w:val="auto"/>
        </w:rPr>
        <w:t>Classes of Ordinary Shares</w:t>
      </w:r>
      <w:r>
        <w:rPr>
          <w:rFonts w:ascii="Arial" w:cs="Arial" w:eastAsia="Arial" w:hAnsi="Arial"/>
          <w:sz w:val="18"/>
          <w:szCs w:val="18"/>
          <w:color w:val="auto"/>
        </w:rPr>
        <w:t>. Our ordinary shares are divided into Class A ordinary shares and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ordinary shares. Except for conversion rights and voting rights, the Class A ordinary shares and Class B ordinary shares shall carry equal rights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one another, including but not limited to the rights to dividends and other capital distributions.</w:t>
      </w:r>
    </w:p>
    <w:p>
      <w:pPr>
        <w:spacing w:after="0" w:line="108" w:lineRule="exact"/>
        <w:rPr>
          <w:sz w:val="20"/>
          <w:szCs w:val="20"/>
          <w:color w:val="auto"/>
        </w:rPr>
      </w:pPr>
    </w:p>
    <w:p>
      <w:pPr>
        <w:ind w:left="1240" w:right="519" w:firstLine="356"/>
        <w:spacing w:after="0" w:line="248"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 Class B ordinary share is convertible into one Class A ordinary share at any time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thereof, while Class A ordinary 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 The Class B ordinary shares, if any, beneficially owned by Mr. Xueji (Jerry) Wang and his affiliates, shall be automatically and immediately converted into an equal number of Class A ordinary shares upon Mr. Xueji (Jerry) Wang ceasing to be our director. For the avoidance of doubt, (i) a sale, transfer, assignment or disposition shall be effective upon our company’s registration of such sale, transfer, assignment or disposition in our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who is not an affiliate of the relevant member becoming a beneficial owner of the relevant Class B ordinary shares in which case all the</w:t>
      </w: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59"/>
        <w:spacing w:after="0" w:line="249" w:lineRule="auto"/>
        <w:rPr>
          <w:sz w:val="20"/>
          <w:szCs w:val="20"/>
          <w:color w:val="auto"/>
        </w:rPr>
      </w:pPr>
      <w:r>
        <w:rPr>
          <w:rFonts w:ascii="Arial" w:cs="Arial" w:eastAsia="Arial" w:hAnsi="Arial"/>
          <w:sz w:val="17"/>
          <w:szCs w:val="17"/>
          <w:color w:val="auto"/>
        </w:rPr>
        <w:t>related Class B ordinary shares shall be automatically and immediately converted into the same number of Class A ordinary shares, (iii) any sale, transfer, assignment or disposition of any Class B ordinary shares by a holder thereof to any person which is a beneficial owner of Class B ordinary shares shall not trigger the automatic conversion of such Class B ordinary shares into Class A ordinary shares; and (iv) in the event that Mr. Liaohan (Leo) Chen ceases to be a director or an executive officer or employee of our company, any and all of the Class B ordinary shares beneficially owned by Mr. Liaohan (Leo) Chen and any affiliate of</w:t>
      </w:r>
    </w:p>
    <w:p>
      <w:pPr>
        <w:ind w:left="1240" w:right="519"/>
        <w:spacing w:after="0" w:line="232" w:lineRule="auto"/>
        <w:rPr>
          <w:sz w:val="20"/>
          <w:szCs w:val="20"/>
          <w:color w:val="auto"/>
        </w:rPr>
      </w:pPr>
      <w:r>
        <w:rPr>
          <w:rFonts w:ascii="Arial" w:cs="Arial" w:eastAsia="Arial" w:hAnsi="Arial"/>
          <w:sz w:val="18"/>
          <w:szCs w:val="18"/>
          <w:color w:val="auto"/>
        </w:rPr>
        <w:t>Mr. Liaohan (Leo) Chen shall be automatically and immediately converted into an equal number of Class A ordinary shares; provided that in the event that Mr. Liaohan (Leo) Chen ceases to be a director or an executive officer or employee of our company and has, prior to or concurrently with his ceasing to be in such position, delegated the voting power on any of the Class B ordinary shares that he beneficially owns to Mr. Xueji (Jerry) Wang and/or an affiliate of Mr. Xueji (Jerry) Wang through voting proxy, voting agreement or similar arrangement, the automatic conversion into Class A ordinary shares of such Class B ordinary shares the voting power of which is so delegated shall not be triggered. For the purpose of the foregoing sentence, an “affiliate” of a given shareholder means any other person that, directly or indirectly, controls, is controlled by or is under common control with such person, and for the purposes of the foregoing definition of “affiliate,” “control” means, in relation to any person, the power or authority, whether exercised or not, to direct the business, management and policies of such person, directly or indirectly, whether through the ownership of voting securities, by contract or otherwise; provided,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of such person.</w:t>
      </w:r>
    </w:p>
    <w:p>
      <w:pPr>
        <w:spacing w:after="0" w:line="118" w:lineRule="exact"/>
        <w:rPr>
          <w:sz w:val="20"/>
          <w:szCs w:val="20"/>
          <w:color w:val="auto"/>
        </w:rPr>
      </w:pPr>
    </w:p>
    <w:p>
      <w:pPr>
        <w:ind w:left="1240" w:right="479" w:firstLine="356"/>
        <w:spacing w:after="0" w:line="253"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In respect of all matters subject to a shareholders’ vote, holders of Class A ordinary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and Class B ordinary shares shall, at all times, vote together as one class on all matters submitted to a vote by the members. Each Class A ordinary share shall be entitled to one vote on all matters subject to the vote at general meetings of our company, and each Class B ordinary share shall be entitled to 15 votes on all matters subject to the vote at general meetings of our company. Voting at any meeting of shareholders shall be determined by poll and not on a show of hands.</w:t>
      </w:r>
    </w:p>
    <w:p>
      <w:pPr>
        <w:spacing w:after="0" w:line="111" w:lineRule="exact"/>
        <w:rPr>
          <w:sz w:val="20"/>
          <w:szCs w:val="20"/>
          <w:color w:val="auto"/>
        </w:rPr>
      </w:pPr>
    </w:p>
    <w:p>
      <w:pPr>
        <w:ind w:left="1240" w:right="479" w:firstLine="356"/>
        <w:spacing w:after="0" w:line="236"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not less than two- thirds of all votes, calculated on a fully converted basis, cast by those shareholders entitled to vote who are present in person or by proxy at a general meeting. Subject to the provisions of the Companies Act and our MAA, a special resolution will be required for important matters such as a change of name or making changes to our MAA.</w:t>
      </w:r>
    </w:p>
    <w:p>
      <w:pPr>
        <w:spacing w:after="0" w:line="123" w:lineRule="exact"/>
        <w:rPr>
          <w:sz w:val="20"/>
          <w:szCs w:val="20"/>
          <w:color w:val="auto"/>
        </w:rPr>
      </w:pPr>
    </w:p>
    <w:p>
      <w:pPr>
        <w:ind w:left="1240" w:right="519" w:firstLine="356"/>
        <w:spacing w:after="0" w:line="248" w:lineRule="auto"/>
        <w:rPr>
          <w:sz w:val="20"/>
          <w:szCs w:val="20"/>
          <w:color w:val="auto"/>
        </w:rPr>
      </w:pPr>
      <w:r>
        <w:rPr>
          <w:rFonts w:ascii="Arial" w:cs="Arial" w:eastAsia="Arial" w:hAnsi="Arial"/>
          <w:sz w:val="17"/>
          <w:szCs w:val="17"/>
          <w:b w:val="1"/>
          <w:bCs w:val="1"/>
          <w:i w:val="1"/>
          <w:iCs w:val="1"/>
          <w:color w:val="auto"/>
        </w:rPr>
        <w:t>General Meetings of Shareholders</w:t>
      </w:r>
      <w:r>
        <w:rPr>
          <w:rFonts w:ascii="Arial" w:cs="Arial" w:eastAsia="Arial" w:hAnsi="Arial"/>
          <w:sz w:val="17"/>
          <w:szCs w:val="17"/>
          <w:color w:val="auto"/>
        </w:rPr>
        <w:t>. A quorum required for a meeting of shareholders consists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holding a majority of all votes attaching to the issued and outstanding shares entitled to vote at general meetings present in person or by proxy or, if a corporation or other non -natural person, by its duly authorized representative. Our MAA provides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MAA does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102" w:lineRule="exact"/>
        <w:rPr>
          <w:sz w:val="20"/>
          <w:szCs w:val="20"/>
          <w:color w:val="auto"/>
        </w:rPr>
      </w:pPr>
    </w:p>
    <w:p>
      <w:pPr>
        <w:ind w:left="1240" w:right="499" w:firstLine="356"/>
        <w:spacing w:after="0" w:line="243" w:lineRule="auto"/>
        <w:rPr>
          <w:sz w:val="20"/>
          <w:szCs w:val="20"/>
          <w:color w:val="auto"/>
        </w:rPr>
      </w:pPr>
      <w:r>
        <w:rPr>
          <w:rFonts w:ascii="Arial" w:cs="Arial" w:eastAsia="Arial" w:hAnsi="Arial"/>
          <w:sz w:val="18"/>
          <w:szCs w:val="18"/>
          <w:b w:val="1"/>
          <w:bCs w:val="1"/>
          <w:i w:val="1"/>
          <w:iCs w:val="1"/>
          <w:color w:val="auto"/>
        </w:rPr>
        <w:t>Transfer of Ordinary Shares</w:t>
      </w:r>
      <w:r>
        <w:rPr>
          <w:rFonts w:ascii="Arial" w:cs="Arial" w:eastAsia="Arial" w:hAnsi="Arial"/>
          <w:sz w:val="18"/>
          <w:szCs w:val="18"/>
          <w:color w:val="auto"/>
        </w:rPr>
        <w:t>. Subject to the restrictions in our MAA as set out below, any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may transfer all or any of his or her ordinary shares by an instrument of transfer in the usual or common form or any other form approved by our board of directors.</w:t>
      </w:r>
    </w:p>
    <w:p>
      <w:pPr>
        <w:spacing w:after="0" w:line="37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719" w:firstLine="356"/>
        <w:spacing w:after="0" w:line="243"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8" w:lineRule="exact"/>
        <w:rPr>
          <w:sz w:val="20"/>
          <w:szCs w:val="20"/>
          <w:color w:val="auto"/>
        </w:rPr>
      </w:pPr>
    </w:p>
    <w:p>
      <w:pPr>
        <w:jc w:val="both"/>
        <w:ind w:left="1780" w:right="479" w:hanging="176"/>
        <w:spacing w:after="0" w:line="258"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6"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13" w:lineRule="exact"/>
        <w:rPr>
          <w:rFonts w:ascii="Arial" w:cs="Arial" w:eastAsia="Arial" w:hAnsi="Arial"/>
          <w:sz w:val="18"/>
          <w:szCs w:val="18"/>
          <w:color w:val="auto"/>
        </w:rPr>
      </w:pPr>
    </w:p>
    <w:p>
      <w:pPr>
        <w:ind w:left="1780" w:right="51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67" w:lineRule="exact"/>
        <w:rPr>
          <w:rFonts w:ascii="Arial" w:cs="Arial" w:eastAsia="Arial" w:hAnsi="Arial"/>
          <w:sz w:val="18"/>
          <w:szCs w:val="18"/>
          <w:color w:val="auto"/>
        </w:rPr>
      </w:pPr>
    </w:p>
    <w:p>
      <w:pPr>
        <w:ind w:left="1780" w:right="819" w:hanging="176"/>
        <w:spacing w:after="0" w:line="270"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directors may from time to time require is paid to us in respect thereof.</w:t>
      </w:r>
    </w:p>
    <w:p>
      <w:pPr>
        <w:spacing w:after="0" w:line="108" w:lineRule="exact"/>
        <w:rPr>
          <w:sz w:val="20"/>
          <w:szCs w:val="20"/>
          <w:color w:val="auto"/>
        </w:rPr>
      </w:pPr>
    </w:p>
    <w:p>
      <w:pPr>
        <w:ind w:left="1240" w:right="639" w:firstLine="356"/>
        <w:spacing w:after="0" w:line="333" w:lineRule="auto"/>
        <w:rPr>
          <w:sz w:val="20"/>
          <w:szCs w:val="20"/>
          <w:color w:val="auto"/>
        </w:rPr>
      </w:pPr>
      <w:r>
        <w:rPr>
          <w:rFonts w:ascii="Arial" w:cs="Arial" w:eastAsia="Arial" w:hAnsi="Arial"/>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50" w:lineRule="exact"/>
        <w:rPr>
          <w:sz w:val="20"/>
          <w:szCs w:val="20"/>
          <w:color w:val="auto"/>
        </w:rPr>
      </w:pPr>
    </w:p>
    <w:p>
      <w:pPr>
        <w:ind w:left="1240" w:right="479" w:firstLine="356"/>
        <w:spacing w:after="0" w:line="255" w:lineRule="auto"/>
        <w:rPr>
          <w:sz w:val="20"/>
          <w:szCs w:val="20"/>
          <w:color w:val="auto"/>
        </w:rPr>
      </w:pPr>
      <w:r>
        <w:rPr>
          <w:rFonts w:ascii="Arial" w:cs="Arial" w:eastAsia="Arial" w:hAnsi="Arial"/>
          <w:sz w:val="18"/>
          <w:szCs w:val="18"/>
          <w:color w:val="auto"/>
        </w:rPr>
        <w:t xml:space="preserve">The registration of transfers may, after compliance with any notice required of the NYSE, be suspended and the register closed at such times and for such periods as our board of directors may from time to time determine,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registration of transfers shall not be suspended nor the register closed for 30 more than days in any year as our board may determine.</w:t>
      </w:r>
    </w:p>
    <w:p>
      <w:pPr>
        <w:spacing w:after="0" w:line="121" w:lineRule="exact"/>
        <w:rPr>
          <w:sz w:val="20"/>
          <w:szCs w:val="20"/>
          <w:color w:val="auto"/>
        </w:rPr>
      </w:pPr>
    </w:p>
    <w:p>
      <w:pPr>
        <w:ind w:left="1240" w:right="479" w:firstLine="356"/>
        <w:spacing w:after="0" w:line="250"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On the winding up of our company, if the assets available for distribution amongst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30" w:lineRule="exact"/>
        <w:rPr>
          <w:sz w:val="20"/>
          <w:szCs w:val="20"/>
          <w:color w:val="auto"/>
        </w:rPr>
      </w:pPr>
    </w:p>
    <w:p>
      <w:pPr>
        <w:ind w:left="1240" w:right="459" w:firstLine="356"/>
        <w:spacing w:after="0" w:line="255" w:lineRule="auto"/>
        <w:rPr>
          <w:sz w:val="20"/>
          <w:szCs w:val="20"/>
          <w:color w:val="auto"/>
        </w:rPr>
      </w:pPr>
      <w:r>
        <w:rPr>
          <w:rFonts w:ascii="Arial" w:cs="Arial" w:eastAsia="Arial" w:hAnsi="Arial"/>
          <w:sz w:val="18"/>
          <w:szCs w:val="18"/>
          <w:b w:val="1"/>
          <w:bCs w:val="1"/>
          <w:i w:val="1"/>
          <w:iCs w:val="1"/>
          <w:color w:val="auto"/>
        </w:rPr>
        <w:t>Calls on Ordinary Shares and Forfeiture of Ordinary Shares</w:t>
      </w:r>
      <w:r>
        <w:rPr>
          <w:rFonts w:ascii="Arial" w:cs="Arial" w:eastAsia="Arial" w:hAnsi="Arial"/>
          <w:sz w:val="18"/>
          <w:szCs w:val="18"/>
          <w:color w:val="auto"/>
        </w:rPr>
        <w:t>. Our board of directors may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08" w:lineRule="exact"/>
        <w:rPr>
          <w:sz w:val="20"/>
          <w:szCs w:val="20"/>
          <w:color w:val="auto"/>
        </w:rPr>
      </w:pPr>
    </w:p>
    <w:p>
      <w:pPr>
        <w:ind w:left="1240" w:right="499" w:firstLine="356"/>
        <w:spacing w:after="0" w:line="283" w:lineRule="auto"/>
        <w:rPr>
          <w:sz w:val="20"/>
          <w:szCs w:val="20"/>
          <w:color w:val="auto"/>
        </w:rPr>
      </w:pPr>
      <w:r>
        <w:rPr>
          <w:rFonts w:ascii="Arial" w:cs="Arial" w:eastAsia="Arial" w:hAnsi="Arial"/>
          <w:sz w:val="16"/>
          <w:szCs w:val="16"/>
          <w:b w:val="1"/>
          <w:bCs w:val="1"/>
          <w:i w:val="1"/>
          <w:iCs w:val="1"/>
          <w:color w:val="auto"/>
        </w:rPr>
        <w:t>Redemption, Repurchase and Surrender of Ordinary Shares</w:t>
      </w:r>
      <w:r>
        <w:rPr>
          <w:rFonts w:ascii="Arial" w:cs="Arial" w:eastAsia="Arial" w:hAnsi="Arial"/>
          <w:sz w:val="16"/>
          <w:szCs w:val="16"/>
          <w:color w:val="auto"/>
        </w:rPr>
        <w:t>. We may issue shares on terms that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MAA.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05" w:lineRule="exact"/>
        <w:rPr>
          <w:sz w:val="20"/>
          <w:szCs w:val="20"/>
          <w:color w:val="auto"/>
        </w:rPr>
      </w:pPr>
    </w:p>
    <w:p>
      <w:pPr>
        <w:ind w:left="1240" w:right="479" w:firstLine="356"/>
        <w:spacing w:after="0" w:line="289" w:lineRule="auto"/>
        <w:rPr>
          <w:sz w:val="20"/>
          <w:szCs w:val="20"/>
          <w:color w:val="auto"/>
        </w:rPr>
      </w:pPr>
      <w:r>
        <w:rPr>
          <w:rFonts w:ascii="Arial" w:cs="Arial" w:eastAsia="Arial" w:hAnsi="Arial"/>
          <w:sz w:val="16"/>
          <w:szCs w:val="16"/>
          <w:b w:val="1"/>
          <w:bCs w:val="1"/>
          <w:i w:val="1"/>
          <w:iCs w:val="1"/>
          <w:color w:val="auto"/>
        </w:rPr>
        <w:t>Variations of Rights of Shares</w:t>
      </w:r>
      <w:r>
        <w:rPr>
          <w:rFonts w:ascii="Arial" w:cs="Arial" w:eastAsia="Arial" w:hAnsi="Arial"/>
          <w:sz w:val="16"/>
          <w:szCs w:val="16"/>
          <w:color w:val="auto"/>
        </w:rPr>
        <w:t>. If at any time our share capital is divided into different classes or series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shares, the rights attached to any class or series of shares (unless otherwise provided by the terms of issue of the shares of that class or series), whether or not our company is being wound-up,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w:t>
      </w:r>
    </w:p>
    <w:p>
      <w:pPr>
        <w:spacing w:after="0" w:line="33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659"/>
        <w:spacing w:after="0" w:line="270" w:lineRule="auto"/>
        <w:rPr>
          <w:sz w:val="20"/>
          <w:szCs w:val="20"/>
          <w:color w:val="auto"/>
        </w:rPr>
      </w:pPr>
      <w:r>
        <w:rPr>
          <w:rFonts w:ascii="Arial" w:cs="Arial" w:eastAsia="Arial" w:hAnsi="Arial"/>
          <w:sz w:val="18"/>
          <w:szCs w:val="18"/>
          <w:color w:val="auto"/>
        </w:rPr>
        <w:t xml:space="preserve">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95" w:lineRule="exact"/>
        <w:rPr>
          <w:sz w:val="20"/>
          <w:szCs w:val="20"/>
          <w:color w:val="auto"/>
        </w:rPr>
      </w:pPr>
    </w:p>
    <w:p>
      <w:pPr>
        <w:ind w:left="1240" w:right="679" w:firstLine="356"/>
        <w:spacing w:after="0" w:line="253" w:lineRule="auto"/>
        <w:rPr>
          <w:sz w:val="20"/>
          <w:szCs w:val="20"/>
          <w:color w:val="auto"/>
        </w:rPr>
      </w:pPr>
      <w:r>
        <w:rPr>
          <w:rFonts w:ascii="Arial" w:cs="Arial" w:eastAsia="Arial" w:hAnsi="Arial"/>
          <w:sz w:val="18"/>
          <w:szCs w:val="18"/>
          <w:b w:val="1"/>
          <w:bCs w:val="1"/>
          <w:i w:val="1"/>
          <w:iCs w:val="1"/>
          <w:color w:val="auto"/>
        </w:rPr>
        <w:t>Inspection of Books and Records</w:t>
      </w:r>
      <w:r>
        <w:rPr>
          <w:rFonts w:ascii="Arial" w:cs="Arial" w:eastAsia="Arial" w:hAnsi="Arial"/>
          <w:sz w:val="18"/>
          <w:szCs w:val="18"/>
          <w:color w:val="auto"/>
        </w:rPr>
        <w:t>. Holders of our ordinary shares have no general right under Cayman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Islands law to inspect or obtain copies of our list of shareholders or our corporate records (other than our memorandum and articles of association, our register of mortgages and charges, and copies of any special resolutions passed by our shareholders). However, we will provide our shareholders with annual audited financial statements.</w:t>
      </w:r>
    </w:p>
    <w:p>
      <w:pPr>
        <w:spacing w:after="0" w:line="123" w:lineRule="exact"/>
        <w:rPr>
          <w:sz w:val="20"/>
          <w:szCs w:val="20"/>
          <w:color w:val="auto"/>
        </w:rPr>
      </w:pPr>
    </w:p>
    <w:p>
      <w:pPr>
        <w:jc w:val="both"/>
        <w:ind w:left="1240" w:right="579" w:firstLine="356"/>
        <w:spacing w:after="0" w:line="258" w:lineRule="auto"/>
        <w:rPr>
          <w:sz w:val="20"/>
          <w:szCs w:val="20"/>
          <w:color w:val="auto"/>
        </w:rPr>
      </w:pPr>
      <w:r>
        <w:rPr>
          <w:rFonts w:ascii="Arial" w:cs="Arial" w:eastAsia="Arial" w:hAnsi="Arial"/>
          <w:sz w:val="18"/>
          <w:szCs w:val="18"/>
          <w:b w:val="1"/>
          <w:bCs w:val="1"/>
          <w:i w:val="1"/>
          <w:iCs w:val="1"/>
          <w:color w:val="auto"/>
        </w:rPr>
        <w:t>Issuance of Additional Shares</w:t>
      </w:r>
      <w:r>
        <w:rPr>
          <w:rFonts w:ascii="Arial" w:cs="Arial" w:eastAsia="Arial" w:hAnsi="Arial"/>
          <w:sz w:val="18"/>
          <w:szCs w:val="18"/>
          <w:color w:val="auto"/>
        </w:rPr>
        <w:t>. Our MAA authorizes our board of directors to issue additional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time to time as our board of directors shall determine, to the extent of available authorized but unissued shares.</w:t>
      </w:r>
    </w:p>
    <w:p>
      <w:pPr>
        <w:spacing w:after="0" w:line="120" w:lineRule="exact"/>
        <w:rPr>
          <w:sz w:val="20"/>
          <w:szCs w:val="20"/>
          <w:color w:val="auto"/>
        </w:rPr>
      </w:pPr>
    </w:p>
    <w:p>
      <w:pPr>
        <w:ind w:left="1240" w:right="539" w:firstLine="356"/>
        <w:spacing w:after="0" w:line="258" w:lineRule="auto"/>
        <w:rPr>
          <w:sz w:val="20"/>
          <w:szCs w:val="20"/>
          <w:color w:val="auto"/>
        </w:rPr>
      </w:pPr>
      <w:r>
        <w:rPr>
          <w:rFonts w:ascii="Arial" w:cs="Arial" w:eastAsia="Arial" w:hAnsi="Arial"/>
          <w:sz w:val="18"/>
          <w:szCs w:val="18"/>
          <w:color w:val="auto"/>
        </w:rPr>
        <w:t>Our MAA also authorizes our board of directors to establish from time to time one or more series of preferred shares and to determine, with respect to any series of preferred shares, the terms and rights of that series, including:</w:t>
      </w:r>
    </w:p>
    <w:p>
      <w:pPr>
        <w:spacing w:after="0" w:line="80" w:lineRule="exact"/>
        <w:rPr>
          <w:sz w:val="20"/>
          <w:szCs w:val="20"/>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26" w:lineRule="exact"/>
        <w:rPr>
          <w:rFonts w:ascii="Arial" w:cs="Arial" w:eastAsia="Arial" w:hAnsi="Arial"/>
          <w:sz w:val="18"/>
          <w:szCs w:val="18"/>
          <w:color w:val="auto"/>
        </w:rPr>
      </w:pPr>
    </w:p>
    <w:p>
      <w:pPr>
        <w:ind w:left="1780" w:hanging="1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40" w:lineRule="exact"/>
        <w:rPr>
          <w:sz w:val="20"/>
          <w:szCs w:val="20"/>
          <w:color w:val="auto"/>
        </w:rPr>
      </w:pPr>
    </w:p>
    <w:p>
      <w:pPr>
        <w:jc w:val="center"/>
        <w:ind w:left="1820" w:right="60"/>
        <w:spacing w:after="0" w:line="333" w:lineRule="auto"/>
        <w:rPr>
          <w:sz w:val="20"/>
          <w:szCs w:val="20"/>
          <w:color w:val="auto"/>
        </w:rPr>
      </w:pPr>
      <w:r>
        <w:rPr>
          <w:rFonts w:ascii="Arial" w:cs="Arial" w:eastAsia="Arial" w:hAnsi="Arial"/>
          <w:sz w:val="16"/>
          <w:szCs w:val="16"/>
          <w:color w:val="auto"/>
        </w:rPr>
        <w:t>Our board of directors may issue preferred shares without action by our shareholders to the extent authorized but unissued. Issuance of these shares may dilute the voting power of holders of ordinary shares.</w:t>
      </w:r>
    </w:p>
    <w:p>
      <w:pPr>
        <w:spacing w:after="0" w:line="63" w:lineRule="exact"/>
        <w:rPr>
          <w:sz w:val="20"/>
          <w:szCs w:val="20"/>
          <w:color w:val="auto"/>
        </w:rPr>
      </w:pPr>
    </w:p>
    <w:p>
      <w:pPr>
        <w:ind w:left="1240" w:right="539" w:firstLine="356"/>
        <w:spacing w:after="0" w:line="252" w:lineRule="auto"/>
        <w:rPr>
          <w:sz w:val="20"/>
          <w:szCs w:val="20"/>
          <w:color w:val="auto"/>
        </w:rPr>
      </w:pPr>
      <w:r>
        <w:rPr>
          <w:rFonts w:ascii="Arial" w:cs="Arial" w:eastAsia="Arial" w:hAnsi="Arial"/>
          <w:sz w:val="18"/>
          <w:szCs w:val="18"/>
          <w:b w:val="1"/>
          <w:bCs w:val="1"/>
          <w:i w:val="1"/>
          <w:iCs w:val="1"/>
          <w:color w:val="auto"/>
        </w:rPr>
        <w:t>Anti-Takeover Provisions</w:t>
      </w:r>
      <w:r>
        <w:rPr>
          <w:rFonts w:ascii="Arial" w:cs="Arial" w:eastAsia="Arial" w:hAnsi="Arial"/>
          <w:sz w:val="18"/>
          <w:szCs w:val="18"/>
          <w:color w:val="auto"/>
        </w:rPr>
        <w:t>. Some provisions of our MAA may discourage, delay or prevent a change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spacing w:after="0" w:line="124" w:lineRule="exact"/>
        <w:rPr>
          <w:sz w:val="20"/>
          <w:szCs w:val="20"/>
          <w:color w:val="auto"/>
        </w:rPr>
      </w:pPr>
    </w:p>
    <w:p>
      <w:pPr>
        <w:jc w:val="both"/>
        <w:ind w:left="1240" w:right="539" w:firstLine="356"/>
        <w:spacing w:after="0" w:line="258"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MAA for a proper purpose and for what they believe in good faith to be in the best interests of our company.</w:t>
      </w:r>
    </w:p>
    <w:p>
      <w:pPr>
        <w:spacing w:after="0" w:line="106" w:lineRule="exact"/>
        <w:rPr>
          <w:sz w:val="20"/>
          <w:szCs w:val="20"/>
          <w:color w:val="auto"/>
        </w:rPr>
      </w:pPr>
    </w:p>
    <w:p>
      <w:pPr>
        <w:ind w:left="1240" w:right="459" w:firstLine="356"/>
        <w:spacing w:after="0" w:line="271" w:lineRule="auto"/>
        <w:rPr>
          <w:sz w:val="20"/>
          <w:szCs w:val="20"/>
          <w:color w:val="auto"/>
        </w:rPr>
      </w:pPr>
      <w:r>
        <w:rPr>
          <w:rFonts w:ascii="Arial" w:cs="Arial" w:eastAsia="Arial" w:hAnsi="Arial"/>
          <w:sz w:val="17"/>
          <w:szCs w:val="17"/>
          <w:b w:val="1"/>
          <w:bCs w:val="1"/>
          <w:i w:val="1"/>
          <w:iCs w:val="1"/>
          <w:color w:val="auto"/>
        </w:rPr>
        <w:t>Exempted Company</w:t>
      </w:r>
      <w:r>
        <w:rPr>
          <w:rFonts w:ascii="Arial" w:cs="Arial" w:eastAsia="Arial" w:hAnsi="Arial"/>
          <w:sz w:val="17"/>
          <w:szCs w:val="17"/>
          <w:color w:val="auto"/>
        </w:rPr>
        <w:t>. We are an exempted company with limited liability under the Companies Act.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4" w:lineRule="exact"/>
        <w:rPr>
          <w:sz w:val="20"/>
          <w:szCs w:val="20"/>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26" w:lineRule="exact"/>
        <w:rPr>
          <w:rFonts w:ascii="Arial" w:cs="Arial" w:eastAsia="Arial" w:hAnsi="Arial"/>
          <w:sz w:val="18"/>
          <w:szCs w:val="18"/>
          <w:color w:val="auto"/>
        </w:rPr>
      </w:pPr>
    </w:p>
    <w:p>
      <w:pPr>
        <w:ind w:left="1780" w:right="959" w:hanging="176"/>
        <w:spacing w:after="0" w:line="270" w:lineRule="auto"/>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67" w:lineRule="exact"/>
        <w:rPr>
          <w:rFonts w:ascii="Arial" w:cs="Arial" w:eastAsia="Arial" w:hAnsi="Arial"/>
          <w:sz w:val="18"/>
          <w:szCs w:val="18"/>
          <w:color w:val="auto"/>
        </w:rPr>
      </w:pPr>
    </w:p>
    <w:p>
      <w:pPr>
        <w:ind w:left="1780" w:right="1019" w:hanging="176"/>
        <w:spacing w:after="0" w:line="270" w:lineRule="auto"/>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00" w:lineRule="exact"/>
        <w:rPr>
          <w:sz w:val="20"/>
          <w:szCs w:val="20"/>
          <w:color w:val="auto"/>
        </w:rPr>
      </w:pPr>
    </w:p>
    <w:p>
      <w:pPr>
        <w:spacing w:after="0" w:line="20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679" w:firstLine="356"/>
        <w:spacing w:after="0" w:line="258" w:lineRule="auto"/>
        <w:rPr>
          <w:sz w:val="20"/>
          <w:szCs w:val="20"/>
          <w:color w:val="auto"/>
        </w:rPr>
      </w:pPr>
      <w:r>
        <w:rPr>
          <w:rFonts w:ascii="Arial" w:cs="Arial" w:eastAsia="Arial" w:hAnsi="Arial"/>
          <w:sz w:val="17"/>
          <w:szCs w:val="17"/>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Registered Office and Objects</w:t>
      </w:r>
    </w:p>
    <w:p>
      <w:pPr>
        <w:spacing w:after="0" w:line="144" w:lineRule="exact"/>
        <w:rPr>
          <w:sz w:val="20"/>
          <w:szCs w:val="20"/>
          <w:color w:val="auto"/>
        </w:rPr>
      </w:pPr>
    </w:p>
    <w:p>
      <w:pPr>
        <w:ind w:left="1240" w:right="979" w:firstLine="356"/>
        <w:spacing w:after="0" w:line="254" w:lineRule="auto"/>
        <w:rPr>
          <w:sz w:val="20"/>
          <w:szCs w:val="20"/>
          <w:color w:val="auto"/>
        </w:rPr>
      </w:pPr>
      <w:r>
        <w:rPr>
          <w:rFonts w:ascii="Arial" w:cs="Arial" w:eastAsia="Arial" w:hAnsi="Arial"/>
          <w:sz w:val="18"/>
          <w:szCs w:val="18"/>
          <w:color w:val="auto"/>
        </w:rPr>
        <w:t>Our registered office in the Cayman Islands is located at Maples Corporate Services Limited, PO Box 309, Ugland House, Grand Cayman, KY1-1104, Cayman Islands.</w:t>
      </w:r>
    </w:p>
    <w:p>
      <w:pPr>
        <w:spacing w:after="0" w:line="109" w:lineRule="exact"/>
        <w:rPr>
          <w:sz w:val="20"/>
          <w:szCs w:val="20"/>
          <w:color w:val="auto"/>
        </w:rPr>
      </w:pPr>
    </w:p>
    <w:p>
      <w:pPr>
        <w:jc w:val="both"/>
        <w:ind w:left="1240" w:right="719" w:firstLine="356"/>
        <w:spacing w:after="0" w:line="243" w:lineRule="auto"/>
        <w:rPr>
          <w:sz w:val="20"/>
          <w:szCs w:val="20"/>
          <w:color w:val="auto"/>
        </w:rPr>
      </w:pPr>
      <w:r>
        <w:rPr>
          <w:rFonts w:ascii="Arial" w:cs="Arial" w:eastAsia="Arial" w:hAnsi="Arial"/>
          <w:sz w:val="18"/>
          <w:szCs w:val="18"/>
          <w:color w:val="auto"/>
        </w:rPr>
        <w:t>According to Clause 3 of our MAA,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Register of Members</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Under the Companies Act, we must keep a register of members and there should be entered therein:</w:t>
      </w:r>
    </w:p>
    <w:p>
      <w:pPr>
        <w:spacing w:after="0" w:line="111" w:lineRule="exact"/>
        <w:rPr>
          <w:sz w:val="20"/>
          <w:szCs w:val="20"/>
          <w:color w:val="auto"/>
        </w:rPr>
      </w:pPr>
    </w:p>
    <w:p>
      <w:pPr>
        <w:ind w:left="1780" w:right="579" w:hanging="176"/>
        <w:spacing w:after="0" w:line="274" w:lineRule="auto"/>
        <w:tabs>
          <w:tab w:leader="none" w:pos="1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names and addresses of our members, a statement of the shares held by each member (including the amount paid or agreed to be considered as paid, on the shares of each member, and confirmation of whether each relevant category of shares held by each member carries voting rights under our articles of association, and if so, whether such voting rights are conditional);</w:t>
      </w:r>
    </w:p>
    <w:p>
      <w:pPr>
        <w:spacing w:after="0" w:line="68" w:lineRule="exact"/>
        <w:rPr>
          <w:rFonts w:ascii="Arial" w:cs="Arial" w:eastAsia="Arial" w:hAnsi="Arial"/>
          <w:sz w:val="17"/>
          <w:szCs w:val="17"/>
          <w:color w:val="auto"/>
        </w:rPr>
      </w:pPr>
    </w:p>
    <w:p>
      <w:pPr>
        <w:ind w:left="1780" w:hanging="1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40" w:lineRule="exact"/>
        <w:rPr>
          <w:sz w:val="20"/>
          <w:szCs w:val="20"/>
          <w:color w:val="auto"/>
        </w:rPr>
      </w:pPr>
    </w:p>
    <w:p>
      <w:pPr>
        <w:ind w:left="1240" w:right="519" w:firstLine="356"/>
        <w:spacing w:after="0" w:line="251" w:lineRule="auto"/>
        <w:rPr>
          <w:sz w:val="20"/>
          <w:szCs w:val="20"/>
          <w:color w:val="auto"/>
        </w:rPr>
      </w:pPr>
      <w:r>
        <w:rPr>
          <w:rFonts w:ascii="Arial" w:cs="Arial" w:eastAsia="Arial" w:hAnsi="Arial"/>
          <w:sz w:val="17"/>
          <w:szCs w:val="17"/>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12" w:lineRule="exact"/>
        <w:rPr>
          <w:sz w:val="20"/>
          <w:szCs w:val="20"/>
          <w:color w:val="auto"/>
        </w:rPr>
      </w:pPr>
    </w:p>
    <w:p>
      <w:pPr>
        <w:ind w:left="1240" w:right="579" w:firstLine="356"/>
        <w:spacing w:after="0" w:line="237"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Differences in Corporate Law</w:t>
      </w:r>
    </w:p>
    <w:p>
      <w:pPr>
        <w:spacing w:after="0" w:line="157" w:lineRule="exact"/>
        <w:rPr>
          <w:sz w:val="20"/>
          <w:szCs w:val="20"/>
          <w:color w:val="auto"/>
        </w:rPr>
      </w:pPr>
    </w:p>
    <w:p>
      <w:pPr>
        <w:ind w:left="1240" w:right="559" w:firstLine="356"/>
        <w:spacing w:after="0" w:line="238"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08" w:lineRule="exact"/>
        <w:rPr>
          <w:sz w:val="20"/>
          <w:szCs w:val="20"/>
          <w:color w:val="auto"/>
        </w:rPr>
      </w:pPr>
    </w:p>
    <w:p>
      <w:pPr>
        <w:ind w:left="1240" w:right="579" w:firstLine="356"/>
        <w:spacing w:after="0" w:line="268"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Act permits mergers and consolidations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w:t>
      </w: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99"/>
        <w:spacing w:after="0" w:line="268" w:lineRule="auto"/>
        <w:rPr>
          <w:sz w:val="20"/>
          <w:szCs w:val="20"/>
          <w:color w:val="auto"/>
        </w:rPr>
      </w:pPr>
      <w:r>
        <w:rPr>
          <w:rFonts w:ascii="Arial" w:cs="Arial" w:eastAsia="Arial" w:hAnsi="Arial"/>
          <w:sz w:val="17"/>
          <w:szCs w:val="17"/>
          <w:color w:val="auto"/>
        </w:rPr>
        <w:t>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00" w:lineRule="exact"/>
        <w:rPr>
          <w:sz w:val="20"/>
          <w:szCs w:val="20"/>
          <w:color w:val="auto"/>
        </w:rPr>
      </w:pPr>
    </w:p>
    <w:p>
      <w:pPr>
        <w:ind w:left="1240" w:right="779" w:firstLine="356"/>
        <w:spacing w:after="0" w:line="271"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1" w:lineRule="exact"/>
        <w:rPr>
          <w:sz w:val="20"/>
          <w:szCs w:val="20"/>
          <w:color w:val="auto"/>
        </w:rPr>
      </w:pPr>
    </w:p>
    <w:p>
      <w:pPr>
        <w:ind w:left="1240" w:right="1079" w:firstLine="356"/>
        <w:spacing w:after="0" w:line="270"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08" w:lineRule="exact"/>
        <w:rPr>
          <w:sz w:val="20"/>
          <w:szCs w:val="20"/>
          <w:color w:val="auto"/>
        </w:rPr>
      </w:pPr>
    </w:p>
    <w:p>
      <w:pPr>
        <w:ind w:left="1240" w:right="479" w:firstLine="356"/>
        <w:spacing w:after="0" w:line="268"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00" w:lineRule="exact"/>
        <w:rPr>
          <w:sz w:val="20"/>
          <w:szCs w:val="20"/>
          <w:color w:val="auto"/>
        </w:rPr>
      </w:pPr>
    </w:p>
    <w:p>
      <w:pPr>
        <w:ind w:left="1240" w:right="479" w:firstLine="356"/>
        <w:spacing w:after="0" w:line="285" w:lineRule="auto"/>
        <w:rPr>
          <w:sz w:val="20"/>
          <w:szCs w:val="20"/>
          <w:color w:val="auto"/>
        </w:rPr>
      </w:pPr>
      <w:r>
        <w:rPr>
          <w:rFonts w:ascii="Arial" w:cs="Arial" w:eastAsia="Arial" w:hAnsi="Arial"/>
          <w:sz w:val="16"/>
          <w:szCs w:val="16"/>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62" w:lineRule="exact"/>
        <w:rPr>
          <w:sz w:val="20"/>
          <w:szCs w:val="20"/>
          <w:color w:val="auto"/>
        </w:rPr>
      </w:pPr>
    </w:p>
    <w:p>
      <w:pPr>
        <w:ind w:left="1780" w:hanging="176"/>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26" w:lineRule="exact"/>
        <w:rPr>
          <w:rFonts w:ascii="Arial" w:cs="Arial" w:eastAsia="Arial" w:hAnsi="Arial"/>
          <w:sz w:val="18"/>
          <w:szCs w:val="18"/>
          <w:color w:val="auto"/>
        </w:rPr>
      </w:pPr>
    </w:p>
    <w:p>
      <w:pPr>
        <w:ind w:left="1780" w:right="719" w:hanging="176"/>
        <w:spacing w:after="0" w:line="258"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9" w:lineRule="exact"/>
        <w:rPr>
          <w:rFonts w:ascii="Arial" w:cs="Arial" w:eastAsia="Arial" w:hAnsi="Arial"/>
          <w:sz w:val="18"/>
          <w:szCs w:val="18"/>
          <w:color w:val="auto"/>
        </w:rPr>
      </w:pPr>
    </w:p>
    <w:p>
      <w:pPr>
        <w:ind w:left="1780" w:right="759" w:hanging="176"/>
        <w:spacing w:after="0" w:line="270"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67" w:lineRule="exact"/>
        <w:rPr>
          <w:rFonts w:ascii="Arial" w:cs="Arial" w:eastAsia="Arial" w:hAnsi="Arial"/>
          <w:sz w:val="18"/>
          <w:szCs w:val="18"/>
          <w:color w:val="auto"/>
        </w:rPr>
      </w:pPr>
    </w:p>
    <w:p>
      <w:pPr>
        <w:ind w:left="1780" w:right="479" w:hanging="176"/>
        <w:spacing w:after="0" w:line="270" w:lineRule="auto"/>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95" w:lineRule="exact"/>
        <w:rPr>
          <w:sz w:val="20"/>
          <w:szCs w:val="20"/>
          <w:color w:val="auto"/>
        </w:rPr>
      </w:pPr>
    </w:p>
    <w:p>
      <w:pPr>
        <w:ind w:left="1240" w:right="479" w:firstLine="356"/>
        <w:spacing w:after="0" w:line="251"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6" w:lineRule="exact"/>
        <w:rPr>
          <w:sz w:val="20"/>
          <w:szCs w:val="20"/>
          <w:color w:val="auto"/>
        </w:rPr>
      </w:pPr>
    </w:p>
    <w:p>
      <w:pPr>
        <w:ind w:left="1240" w:right="899" w:firstLine="356"/>
        <w:spacing w:after="0" w:line="255"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36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254635</wp:posOffset>
            </wp:positionV>
            <wp:extent cx="67525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519" w:firstLine="356"/>
        <w:spacing w:after="0" w:line="236"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8"/>
          <w:szCs w:val="18"/>
          <w:i w:val="1"/>
          <w:iCs w:val="1"/>
          <w:color w:val="auto"/>
        </w:rPr>
        <w:t>Foss v. Harbottle</w:t>
      </w:r>
      <w:r>
        <w:rPr>
          <w:rFonts w:ascii="Arial" w:cs="Arial" w:eastAsia="Arial" w:hAnsi="Arial"/>
          <w:sz w:val="18"/>
          <w:szCs w:val="18"/>
          <w:color w:val="auto"/>
        </w:rPr>
        <w:t xml:space="preserve"> and the exceptions thereto) which permit a minority shareholder to commence a class action against or derivative actions in the name of the company to challenge actions where:</w:t>
      </w:r>
    </w:p>
    <w:p>
      <w:pPr>
        <w:spacing w:after="0" w:line="83" w:lineRule="exact"/>
        <w:rPr>
          <w:sz w:val="20"/>
          <w:szCs w:val="20"/>
          <w:color w:val="auto"/>
        </w:rPr>
      </w:pPr>
    </w:p>
    <w:p>
      <w:pPr>
        <w:ind w:left="1780" w:hanging="176"/>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99" w:lineRule="exact"/>
        <w:rPr>
          <w:rFonts w:ascii="Arial" w:cs="Arial" w:eastAsia="Arial" w:hAnsi="Arial"/>
          <w:sz w:val="18"/>
          <w:szCs w:val="18"/>
          <w:color w:val="auto"/>
        </w:rPr>
      </w:pPr>
    </w:p>
    <w:p>
      <w:pPr>
        <w:ind w:left="1780" w:right="799" w:hanging="176"/>
        <w:spacing w:after="0" w:line="270" w:lineRule="auto"/>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3" w:lineRule="exact"/>
        <w:rPr>
          <w:sz w:val="20"/>
          <w:szCs w:val="20"/>
          <w:color w:val="auto"/>
        </w:rPr>
      </w:pPr>
    </w:p>
    <w:p>
      <w:pPr>
        <w:ind w:left="1240" w:right="459" w:firstLine="356"/>
        <w:spacing w:after="0" w:line="248" w:lineRule="auto"/>
        <w:rPr>
          <w:sz w:val="20"/>
          <w:szCs w:val="20"/>
          <w:color w:val="auto"/>
        </w:rPr>
      </w:pPr>
      <w:r>
        <w:rPr>
          <w:rFonts w:ascii="Arial" w:cs="Arial" w:eastAsia="Arial" w:hAnsi="Arial"/>
          <w:sz w:val="17"/>
          <w:szCs w:val="17"/>
          <w:b w:val="1"/>
          <w:bCs w:val="1"/>
          <w:i w:val="1"/>
          <w:iCs w:val="1"/>
          <w:color w:val="auto"/>
        </w:rPr>
        <w:t xml:space="preserve">Indemnification of Directors and Executive Officers and Limitation of Liability. </w:t>
      </w:r>
      <w:r>
        <w:rPr>
          <w:rFonts w:ascii="Arial" w:cs="Arial" w:eastAsia="Arial" w:hAnsi="Arial"/>
          <w:sz w:val="17"/>
          <w:szCs w:val="17"/>
          <w:color w:val="auto"/>
        </w:rPr>
        <w:t>Cayman Islands law does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MAA provides that that we shall indemnify our officers and directors and any trustee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us may be lodged or deposited for safe custody or for any insufficiency of any security upon which any of our monies may be invested or for any other loss or damage due to any such cause as aforesaid or which may happen in or about the execution of his or her office or trust unless the same shall happen through the fraud or dishonesty of such director or officer or trustee. This standard of conduct is generally the same as permitted under the Delaware General Corporation Law for a Delaware corporation.</w:t>
      </w:r>
    </w:p>
    <w:p>
      <w:pPr>
        <w:spacing w:after="0" w:line="115" w:lineRule="exact"/>
        <w:rPr>
          <w:sz w:val="20"/>
          <w:szCs w:val="20"/>
          <w:color w:val="auto"/>
        </w:rPr>
      </w:pPr>
    </w:p>
    <w:p>
      <w:pPr>
        <w:ind w:left="1240" w:right="579" w:firstLine="356"/>
        <w:spacing w:after="0" w:line="254"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MAA.</w:t>
      </w:r>
    </w:p>
    <w:p>
      <w:pPr>
        <w:spacing w:after="0" w:line="96" w:lineRule="exact"/>
        <w:rPr>
          <w:sz w:val="20"/>
          <w:szCs w:val="20"/>
          <w:color w:val="auto"/>
        </w:rPr>
      </w:pPr>
    </w:p>
    <w:p>
      <w:pPr>
        <w:ind w:left="1240" w:right="559" w:firstLine="356"/>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left="1240" w:right="479" w:firstLine="356"/>
        <w:spacing w:after="0" w:line="248" w:lineRule="auto"/>
        <w:rPr>
          <w:sz w:val="20"/>
          <w:szCs w:val="20"/>
          <w:color w:val="auto"/>
        </w:rPr>
      </w:pPr>
      <w:r>
        <w:rPr>
          <w:rFonts w:ascii="Arial" w:cs="Arial" w:eastAsia="Arial" w:hAnsi="Arial"/>
          <w:sz w:val="17"/>
          <w:szCs w:val="17"/>
          <w:b w:val="1"/>
          <w:bCs w:val="1"/>
          <w:i w:val="1"/>
          <w:iCs w:val="1"/>
          <w:color w:val="auto"/>
        </w:rPr>
        <w:t xml:space="preserve">Directors’ Fiduciary Duties. </w:t>
      </w:r>
      <w:r>
        <w:rPr>
          <w:rFonts w:ascii="Arial" w:cs="Arial" w:eastAsia="Arial" w:hAnsi="Arial"/>
          <w:sz w:val="17"/>
          <w:szCs w:val="17"/>
          <w:color w:val="auto"/>
        </w:rPr>
        <w:t>Under Delaware corporate law, a director of a Delaware corporation has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19" w:lineRule="exact"/>
        <w:rPr>
          <w:sz w:val="20"/>
          <w:szCs w:val="20"/>
          <w:color w:val="auto"/>
        </w:rPr>
      </w:pPr>
    </w:p>
    <w:p>
      <w:pPr>
        <w:ind w:left="1240" w:right="539" w:firstLine="356"/>
        <w:spacing w:after="0" w:line="264"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w:t>
      </w:r>
    </w:p>
    <w:p>
      <w:pPr>
        <w:spacing w:after="0" w:line="34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99"/>
        <w:spacing w:after="0" w:line="250" w:lineRule="auto"/>
        <w:rPr>
          <w:sz w:val="20"/>
          <w:szCs w:val="20"/>
          <w:color w:val="auto"/>
        </w:rPr>
      </w:pPr>
      <w:r>
        <w:rPr>
          <w:rFonts w:ascii="Arial" w:cs="Arial" w:eastAsia="Arial" w:hAnsi="Arial"/>
          <w:sz w:val="18"/>
          <w:szCs w:val="18"/>
          <w:color w:val="auto"/>
        </w:rPr>
        <w:t>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16" w:lineRule="exact"/>
        <w:rPr>
          <w:sz w:val="20"/>
          <w:szCs w:val="20"/>
          <w:color w:val="auto"/>
        </w:rPr>
      </w:pPr>
    </w:p>
    <w:p>
      <w:pPr>
        <w:ind w:left="1240" w:right="759" w:firstLine="356"/>
        <w:spacing w:after="0" w:line="292" w:lineRule="auto"/>
        <w:rPr>
          <w:sz w:val="20"/>
          <w:szCs w:val="20"/>
          <w:color w:val="auto"/>
        </w:rPr>
      </w:pPr>
      <w:r>
        <w:rPr>
          <w:rFonts w:ascii="Arial" w:cs="Arial" w:eastAsia="Arial" w:hAnsi="Arial"/>
          <w:sz w:val="16"/>
          <w:szCs w:val="16"/>
          <w:b w:val="1"/>
          <w:bCs w:val="1"/>
          <w:i w:val="1"/>
          <w:iCs w:val="1"/>
          <w:color w:val="auto"/>
        </w:rPr>
        <w:t xml:space="preserve">Shareholder Action by Written Consent. </w:t>
      </w:r>
      <w:r>
        <w:rPr>
          <w:rFonts w:ascii="Arial" w:cs="Arial" w:eastAsia="Arial" w:hAnsi="Arial"/>
          <w:sz w:val="16"/>
          <w:szCs w:val="16"/>
          <w:color w:val="auto"/>
        </w:rPr>
        <w:t>Under the Delaware General Corporation Law, a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eliminate the right of shareholders to act by written consent by amendment to its certificate of incorporation. The Companies Act and our MAA provides that our shareholders may approve corporate matters by way of a unanimous written resolution signed by or on behalf of each shareholder who would have been entitled to vote on such matter at a general meeting without a meeting being held.</w:t>
      </w:r>
    </w:p>
    <w:p>
      <w:pPr>
        <w:spacing w:after="0" w:line="95" w:lineRule="exact"/>
        <w:rPr>
          <w:sz w:val="20"/>
          <w:szCs w:val="20"/>
          <w:color w:val="auto"/>
        </w:rPr>
      </w:pPr>
    </w:p>
    <w:p>
      <w:pPr>
        <w:ind w:left="1240" w:right="539" w:firstLine="356"/>
        <w:spacing w:after="0" w:line="253" w:lineRule="auto"/>
        <w:rPr>
          <w:sz w:val="20"/>
          <w:szCs w:val="20"/>
          <w:color w:val="auto"/>
        </w:rPr>
      </w:pPr>
      <w:r>
        <w:rPr>
          <w:rFonts w:ascii="Arial" w:cs="Arial" w:eastAsia="Arial" w:hAnsi="Arial"/>
          <w:sz w:val="18"/>
          <w:szCs w:val="18"/>
          <w:b w:val="1"/>
          <w:bCs w:val="1"/>
          <w:i w:val="1"/>
          <w:iCs w:val="1"/>
          <w:color w:val="auto"/>
        </w:rPr>
        <w:t xml:space="preserve">Shareholder Proposals. </w:t>
      </w:r>
      <w:r>
        <w:rPr>
          <w:rFonts w:ascii="Arial" w:cs="Arial" w:eastAsia="Arial" w:hAnsi="Arial"/>
          <w:sz w:val="18"/>
          <w:szCs w:val="18"/>
          <w:color w:val="auto"/>
        </w:rPr>
        <w:t>Under the Delaware General Corporation Law, a shareholder has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3" w:lineRule="exact"/>
        <w:rPr>
          <w:sz w:val="20"/>
          <w:szCs w:val="20"/>
          <w:color w:val="auto"/>
        </w:rPr>
      </w:pPr>
    </w:p>
    <w:p>
      <w:pPr>
        <w:ind w:left="1240" w:right="519" w:firstLine="356"/>
        <w:spacing w:after="0" w:line="284" w:lineRule="auto"/>
        <w:rPr>
          <w:sz w:val="20"/>
          <w:szCs w:val="20"/>
          <w:color w:val="auto"/>
        </w:rPr>
      </w:pPr>
      <w:r>
        <w:rPr>
          <w:rFonts w:ascii="Arial" w:cs="Arial" w:eastAsia="Arial" w:hAnsi="Arial"/>
          <w:sz w:val="16"/>
          <w:szCs w:val="16"/>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MAA allows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MAA does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91" w:lineRule="exact"/>
        <w:rPr>
          <w:sz w:val="20"/>
          <w:szCs w:val="20"/>
          <w:color w:val="auto"/>
        </w:rPr>
      </w:pPr>
    </w:p>
    <w:p>
      <w:pPr>
        <w:ind w:left="1240" w:right="519" w:firstLine="356"/>
        <w:spacing w:after="0" w:line="267" w:lineRule="auto"/>
        <w:rPr>
          <w:sz w:val="20"/>
          <w:szCs w:val="20"/>
          <w:color w:val="auto"/>
        </w:rPr>
      </w:pPr>
      <w:r>
        <w:rPr>
          <w:rFonts w:ascii="Arial" w:cs="Arial" w:eastAsia="Arial" w:hAnsi="Arial"/>
          <w:sz w:val="17"/>
          <w:szCs w:val="17"/>
          <w:b w:val="1"/>
          <w:bCs w:val="1"/>
          <w:i w:val="1"/>
          <w:iCs w:val="1"/>
          <w:color w:val="auto"/>
        </w:rPr>
        <w:t xml:space="preserve">Cumulative Voting. </w:t>
      </w:r>
      <w:r>
        <w:rPr>
          <w:rFonts w:ascii="Arial" w:cs="Arial" w:eastAsia="Arial" w:hAnsi="Arial"/>
          <w:sz w:val="17"/>
          <w:szCs w:val="17"/>
          <w:color w:val="auto"/>
        </w:rPr>
        <w:t>Under the Delaware General Corporation Law, cumulative voting for elections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MAA does not provide for cumulative voting. As a result, our shareholders are not afforded any less protections or rights on this issue than shareholders of a Delaware corporation.</w:t>
      </w:r>
    </w:p>
    <w:p>
      <w:pPr>
        <w:spacing w:after="0" w:line="115" w:lineRule="exact"/>
        <w:rPr>
          <w:sz w:val="20"/>
          <w:szCs w:val="20"/>
          <w:color w:val="auto"/>
        </w:rPr>
      </w:pPr>
    </w:p>
    <w:p>
      <w:pPr>
        <w:ind w:left="1240" w:right="499" w:firstLine="356"/>
        <w:spacing w:after="0" w:line="280"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classified board may be removed only for cause with the approval of a majority of the outstanding shares entitled to vote, unless the certificate of incorporation provides otherwise. Under our MAA, directors may be removed with or without cause, by an ordinary resolution of our shareholders. A director shall hold office until the expiration of his or her term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provided that in the event that the chairman is to be removed by the affirmative vote of a simple majority of the other directors present and voting at a board meeting, such affirmative vote shall include the vote of at least one Management Director (as defined under the MAA). In addition, a director’s office shall be vacated if the director (i) becomes bankrupt or makes any arrangement or composition with his creditors;</w:t>
      </w:r>
    </w:p>
    <w:p>
      <w:pPr>
        <w:ind w:left="1240" w:right="459" w:firstLine="8"/>
        <w:spacing w:after="0" w:line="269" w:lineRule="auto"/>
        <w:tabs>
          <w:tab w:leader="none" w:pos="1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MAA.</w:t>
      </w: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59" w:firstLine="356"/>
        <w:spacing w:after="0" w:line="265"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05" w:lineRule="exact"/>
        <w:rPr>
          <w:sz w:val="20"/>
          <w:szCs w:val="20"/>
          <w:color w:val="auto"/>
        </w:rPr>
      </w:pPr>
    </w:p>
    <w:p>
      <w:pPr>
        <w:ind w:left="1240" w:right="539" w:firstLine="356"/>
        <w:spacing w:after="0" w:line="268"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3" w:lineRule="exact"/>
        <w:rPr>
          <w:sz w:val="20"/>
          <w:szCs w:val="20"/>
          <w:color w:val="auto"/>
        </w:rPr>
      </w:pPr>
    </w:p>
    <w:p>
      <w:pPr>
        <w:ind w:left="1240" w:right="619" w:firstLine="356"/>
        <w:spacing w:after="0" w:line="252" w:lineRule="auto"/>
        <w:rPr>
          <w:sz w:val="20"/>
          <w:szCs w:val="20"/>
          <w:color w:val="auto"/>
        </w:rPr>
      </w:pPr>
      <w:r>
        <w:rPr>
          <w:rFonts w:ascii="Arial" w:cs="Arial" w:eastAsia="Arial" w:hAnsi="Arial"/>
          <w:sz w:val="18"/>
          <w:szCs w:val="18"/>
          <w:b w:val="1"/>
          <w:bCs w:val="1"/>
          <w:i w:val="1"/>
          <w:iCs w:val="1"/>
          <w:color w:val="auto"/>
        </w:rPr>
        <w:t>Dissolution; Winding up</w:t>
      </w:r>
      <w:r>
        <w:rPr>
          <w:rFonts w:ascii="Arial" w:cs="Arial" w:eastAsia="Arial" w:hAnsi="Arial"/>
          <w:sz w:val="18"/>
          <w:szCs w:val="18"/>
          <w:color w:val="auto"/>
        </w:rPr>
        <w:t>. Under the Delaware General Corporation Law, unless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24" w:lineRule="exact"/>
        <w:rPr>
          <w:sz w:val="20"/>
          <w:szCs w:val="20"/>
          <w:color w:val="auto"/>
        </w:rPr>
      </w:pPr>
    </w:p>
    <w:p>
      <w:pPr>
        <w:ind w:left="1240" w:right="519" w:firstLine="356"/>
        <w:spacing w:after="0" w:line="252"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MAA, our company may be dissolved, liquidated or wound up by a special resolution of our shareholders.</w:t>
      </w:r>
    </w:p>
    <w:p>
      <w:pPr>
        <w:spacing w:after="0" w:line="110" w:lineRule="exact"/>
        <w:rPr>
          <w:sz w:val="20"/>
          <w:szCs w:val="20"/>
          <w:color w:val="auto"/>
        </w:rPr>
      </w:pPr>
    </w:p>
    <w:p>
      <w:pPr>
        <w:ind w:left="1240" w:right="459" w:firstLine="356"/>
        <w:spacing w:after="0" w:line="269" w:lineRule="auto"/>
        <w:rPr>
          <w:sz w:val="20"/>
          <w:szCs w:val="20"/>
          <w:color w:val="auto"/>
        </w:rPr>
      </w:pPr>
      <w:r>
        <w:rPr>
          <w:rFonts w:ascii="Arial" w:cs="Arial" w:eastAsia="Arial" w:hAnsi="Arial"/>
          <w:sz w:val="17"/>
          <w:szCs w:val="17"/>
          <w:b w:val="1"/>
          <w:bCs w:val="1"/>
          <w:i w:val="1"/>
          <w:iCs w:val="1"/>
          <w:color w:val="auto"/>
        </w:rPr>
        <w:t xml:space="preserve">Variation of Rights of Shares. </w:t>
      </w:r>
      <w:r>
        <w:rPr>
          <w:rFonts w:ascii="Arial" w:cs="Arial" w:eastAsia="Arial" w:hAnsi="Arial"/>
          <w:sz w:val="17"/>
          <w:szCs w:val="17"/>
          <w:color w:val="auto"/>
        </w:rPr>
        <w:t>Under the Delaware General Corporation Law, a corporation may vary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rights of a class of shares with the approval of a majority of the outstanding shares of such class, unless the certificate of incorporation provides otherwise. Under Cayman Islands law and our MAA,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3" w:lineRule="exact"/>
        <w:rPr>
          <w:sz w:val="20"/>
          <w:szCs w:val="20"/>
          <w:color w:val="auto"/>
        </w:rPr>
      </w:pPr>
    </w:p>
    <w:p>
      <w:pPr>
        <w:ind w:left="1240" w:right="599" w:firstLine="356"/>
        <w:spacing w:after="0" w:line="253"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documents may be amended with the approval of a majority of the outstanding shares entitled to vote, unless the certificate of incorporation provides otherwise. Under the Companies Act and our MAA, our memorandum and articles of association may only be amended by a special resolution of our shareholders.</w:t>
      </w:r>
    </w:p>
    <w:p>
      <w:pPr>
        <w:spacing w:after="0" w:line="123" w:lineRule="exact"/>
        <w:rPr>
          <w:sz w:val="20"/>
          <w:szCs w:val="20"/>
          <w:color w:val="auto"/>
        </w:rPr>
      </w:pPr>
    </w:p>
    <w:p>
      <w:pPr>
        <w:ind w:left="1240" w:right="539" w:firstLine="356"/>
        <w:spacing w:after="0" w:line="255"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MAA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of nonresident or foreign shareholders to hold or exercise voting rights on our shares. In addition, there are no provisions in our MAA governing the ownership threshold above which shareholder ownership must be disclosed.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History of Securities Issuances</w:t>
      </w:r>
    </w:p>
    <w:p>
      <w:pPr>
        <w:spacing w:after="0" w:line="144" w:lineRule="exact"/>
        <w:rPr>
          <w:sz w:val="20"/>
          <w:szCs w:val="20"/>
          <w:color w:val="auto"/>
        </w:rPr>
      </w:pPr>
    </w:p>
    <w:p>
      <w:pPr>
        <w:ind w:left="1240" w:right="619" w:firstLine="356"/>
        <w:spacing w:after="0" w:line="255" w:lineRule="auto"/>
        <w:rPr>
          <w:sz w:val="20"/>
          <w:szCs w:val="20"/>
          <w:color w:val="auto"/>
        </w:rPr>
      </w:pPr>
      <w:r>
        <w:rPr>
          <w:rFonts w:ascii="Arial" w:cs="Arial" w:eastAsia="Arial" w:hAnsi="Arial"/>
          <w:sz w:val="18"/>
          <w:szCs w:val="18"/>
          <w:color w:val="auto"/>
        </w:rPr>
        <w:t>The following is a summary of our securities issuances in the past three years. In June 2018, we effected a 10-for-1 share split of each of our issued and unissued ordinary shares and preferred shares with par value per share divided by 10. All the information of number of shares below has been retroactively adjusted to</w:t>
      </w:r>
    </w:p>
    <w:p>
      <w:pPr>
        <w:sectPr>
          <w:pgSz w:w="11900" w:h="16838" w:orient="portrait"/>
          <w:cols w:equalWidth="0" w:num="1">
            <w:col w:w="9819"/>
          </w:cols>
          <w:pgMar w:left="640" w:top="131" w:right="1440" w:bottom="1440" w:gutter="0" w:footer="0" w:header="0"/>
        </w:sectPr>
      </w:pPr>
    </w:p>
    <w:p>
      <w:pPr>
        <w:spacing w:after="0" w:line="3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253365</wp:posOffset>
            </wp:positionV>
            <wp:extent cx="67525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240" w:right="679"/>
        <w:spacing w:after="0" w:line="243" w:lineRule="auto"/>
        <w:rPr>
          <w:sz w:val="20"/>
          <w:szCs w:val="20"/>
          <w:color w:val="auto"/>
        </w:rPr>
      </w:pPr>
      <w:r>
        <w:rPr>
          <w:rFonts w:ascii="Arial" w:cs="Arial" w:eastAsia="Arial" w:hAnsi="Arial"/>
          <w:sz w:val="18"/>
          <w:szCs w:val="18"/>
          <w:color w:val="auto"/>
        </w:rPr>
        <w:t>give effect to such 10-for-1 share split. The par value per ordinary share and the par value per convertible preferred share also have been retroactively revised as if they had been adjusted in proportion to the share split:</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40" w:lineRule="exact"/>
        <w:rPr>
          <w:sz w:val="20"/>
          <w:szCs w:val="20"/>
          <w:color w:val="auto"/>
        </w:rPr>
      </w:pPr>
    </w:p>
    <w:p>
      <w:pPr>
        <w:ind w:left="1240" w:right="939" w:firstLine="356"/>
        <w:spacing w:after="0" w:line="254" w:lineRule="auto"/>
        <w:rPr>
          <w:sz w:val="20"/>
          <w:szCs w:val="20"/>
          <w:color w:val="auto"/>
        </w:rPr>
      </w:pPr>
      <w:r>
        <w:rPr>
          <w:rFonts w:ascii="Arial" w:cs="Arial" w:eastAsia="Arial" w:hAnsi="Arial"/>
          <w:sz w:val="18"/>
          <w:szCs w:val="18"/>
          <w:color w:val="auto"/>
        </w:rPr>
        <w:t>On February 1, 2021, we issued 9,615,769 ordinary shares to NVMB XIV Holdings Limited for a consideration of US$119,999,989.24.</w:t>
      </w:r>
    </w:p>
    <w:p>
      <w:pPr>
        <w:spacing w:after="0" w:line="109" w:lineRule="exact"/>
        <w:rPr>
          <w:sz w:val="20"/>
          <w:szCs w:val="20"/>
          <w:color w:val="auto"/>
        </w:rPr>
      </w:pPr>
    </w:p>
    <w:p>
      <w:pPr>
        <w:ind w:left="1240" w:right="1299" w:firstLine="356"/>
        <w:spacing w:after="0" w:line="254" w:lineRule="auto"/>
        <w:rPr>
          <w:sz w:val="20"/>
          <w:szCs w:val="20"/>
          <w:color w:val="auto"/>
        </w:rPr>
      </w:pPr>
      <w:r>
        <w:rPr>
          <w:rFonts w:ascii="Arial" w:cs="Arial" w:eastAsia="Arial" w:hAnsi="Arial"/>
          <w:sz w:val="18"/>
          <w:szCs w:val="18"/>
          <w:color w:val="auto"/>
        </w:rPr>
        <w:t>On February 2, 2021, we issued 6,410,513 ordinary shares to Tencent Mobility Limited for a consideration of US$79,999,996.99.</w:t>
      </w:r>
    </w:p>
    <w:p>
      <w:pPr>
        <w:spacing w:after="0" w:line="109" w:lineRule="exact"/>
        <w:rPr>
          <w:sz w:val="20"/>
          <w:szCs w:val="20"/>
          <w:color w:val="auto"/>
        </w:rPr>
      </w:pPr>
    </w:p>
    <w:p>
      <w:pPr>
        <w:ind w:left="1240" w:right="479" w:firstLine="356"/>
        <w:spacing w:after="0" w:line="238" w:lineRule="auto"/>
        <w:rPr>
          <w:sz w:val="20"/>
          <w:szCs w:val="20"/>
          <w:color w:val="auto"/>
        </w:rPr>
      </w:pPr>
      <w:r>
        <w:rPr>
          <w:rFonts w:ascii="Arial" w:cs="Arial" w:eastAsia="Arial" w:hAnsi="Arial"/>
          <w:sz w:val="18"/>
          <w:szCs w:val="18"/>
          <w:color w:val="auto"/>
        </w:rPr>
        <w:t>Immediately prior to the completion of our initial public offering in March 2021, the issued and outstanding ordinary shares beneficially owned by (i)Xueji (Jerry) Wang and (ii) Liaohan (Leo) Chen were converted into Class B ordinary shares, and the remaining issued and outstanding ordinary shares and all the Series A preferred shares were converted into Class A ordinary shares, in each case on a one-to-one basis immediately.</w:t>
      </w:r>
    </w:p>
    <w:p>
      <w:pPr>
        <w:spacing w:after="0" w:line="108" w:lineRule="exact"/>
        <w:rPr>
          <w:sz w:val="20"/>
          <w:szCs w:val="20"/>
          <w:color w:val="auto"/>
        </w:rPr>
      </w:pPr>
    </w:p>
    <w:p>
      <w:pPr>
        <w:ind w:left="1240" w:right="699" w:firstLine="356"/>
        <w:spacing w:after="0" w:line="238" w:lineRule="auto"/>
        <w:rPr>
          <w:sz w:val="20"/>
          <w:szCs w:val="20"/>
          <w:color w:val="auto"/>
        </w:rPr>
      </w:pPr>
      <w:r>
        <w:rPr>
          <w:rFonts w:ascii="Arial" w:cs="Arial" w:eastAsia="Arial" w:hAnsi="Arial"/>
          <w:sz w:val="18"/>
          <w:szCs w:val="18"/>
          <w:color w:val="auto"/>
        </w:rPr>
        <w:t>In March 2021, in connection with our initial public offering, we issued and sold an aggregate of 43,590,000 Class A ordinary shares in the form of ADSs at a public offering price of US$21.00 per ADS. Subsequently in April 2021, we issued an additional of 1,486,479 Class A ordinary shares in the form of ADSs upon the exercise by the underwriters in our initial public offering of their over-allotment option to purchase additional ADSs at a price of US$21.00 per ADS.</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53" w:lineRule="exact"/>
        <w:rPr>
          <w:sz w:val="20"/>
          <w:szCs w:val="20"/>
          <w:color w:val="auto"/>
        </w:rPr>
      </w:pPr>
    </w:p>
    <w:p>
      <w:pPr>
        <w:jc w:val="both"/>
        <w:ind w:left="1240" w:right="659" w:firstLine="356"/>
        <w:spacing w:after="0" w:line="264" w:lineRule="auto"/>
        <w:rPr>
          <w:sz w:val="20"/>
          <w:szCs w:val="20"/>
          <w:color w:val="auto"/>
        </w:rPr>
      </w:pPr>
      <w:r>
        <w:rPr>
          <w:rFonts w:ascii="Arial" w:cs="Arial" w:eastAsia="Arial" w:hAnsi="Arial"/>
          <w:sz w:val="17"/>
          <w:szCs w:val="17"/>
          <w:color w:val="auto"/>
        </w:rPr>
        <w:t>On September 16, 2019, we issued 49,514,236 Series D preferred shares to Tencent Mobility Limited for a consideration of US $169,918,003.69. On September 16, 2019, we issued 611,941 Series D preferred shares to New Enterprise Associates 14, L.P. for a consideration of US$2,099,997.93.</w:t>
      </w:r>
    </w:p>
    <w:p>
      <w:pPr>
        <w:spacing w:after="0" w:line="102" w:lineRule="exact"/>
        <w:rPr>
          <w:sz w:val="20"/>
          <w:szCs w:val="20"/>
          <w:color w:val="auto"/>
        </w:rPr>
      </w:pPr>
    </w:p>
    <w:p>
      <w:pPr>
        <w:ind w:left="1240" w:right="759" w:firstLine="356"/>
        <w:spacing w:after="0" w:line="254" w:lineRule="auto"/>
        <w:rPr>
          <w:sz w:val="20"/>
          <w:szCs w:val="20"/>
          <w:color w:val="auto"/>
        </w:rPr>
      </w:pPr>
      <w:r>
        <w:rPr>
          <w:rFonts w:ascii="Arial" w:cs="Arial" w:eastAsia="Arial" w:hAnsi="Arial"/>
          <w:sz w:val="18"/>
          <w:szCs w:val="18"/>
          <w:color w:val="auto"/>
        </w:rPr>
        <w:t>On September 16, 2019, we issued 845,062 Series D preferred shares to NEA 15 Opportunity Fund, L.P. for a consideration of US$2,899,999.27.</w:t>
      </w:r>
    </w:p>
    <w:p>
      <w:pPr>
        <w:spacing w:after="0" w:line="96" w:lineRule="exact"/>
        <w:rPr>
          <w:sz w:val="20"/>
          <w:szCs w:val="20"/>
          <w:color w:val="auto"/>
        </w:rPr>
      </w:pPr>
    </w:p>
    <w:p>
      <w:pPr>
        <w:ind w:left="1240" w:right="879" w:firstLine="356"/>
        <w:spacing w:after="0" w:line="254" w:lineRule="auto"/>
        <w:rPr>
          <w:sz w:val="20"/>
          <w:szCs w:val="20"/>
          <w:color w:val="auto"/>
        </w:rPr>
      </w:pPr>
      <w:r>
        <w:rPr>
          <w:rFonts w:ascii="Arial" w:cs="Arial" w:eastAsia="Arial" w:hAnsi="Arial"/>
          <w:sz w:val="18"/>
          <w:szCs w:val="18"/>
          <w:color w:val="auto"/>
        </w:rPr>
        <w:t>On November 1, 2019, we issued 1,457,003 Series D preferred shares to China Broadband Capital Partners IV, L.P. for a consideration of US$4,999,997.20.</w:t>
      </w:r>
    </w:p>
    <w:p>
      <w:pPr>
        <w:spacing w:after="0" w:line="109" w:lineRule="exact"/>
        <w:rPr>
          <w:sz w:val="20"/>
          <w:szCs w:val="20"/>
          <w:color w:val="auto"/>
        </w:rPr>
      </w:pPr>
    </w:p>
    <w:p>
      <w:pPr>
        <w:ind w:left="1240" w:right="759" w:firstLine="356"/>
        <w:spacing w:after="0" w:line="251" w:lineRule="auto"/>
        <w:rPr>
          <w:sz w:val="20"/>
          <w:szCs w:val="20"/>
          <w:color w:val="auto"/>
        </w:rPr>
      </w:pPr>
      <w:r>
        <w:rPr>
          <w:rFonts w:ascii="Arial" w:cs="Arial" w:eastAsia="Arial" w:hAnsi="Arial"/>
          <w:sz w:val="18"/>
          <w:szCs w:val="18"/>
          <w:color w:val="auto"/>
        </w:rPr>
        <w:t>As none of the holders of our Series A preferred shares were related parties prior to such holders’ initial investment in our securities, the price of our Series A preferred shares was determined based on negotiations between us and the investors and were approved by our board of directors. Our Series A preferred shares, Series A-1 preferred shares, Series B preferred shares, Series C preferred shares and Series D preferred shares automatically converted into ordinary shares upon the completion of our initial public offering at an initial conversion ratio of one-to-one, adjusted for share splits, share dividends, recapitalizations and similar transactions.</w:t>
      </w:r>
    </w:p>
    <w:p>
      <w:pPr>
        <w:spacing w:after="0" w:line="193"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53" w:lineRule="exact"/>
        <w:rPr>
          <w:sz w:val="20"/>
          <w:szCs w:val="20"/>
          <w:color w:val="auto"/>
        </w:rPr>
      </w:pPr>
    </w:p>
    <w:p>
      <w:pPr>
        <w:ind w:left="1240" w:right="1159" w:firstLine="356"/>
        <w:spacing w:after="0" w:line="286" w:lineRule="auto"/>
        <w:rPr>
          <w:sz w:val="20"/>
          <w:szCs w:val="20"/>
          <w:color w:val="auto"/>
        </w:rPr>
      </w:pPr>
      <w:r>
        <w:rPr>
          <w:rFonts w:ascii="Arial" w:cs="Arial" w:eastAsia="Arial" w:hAnsi="Arial"/>
          <w:sz w:val="16"/>
          <w:szCs w:val="16"/>
          <w:color w:val="auto"/>
        </w:rPr>
        <w:t>We have granted options to purchase our ordinary shares and restricted shares to certain of our executive officers and employees. See “Item 6. Directors, Senior Management and Employees —</w:t>
      </w:r>
    </w:p>
    <w:p>
      <w:pPr>
        <w:spacing w:after="0" w:line="1" w:lineRule="exact"/>
        <w:rPr>
          <w:sz w:val="20"/>
          <w:szCs w:val="20"/>
          <w:color w:val="auto"/>
        </w:rPr>
      </w:pPr>
    </w:p>
    <w:p>
      <w:pPr>
        <w:ind w:left="1240" w:right="113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6.B. Compensation — Share Incentive Plan” in our </w:t>
      </w:r>
      <w:hyperlink r:id="rId21">
        <w:r>
          <w:rPr>
            <w:rFonts w:ascii="Arial" w:cs="Arial" w:eastAsia="Arial" w:hAnsi="Arial"/>
            <w:sz w:val="18"/>
            <w:szCs w:val="18"/>
            <w:u w:val="single" w:color="auto"/>
            <w:color w:val="0000EE"/>
          </w:rPr>
          <w:t>2021 Form 20-F</w:t>
        </w:r>
      </w:hyperlink>
      <w:r>
        <w:rPr>
          <w:rFonts w:ascii="Arial" w:cs="Arial" w:eastAsia="Arial" w:hAnsi="Arial"/>
          <w:sz w:val="18"/>
          <w:szCs w:val="18"/>
          <w:color w:val="auto"/>
        </w:rPr>
        <w:t>, which is incorporated into this prospectus by reference.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Shareholders Agreements</w:t>
      </w:r>
    </w:p>
    <w:p>
      <w:pPr>
        <w:spacing w:after="0" w:line="144" w:lineRule="exact"/>
        <w:rPr>
          <w:sz w:val="20"/>
          <w:szCs w:val="20"/>
          <w:color w:val="auto"/>
        </w:rPr>
      </w:pPr>
    </w:p>
    <w:p>
      <w:pPr>
        <w:ind w:left="1240" w:right="479" w:firstLine="356"/>
        <w:spacing w:after="0" w:line="269" w:lineRule="auto"/>
        <w:rPr>
          <w:sz w:val="20"/>
          <w:szCs w:val="20"/>
          <w:color w:val="auto"/>
        </w:rPr>
      </w:pPr>
      <w:r>
        <w:rPr>
          <w:rFonts w:ascii="Arial" w:cs="Arial" w:eastAsia="Arial" w:hAnsi="Arial"/>
          <w:sz w:val="17"/>
          <w:szCs w:val="17"/>
          <w:color w:val="auto"/>
        </w:rPr>
        <w:t>Our currently effective fifth amended and restated shareholders agreement was entered into on September 11, 2019 by and among us, our shareholders, and certain other parties named therein. The current shareholders agreement provides for certain special rights, including right of participation and right of co-sale, and contains provision governing the board of directors and other corporate governance matters. These special rights (except the registration right as described below), as well as the corporate governance provisions, have automatically terminated after the completion of our initial public offering.</w:t>
      </w:r>
    </w:p>
    <w:p>
      <w:pPr>
        <w:spacing w:after="0" w:line="36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spacing w:after="0" w:line="253" w:lineRule="auto"/>
        <w:rPr>
          <w:sz w:val="20"/>
          <w:szCs w:val="20"/>
          <w:color w:val="auto"/>
        </w:rPr>
      </w:pPr>
      <w:r>
        <w:rPr>
          <w:rFonts w:ascii="Arial" w:cs="Arial" w:eastAsia="Arial" w:hAnsi="Arial"/>
          <w:sz w:val="18"/>
          <w:szCs w:val="18"/>
          <w:color w:val="auto"/>
        </w:rPr>
        <w:t>Scott Sandell and Carmen Chang were appointed to our board of directors pursuant to the terms of the shareholders agreement which provides that New Enterprise Associates 14, L.P., NEA 15 Opportunity Fund, L.P. and their affiliates shall be entitled to designate two directors of our board who are elected by the holders of our series A preferred shares. Such right to designate directors has also terminated upon the completion of this offering.</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0" w:lineRule="exact"/>
        <w:rPr>
          <w:sz w:val="20"/>
          <w:szCs w:val="20"/>
          <w:color w:val="auto"/>
        </w:rPr>
      </w:pPr>
    </w:p>
    <w:p>
      <w:pPr>
        <w:ind w:left="1240" w:right="499" w:firstLine="356"/>
        <w:spacing w:after="0" w:line="250" w:lineRule="auto"/>
        <w:rPr>
          <w:sz w:val="20"/>
          <w:szCs w:val="20"/>
          <w:color w:val="auto"/>
        </w:rPr>
      </w:pPr>
      <w:r>
        <w:rPr>
          <w:rFonts w:ascii="Arial" w:cs="Arial" w:eastAsia="Arial" w:hAnsi="Arial"/>
          <w:sz w:val="18"/>
          <w:szCs w:val="18"/>
          <w:color w:val="auto"/>
        </w:rPr>
        <w:t>Pursuant to the current shareholders agreement, we have granted certain registration rights to our shareholders, provided that no shareholder shall be entitled to exercise any such registration right after the earlier of (i) four years following the consummation of a Qualified IPO that provides for an offering price per share equal to at least two times the issue price of the Series D preferred shares and results in gross proceeds of no less than US$400 million (“Qualified IPO”); or (ii) with respect to any holder, the date on which such holder may sell all of such holder’s registrable securities under Rule 144 of the Securities Act in any ninety (90)-day period. Set forth below is a description of the registration rights granted under the current shareholders agreement.</w:t>
      </w:r>
    </w:p>
    <w:p>
      <w:pPr>
        <w:spacing w:after="0" w:line="130" w:lineRule="exact"/>
        <w:rPr>
          <w:sz w:val="20"/>
          <w:szCs w:val="20"/>
          <w:color w:val="auto"/>
        </w:rPr>
      </w:pPr>
    </w:p>
    <w:p>
      <w:pPr>
        <w:ind w:left="1600"/>
        <w:spacing w:after="0"/>
        <w:tabs>
          <w:tab w:leader="none" w:pos="3880" w:val="left"/>
        </w:tabs>
        <w:rPr>
          <w:sz w:val="20"/>
          <w:szCs w:val="20"/>
          <w:color w:val="auto"/>
        </w:rPr>
      </w:pPr>
      <w:r>
        <w:rPr>
          <w:rFonts w:ascii="Arial" w:cs="Arial" w:eastAsia="Arial" w:hAnsi="Arial"/>
          <w:sz w:val="18"/>
          <w:szCs w:val="18"/>
          <w:i w:val="1"/>
          <w:iCs w:val="1"/>
          <w:color w:val="auto"/>
        </w:rPr>
        <w:t>Demand Registration Rights.</w:t>
      </w:r>
      <w:r>
        <w:rPr>
          <w:sz w:val="20"/>
          <w:szCs w:val="20"/>
          <w:color w:val="auto"/>
        </w:rPr>
        <w:tab/>
      </w:r>
      <w:r>
        <w:rPr>
          <w:rFonts w:ascii="Arial" w:cs="Arial" w:eastAsia="Arial" w:hAnsi="Arial"/>
          <w:sz w:val="17"/>
          <w:szCs w:val="17"/>
          <w:color w:val="auto"/>
        </w:rPr>
        <w:t>At any time or from time to time after the earlier of (i) the third (3rd)</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anniversary of the date of the consummation of the purchase and sale of the Series D Preferred Shares or</w:t>
      </w:r>
    </w:p>
    <w:p>
      <w:pPr>
        <w:spacing w:after="0" w:line="18" w:lineRule="exact"/>
        <w:rPr>
          <w:sz w:val="20"/>
          <w:szCs w:val="20"/>
          <w:color w:val="auto"/>
        </w:rPr>
      </w:pPr>
    </w:p>
    <w:p>
      <w:pPr>
        <w:ind w:left="1240" w:right="499" w:firstLine="8"/>
        <w:spacing w:after="0" w:line="249"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that is six (6) months after the closing of the IPO, upon a written request from the holders of at least 20% of the registrable securities then outstanding, we shall promptly give written notice of the proposed registration to all other Holders and shall, use our reasonable best efforts to effect as soon as practicable, the registration under the Securities Act of all registrable securities which the holders request to be registered within 15 days after the mailing of such notice by us, provided, however, that the Company shall not be obligated to effect more than two such demand registrations.</w:t>
      </w:r>
    </w:p>
    <w:p>
      <w:pPr>
        <w:spacing w:after="0" w:line="126" w:lineRule="exact"/>
        <w:rPr>
          <w:sz w:val="20"/>
          <w:szCs w:val="20"/>
          <w:color w:val="auto"/>
        </w:rPr>
      </w:pPr>
    </w:p>
    <w:p>
      <w:pPr>
        <w:ind w:left="1240" w:right="499" w:firstLine="356"/>
        <w:spacing w:after="0" w:line="253"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file a registration statement for a public offering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securities, we must offer holders of our registrable securities an opportunity to include in the registration the registrable securities that the holders have requested to be registered. There shall be no limit on the number of times the holders may request registration of registrable securities pursuant to such piggyback registration rights.</w:t>
      </w:r>
    </w:p>
    <w:p>
      <w:pPr>
        <w:spacing w:after="0" w:line="110" w:lineRule="exact"/>
        <w:rPr>
          <w:sz w:val="20"/>
          <w:szCs w:val="20"/>
          <w:color w:val="auto"/>
        </w:rPr>
      </w:pPr>
    </w:p>
    <w:p>
      <w:pPr>
        <w:ind w:left="1240" w:right="499" w:firstLine="356"/>
        <w:spacing w:after="0" w:line="265" w:lineRule="auto"/>
        <w:rPr>
          <w:sz w:val="20"/>
          <w:szCs w:val="20"/>
          <w:color w:val="auto"/>
        </w:rPr>
      </w:pPr>
      <w:r>
        <w:rPr>
          <w:rFonts w:ascii="Arial" w:cs="Arial" w:eastAsia="Arial" w:hAnsi="Arial"/>
          <w:sz w:val="17"/>
          <w:szCs w:val="17"/>
          <w:color w:val="auto"/>
        </w:rPr>
        <w:t>If the underwriter advises the holders initiating the registration request pursuant to the piggyback registration rights in writing that marketing factors require a limitation on the number of shares to be underwritten, then the underwriter may (i) in the event the offering is the Company’s IPO, exclude all of the registrable securities (so long as the only securities included in such offering are those sold for the account of the Company and no securities of other selling shareholders are included), or (ii) otherwise exclude the registrable securities requested to be registered, provided that (A) no registrable securities shall be excluded unless all other equity securities (except for securities sold for the account of the Company) are excluded from the registration and underwriting and so long as the number of registrable securities to be included in such registration is allocated among all holders in proportion, as nearly as practicable, to the respective amounts of registrable securities requested by such Holders to be included and (B) the amount of registrable securities to be included in such registration shall not be reduced below twenty five percent (25%) of the total amount of securities included in such registration.</w:t>
      </w:r>
    </w:p>
    <w:p>
      <w:pPr>
        <w:spacing w:after="0" w:line="119" w:lineRule="exact"/>
        <w:rPr>
          <w:sz w:val="20"/>
          <w:szCs w:val="20"/>
          <w:color w:val="auto"/>
        </w:rPr>
      </w:pPr>
    </w:p>
    <w:p>
      <w:pPr>
        <w:ind w:left="1240" w:right="519" w:firstLine="356"/>
        <w:spacing w:after="0" w:line="253" w:lineRule="auto"/>
        <w:rPr>
          <w:sz w:val="20"/>
          <w:szCs w:val="20"/>
          <w:color w:val="auto"/>
        </w:rPr>
      </w:pPr>
      <w:r>
        <w:rPr>
          <w:rFonts w:ascii="Arial" w:cs="Arial" w:eastAsia="Arial" w:hAnsi="Arial"/>
          <w:sz w:val="18"/>
          <w:szCs w:val="18"/>
          <w:i w:val="1"/>
          <w:iCs w:val="1"/>
          <w:color w:val="auto"/>
        </w:rPr>
        <w:t xml:space="preserve">Form F-3 or S-3 Registration Rights. </w:t>
      </w:r>
      <w:r>
        <w:rPr>
          <w:rFonts w:ascii="Arial" w:cs="Arial" w:eastAsia="Arial" w:hAnsi="Arial"/>
          <w:sz w:val="18"/>
          <w:szCs w:val="18"/>
          <w:color w:val="auto"/>
        </w:rPr>
        <w:t>In case we receive from any holders of registrable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written requests that we effect a registration on Form F-3 or Form S-3, as the case may be, we shall, subject to certain limitations, file a registration statement on Form F-3 or Form S-3 covering the registrable securities and other securities so requested to be registered as soon as practicable after receipt of the request or requests of the holders.</w:t>
      </w:r>
    </w:p>
    <w:p>
      <w:pPr>
        <w:spacing w:after="0" w:line="123" w:lineRule="exact"/>
        <w:rPr>
          <w:sz w:val="20"/>
          <w:szCs w:val="20"/>
          <w:color w:val="auto"/>
        </w:rPr>
      </w:pPr>
    </w:p>
    <w:p>
      <w:pPr>
        <w:ind w:left="1240" w:right="959" w:firstLine="356"/>
        <w:spacing w:after="0" w:line="270" w:lineRule="auto"/>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will bear all registration expenses incurred in connection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demand, piggyback or F-3 registration, subject to certain limitations.</w:t>
      </w:r>
    </w:p>
    <w:p>
      <w:pPr>
        <w:spacing w:after="0" w:line="200" w:lineRule="exact"/>
        <w:rPr>
          <w:sz w:val="20"/>
          <w:szCs w:val="20"/>
          <w:color w:val="auto"/>
        </w:rPr>
      </w:pPr>
    </w:p>
    <w:p>
      <w:pPr>
        <w:spacing w:after="0" w:line="34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American Depositary Shares</w:t>
      </w:r>
    </w:p>
    <w:p>
      <w:pPr>
        <w:spacing w:after="0" w:line="144" w:lineRule="exact"/>
        <w:rPr>
          <w:sz w:val="20"/>
          <w:szCs w:val="20"/>
          <w:color w:val="auto"/>
        </w:rPr>
      </w:pPr>
    </w:p>
    <w:p>
      <w:pPr>
        <w:ind w:left="1240" w:right="519" w:firstLine="356"/>
        <w:spacing w:after="0" w:line="235" w:lineRule="auto"/>
        <w:rPr>
          <w:sz w:val="20"/>
          <w:szCs w:val="20"/>
          <w:color w:val="auto"/>
        </w:rPr>
      </w:pPr>
      <w:r>
        <w:rPr>
          <w:rFonts w:ascii="Arial" w:cs="Arial" w:eastAsia="Arial" w:hAnsi="Arial"/>
          <w:sz w:val="18"/>
          <w:szCs w:val="18"/>
          <w:color w:val="auto"/>
        </w:rPr>
        <w:t>The Bank of New York Mellon, as depositary, will register and deliver American Depositary Shares, also referred to as ADSs. Each ADS will represent one Class A ordinary share (or a right to receive one Class A ordinary share)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27" w:lineRule="exact"/>
        <w:rPr>
          <w:sz w:val="20"/>
          <w:szCs w:val="20"/>
          <w:color w:val="auto"/>
        </w:rPr>
      </w:pPr>
    </w:p>
    <w:p>
      <w:pPr>
        <w:ind w:left="1240" w:right="479" w:firstLine="356"/>
        <w:spacing w:after="0" w:line="235" w:lineRule="auto"/>
        <w:rPr>
          <w:sz w:val="20"/>
          <w:szCs w:val="20"/>
          <w:color w:val="auto"/>
        </w:rPr>
      </w:pPr>
      <w:r>
        <w:rPr>
          <w:rFonts w:ascii="Arial" w:cs="Arial" w:eastAsia="Arial" w:hAnsi="Arial"/>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4" w:lineRule="exact"/>
        <w:rPr>
          <w:sz w:val="20"/>
          <w:szCs w:val="20"/>
          <w:color w:val="auto"/>
        </w:rPr>
      </w:pPr>
    </w:p>
    <w:p>
      <w:pPr>
        <w:ind w:left="1240" w:right="519" w:firstLine="356"/>
        <w:spacing w:after="0" w:line="254" w:lineRule="auto"/>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96" w:lineRule="exact"/>
        <w:rPr>
          <w:sz w:val="20"/>
          <w:szCs w:val="20"/>
          <w:color w:val="auto"/>
        </w:rPr>
      </w:pPr>
    </w:p>
    <w:p>
      <w:pPr>
        <w:ind w:left="1240" w:right="639" w:firstLine="356"/>
        <w:spacing w:after="0" w:line="237"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21" w:lineRule="exact"/>
        <w:rPr>
          <w:sz w:val="20"/>
          <w:szCs w:val="20"/>
          <w:color w:val="auto"/>
        </w:rPr>
      </w:pPr>
    </w:p>
    <w:p>
      <w:pPr>
        <w:ind w:left="1240" w:right="659" w:firstLine="356"/>
        <w:spacing w:after="0" w:line="239"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which contains the terms of your ADSs. Directions on how to obtain copies of those documents are provided on “Where You Can Find Additional Information.”</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Dividends and Other Distributions</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53" w:lineRule="exact"/>
        <w:rPr>
          <w:sz w:val="20"/>
          <w:szCs w:val="20"/>
          <w:color w:val="auto"/>
        </w:rPr>
      </w:pPr>
    </w:p>
    <w:p>
      <w:pPr>
        <w:ind w:left="1240" w:right="559" w:firstLine="356"/>
        <w:spacing w:after="0" w:line="239"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69" w:lineRule="exact"/>
        <w:rPr>
          <w:sz w:val="20"/>
          <w:szCs w:val="20"/>
          <w:color w:val="auto"/>
        </w:rPr>
      </w:pPr>
    </w:p>
    <w:p>
      <w:pPr>
        <w:ind w:left="1780" w:right="499" w:hanging="176"/>
        <w:spacing w:after="0" w:line="251"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52" w:lineRule="exact"/>
        <w:rPr>
          <w:rFonts w:ascii="Arial" w:cs="Arial" w:eastAsia="Arial" w:hAnsi="Arial"/>
          <w:sz w:val="18"/>
          <w:szCs w:val="18"/>
          <w:color w:val="auto"/>
        </w:rPr>
      </w:pPr>
    </w:p>
    <w:p>
      <w:pPr>
        <w:ind w:left="1760" w:right="47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Before making a distribution, any withholding taxes, or other governmental charges that must be paid will be deducted. See “Taxation.”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w:t>
      </w:r>
      <w:r>
        <w:rPr>
          <w:rFonts w:ascii="Arial" w:cs="Arial" w:eastAsia="Arial" w:hAnsi="Arial"/>
          <w:sz w:val="18"/>
          <w:szCs w:val="18"/>
          <w:color w:val="auto"/>
        </w:rPr>
        <w:t xml:space="preserve"> </w:t>
      </w:r>
      <w:r>
        <w:rPr>
          <w:rFonts w:ascii="Arial" w:cs="Arial" w:eastAsia="Arial" w:hAnsi="Arial"/>
          <w:sz w:val="18"/>
          <w:szCs w:val="18"/>
          <w:i w:val="1"/>
          <w:iCs w:val="1"/>
          <w:color w:val="auto"/>
        </w:rPr>
        <w:t>time when the depositary cannot convert the foreign currency, you may lose some of the value of the distribution.</w:t>
      </w:r>
    </w:p>
    <w:p>
      <w:pPr>
        <w:spacing w:after="0" w:line="37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right="499" w:hanging="176"/>
        <w:spacing w:after="0" w:line="251"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85" w:lineRule="exact"/>
        <w:rPr>
          <w:rFonts w:ascii="Arial" w:cs="Arial" w:eastAsia="Arial" w:hAnsi="Arial"/>
          <w:sz w:val="18"/>
          <w:szCs w:val="18"/>
          <w:color w:val="auto"/>
        </w:rPr>
      </w:pPr>
    </w:p>
    <w:p>
      <w:pPr>
        <w:ind w:left="1780" w:right="459" w:hanging="176"/>
        <w:spacing w:after="0" w:line="249"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Rights to Purchase Additional Shares</w:t>
      </w:r>
      <w:r>
        <w:rPr>
          <w:rFonts w:ascii="Arial" w:cs="Arial" w:eastAsia="Arial" w:hAnsi="Arial"/>
          <w:sz w:val="18"/>
          <w:szCs w:val="18"/>
          <w:color w:val="auto"/>
        </w:rPr>
        <w:t>. If we offer holders of our securities any rights to subscribe</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90" w:lineRule="exact"/>
        <w:rPr>
          <w:rFonts w:ascii="Arial" w:cs="Arial" w:eastAsia="Arial" w:hAnsi="Arial"/>
          <w:sz w:val="18"/>
          <w:szCs w:val="18"/>
          <w:color w:val="auto"/>
        </w:rPr>
      </w:pPr>
    </w:p>
    <w:p>
      <w:pPr>
        <w:ind w:left="1780" w:right="639" w:hanging="176"/>
        <w:spacing w:after="0" w:line="249"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The depositary will send to ADS holders anything else we distribute on</w:t>
      </w:r>
      <w:r>
        <w:rPr>
          <w:rFonts w:ascii="Arial" w:cs="Arial" w:eastAsia="Arial" w:hAnsi="Arial"/>
          <w:sz w:val="18"/>
          <w:szCs w:val="18"/>
          <w:i w:val="1"/>
          <w:iCs w:val="1"/>
          <w:color w:val="auto"/>
        </w:rPr>
        <w:t xml:space="preserve"> </w:t>
      </w:r>
      <w:r>
        <w:rPr>
          <w:rFonts w:ascii="Arial" w:cs="Arial" w:eastAsia="Arial" w:hAnsi="Arial"/>
          <w:sz w:val="18"/>
          <w:szCs w:val="18"/>
          <w:color w:val="auto"/>
        </w:rPr>
        <w:t>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2" w:lineRule="exact"/>
        <w:rPr>
          <w:rFonts w:ascii="Arial" w:cs="Arial" w:eastAsia="Arial" w:hAnsi="Arial"/>
          <w:sz w:val="18"/>
          <w:szCs w:val="18"/>
          <w:color w:val="auto"/>
        </w:rPr>
      </w:pPr>
    </w:p>
    <w:p>
      <w:pPr>
        <w:ind w:left="1760" w:right="5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w:t>
      </w:r>
      <w:r>
        <w:rPr>
          <w:rFonts w:ascii="Arial" w:cs="Arial" w:eastAsia="Arial" w:hAnsi="Arial"/>
          <w:sz w:val="18"/>
          <w:szCs w:val="18"/>
          <w:color w:val="auto"/>
        </w:rPr>
        <w:t xml:space="preserve"> </w:t>
      </w:r>
      <w:r>
        <w:rPr>
          <w:rFonts w:ascii="Arial" w:cs="Arial" w:eastAsia="Arial" w:hAnsi="Arial"/>
          <w:sz w:val="18"/>
          <w:szCs w:val="18"/>
          <w:i w:val="1"/>
          <w:iCs w:val="1"/>
          <w:color w:val="auto"/>
        </w:rPr>
        <w:t>receive the distributions we make on our shares or any value for them if it is illegal or impractical for us to make them available to you.</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40" w:lineRule="exact"/>
        <w:rPr>
          <w:sz w:val="20"/>
          <w:szCs w:val="20"/>
          <w:color w:val="auto"/>
        </w:rPr>
      </w:pPr>
    </w:p>
    <w:p>
      <w:pPr>
        <w:ind w:left="1240" w:right="479" w:firstLine="356"/>
        <w:spacing w:after="0" w:line="253" w:lineRule="auto"/>
        <w:rPr>
          <w:sz w:val="20"/>
          <w:szCs w:val="20"/>
          <w:color w:val="auto"/>
        </w:rPr>
      </w:pPr>
      <w:r>
        <w:rPr>
          <w:rFonts w:ascii="Arial" w:cs="Arial" w:eastAsia="Arial" w:hAnsi="Arial"/>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53" w:lineRule="exact"/>
        <w:rPr>
          <w:sz w:val="20"/>
          <w:szCs w:val="20"/>
          <w:color w:val="auto"/>
        </w:rPr>
      </w:pPr>
    </w:p>
    <w:p>
      <w:pPr>
        <w:ind w:left="1240" w:right="499" w:firstLine="356"/>
        <w:spacing w:after="0" w:line="269" w:lineRule="auto"/>
        <w:rPr>
          <w:sz w:val="20"/>
          <w:szCs w:val="20"/>
          <w:color w:val="auto"/>
        </w:rPr>
      </w:pPr>
      <w:r>
        <w:rPr>
          <w:rFonts w:ascii="Arial" w:cs="Arial" w:eastAsia="Arial" w:hAnsi="Arial"/>
          <w:sz w:val="17"/>
          <w:szCs w:val="17"/>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w:t>
      </w:r>
    </w:p>
    <w:p>
      <w:pPr>
        <w:sectPr>
          <w:pgSz w:w="11900" w:h="16838" w:orient="portrait"/>
          <w:cols w:equalWidth="0" w:num="1">
            <w:col w:w="9819"/>
          </w:cols>
          <w:pgMar w:left="640" w:top="131" w:right="1440" w:bottom="1440" w:gutter="0" w:footer="0" w:header="0"/>
        </w:sectPr>
      </w:pPr>
    </w:p>
    <w:p>
      <w:pPr>
        <w:spacing w:after="0" w:line="35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253365</wp:posOffset>
            </wp:positionV>
            <wp:extent cx="67525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659"/>
        <w:spacing w:after="0" w:line="270" w:lineRule="auto"/>
        <w:rPr>
          <w:sz w:val="20"/>
          <w:szCs w:val="20"/>
          <w:color w:val="auto"/>
        </w:rPr>
      </w:pPr>
      <w:r>
        <w:rPr>
          <w:rFonts w:ascii="Arial" w:cs="Arial" w:eastAsia="Arial" w:hAnsi="Arial"/>
          <w:sz w:val="18"/>
          <w:szCs w:val="18"/>
          <w:color w:val="auto"/>
        </w:rPr>
        <w:t>share or other security. The depositary may charge you a fee and its expenses for instructing the custodian regarding delivery of deposited securities.</w:t>
      </w:r>
    </w:p>
    <w:p>
      <w:pPr>
        <w:spacing w:after="0" w:line="175"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40" w:lineRule="exact"/>
        <w:rPr>
          <w:sz w:val="20"/>
          <w:szCs w:val="20"/>
          <w:color w:val="auto"/>
        </w:rPr>
      </w:pPr>
    </w:p>
    <w:p>
      <w:pPr>
        <w:ind w:left="1240" w:right="599" w:firstLine="356"/>
        <w:spacing w:after="0" w:line="252"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Voting Rights</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53" w:lineRule="exact"/>
        <w:rPr>
          <w:sz w:val="20"/>
          <w:szCs w:val="20"/>
          <w:color w:val="auto"/>
        </w:rPr>
      </w:pPr>
    </w:p>
    <w:p>
      <w:pPr>
        <w:ind w:left="1240" w:right="479" w:firstLine="356"/>
        <w:spacing w:after="0" w:line="266"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jc w:val="both"/>
        <w:ind w:left="1240" w:right="679" w:firstLine="356"/>
        <w:spacing w:after="0" w:line="274" w:lineRule="auto"/>
        <w:rPr>
          <w:sz w:val="20"/>
          <w:szCs w:val="20"/>
          <w:color w:val="auto"/>
        </w:rPr>
      </w:pPr>
      <w:r>
        <w:rPr>
          <w:rFonts w:ascii="Arial" w:cs="Arial" w:eastAsia="Arial" w:hAnsi="Arial"/>
          <w:sz w:val="17"/>
          <w:szCs w:val="17"/>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 not exercise any discretion in</w:t>
      </w:r>
      <w:r>
        <w:rPr>
          <w:rFonts w:ascii="Arial" w:cs="Arial" w:eastAsia="Arial" w:hAnsi="Arial"/>
          <w:sz w:val="17"/>
          <w:szCs w:val="17"/>
          <w:i w:val="1"/>
          <w:iCs w:val="1"/>
          <w:color w:val="auto"/>
        </w:rPr>
        <w:t xml:space="preserve"> </w:t>
      </w:r>
      <w:r>
        <w:rPr>
          <w:rFonts w:ascii="Arial" w:cs="Arial" w:eastAsia="Arial" w:hAnsi="Arial"/>
          <w:sz w:val="17"/>
          <w:szCs w:val="17"/>
          <w:color w:val="auto"/>
        </w:rPr>
        <w:t>voting deposited securities and it will only vote or attempt to vote as instructed.</w:t>
      </w:r>
    </w:p>
    <w:p>
      <w:pPr>
        <w:spacing w:after="0" w:line="95" w:lineRule="exact"/>
        <w:rPr>
          <w:sz w:val="20"/>
          <w:szCs w:val="20"/>
          <w:color w:val="auto"/>
        </w:rPr>
      </w:pPr>
    </w:p>
    <w:p>
      <w:pPr>
        <w:ind w:left="1240" w:right="459" w:firstLine="356"/>
        <w:spacing w:after="0" w:line="253" w:lineRule="auto"/>
        <w:rPr>
          <w:sz w:val="20"/>
          <w:szCs w:val="20"/>
          <w:color w:val="auto"/>
        </w:rPr>
      </w:pPr>
      <w:r>
        <w:rPr>
          <w:rFonts w:ascii="Arial" w:cs="Arial" w:eastAsia="Arial" w:hAnsi="Arial"/>
          <w:sz w:val="18"/>
          <w:szCs w:val="18"/>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 you may</w:t>
      </w:r>
      <w:r>
        <w:rPr>
          <w:rFonts w:ascii="Arial" w:cs="Arial" w:eastAsia="Arial" w:hAnsi="Arial"/>
          <w:sz w:val="18"/>
          <w:szCs w:val="18"/>
          <w:color w:val="auto"/>
        </w:rPr>
        <w:t xml:space="preserve"> </w:t>
      </w:r>
      <w:r>
        <w:rPr>
          <w:rFonts w:ascii="Arial" w:cs="Arial" w:eastAsia="Arial" w:hAnsi="Arial"/>
          <w:sz w:val="18"/>
          <w:szCs w:val="18"/>
          <w:i w:val="1"/>
          <w:iCs w:val="1"/>
          <w:color w:val="auto"/>
        </w:rPr>
        <w:t>not be able to exercise voting rights and there may be nothing you can do if your shares are not voted as you requested.</w:t>
      </w:r>
    </w:p>
    <w:p>
      <w:pPr>
        <w:spacing w:after="0" w:line="123" w:lineRule="exact"/>
        <w:rPr>
          <w:sz w:val="20"/>
          <w:szCs w:val="20"/>
          <w:color w:val="auto"/>
        </w:rPr>
      </w:pPr>
    </w:p>
    <w:p>
      <w:pPr>
        <w:ind w:left="1240" w:right="619" w:firstLine="356"/>
        <w:spacing w:after="0" w:line="255"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Fees and Expenses</w:t>
      </w:r>
    </w:p>
    <w:p>
      <w:pPr>
        <w:spacing w:after="0" w:line="176" w:lineRule="exact"/>
        <w:rPr>
          <w:sz w:val="20"/>
          <w:szCs w:val="20"/>
          <w:color w:val="auto"/>
        </w:rPr>
      </w:pPr>
    </w:p>
    <w:p>
      <w:pPr>
        <w:jc w:val="center"/>
        <w:ind w:left="1300"/>
        <w:spacing w:after="0"/>
        <w:rPr>
          <w:sz w:val="20"/>
          <w:szCs w:val="20"/>
          <w:color w:val="auto"/>
        </w:rPr>
      </w:pPr>
      <w:r>
        <w:rPr>
          <w:rFonts w:ascii="Arial" w:cs="Arial" w:eastAsia="Arial" w:hAnsi="Arial"/>
          <w:sz w:val="14"/>
          <w:szCs w:val="14"/>
          <w:b w:val="1"/>
          <w:bCs w:val="1"/>
          <w:color w:val="auto"/>
        </w:rPr>
        <w:t>Persons depositing or withdrawing shares or ADS holders must</w:t>
      </w:r>
    </w:p>
    <w:p>
      <w:pPr>
        <w:spacing w:after="0" w:line="15" w:lineRule="exact"/>
        <w:rPr>
          <w:sz w:val="20"/>
          <w:szCs w:val="20"/>
          <w:color w:val="auto"/>
        </w:rPr>
      </w:pPr>
    </w:p>
    <w:p>
      <w:pPr>
        <w:jc w:val="center"/>
        <w:ind w:left="1340"/>
        <w:spacing w:after="0"/>
        <w:rPr>
          <w:sz w:val="20"/>
          <w:szCs w:val="20"/>
          <w:color w:val="auto"/>
        </w:rPr>
      </w:pPr>
      <w:r>
        <w:rPr>
          <w:rFonts w:ascii="Arial" w:cs="Arial" w:eastAsia="Arial" w:hAnsi="Arial"/>
          <w:sz w:val="14"/>
          <w:szCs w:val="14"/>
          <w:b w:val="1"/>
          <w:bCs w:val="1"/>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20320</wp:posOffset>
            </wp:positionV>
            <wp:extent cx="29825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82595" cy="8255"/>
                    </a:xfrm>
                    <a:prstGeom prst="rect">
                      <a:avLst/>
                    </a:prstGeom>
                    <a:noFill/>
                  </pic:spPr>
                </pic:pic>
              </a:graphicData>
            </a:graphic>
          </wp:anchor>
        </w:drawing>
      </w:r>
    </w:p>
    <w:p>
      <w:pPr>
        <w:spacing w:after="0" w:line="65" w:lineRule="exact"/>
        <w:rPr>
          <w:sz w:val="20"/>
          <w:szCs w:val="20"/>
          <w:color w:val="auto"/>
        </w:rPr>
      </w:pPr>
    </w:p>
    <w:p>
      <w:pPr>
        <w:ind w:left="1420" w:hanging="172"/>
        <w:spacing w:after="0"/>
        <w:tabs>
          <w:tab w:leader="none" w:pos="1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US$5.00 (or less) per 100 ADSs (or portion of 100 ADSs)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2" w:lineRule="exact"/>
        <w:rPr>
          <w:rFonts w:ascii="Arial" w:cs="Arial" w:eastAsia="Arial" w:hAnsi="Arial"/>
          <w:sz w:val="17"/>
          <w:szCs w:val="17"/>
          <w:color w:val="auto"/>
        </w:rPr>
      </w:pPr>
    </w:p>
    <w:p>
      <w:pPr>
        <w:ind w:left="1420" w:hanging="172"/>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US$.05 (or less) per ADS</w:t>
      </w:r>
    </w:p>
    <w:p>
      <w:pPr>
        <w:spacing w:after="0" w:line="59" w:lineRule="exact"/>
        <w:rPr>
          <w:rFonts w:ascii="Arial" w:cs="Arial" w:eastAsia="Arial" w:hAnsi="Arial"/>
          <w:sz w:val="18"/>
          <w:szCs w:val="18"/>
          <w:color w:val="auto"/>
        </w:rPr>
      </w:pPr>
    </w:p>
    <w:p>
      <w:pPr>
        <w:ind w:left="1420" w:right="40" w:hanging="172"/>
        <w:spacing w:after="0" w:line="258"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239" w:lineRule="exact"/>
        <w:rPr>
          <w:rFonts w:ascii="Arial" w:cs="Arial" w:eastAsia="Arial" w:hAnsi="Arial"/>
          <w:sz w:val="18"/>
          <w:szCs w:val="18"/>
          <w:color w:val="auto"/>
        </w:rPr>
      </w:pPr>
    </w:p>
    <w:p>
      <w:pPr>
        <w:ind w:left="1420" w:hanging="172"/>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US$.05 (or less) per ADS per calendar year</w:t>
      </w:r>
    </w:p>
    <w:p>
      <w:pPr>
        <w:spacing w:after="0" w:line="46" w:lineRule="exact"/>
        <w:rPr>
          <w:rFonts w:ascii="Arial" w:cs="Arial" w:eastAsia="Arial" w:hAnsi="Arial"/>
          <w:sz w:val="18"/>
          <w:szCs w:val="18"/>
          <w:color w:val="auto"/>
        </w:rPr>
      </w:pPr>
    </w:p>
    <w:p>
      <w:pPr>
        <w:ind w:left="1420" w:hanging="172"/>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420" w:hanging="172"/>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420" w:hanging="172"/>
        <w:spacing w:after="0" w:line="255"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40" w:lineRule="exact"/>
        <w:rPr>
          <w:rFonts w:ascii="Arial" w:cs="Arial" w:eastAsia="Arial" w:hAnsi="Arial"/>
          <w:sz w:val="18"/>
          <w:szCs w:val="18"/>
          <w:color w:val="auto"/>
        </w:rPr>
      </w:pPr>
    </w:p>
    <w:p>
      <w:pPr>
        <w:ind w:left="1420" w:right="280" w:hanging="172"/>
        <w:spacing w:after="0" w:line="270"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57"/>
        <w:spacing w:after="0"/>
        <w:rPr>
          <w:sz w:val="20"/>
          <w:szCs w:val="20"/>
          <w:color w:val="auto"/>
        </w:rPr>
      </w:pPr>
      <w:r>
        <w:rPr>
          <w:rFonts w:ascii="Arial" w:cs="Arial" w:eastAsia="Arial" w:hAnsi="Arial"/>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2033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94" w:lineRule="exact"/>
        <w:rPr>
          <w:sz w:val="20"/>
          <w:szCs w:val="20"/>
          <w:color w:val="auto"/>
        </w:rPr>
      </w:pPr>
    </w:p>
    <w:p>
      <w:pPr>
        <w:ind w:left="182" w:right="459" w:hanging="182"/>
        <w:spacing w:after="0" w:line="258"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19" w:lineRule="exact"/>
        <w:rPr>
          <w:rFonts w:ascii="Arial" w:cs="Arial" w:eastAsia="Arial" w:hAnsi="Arial"/>
          <w:sz w:val="18"/>
          <w:szCs w:val="18"/>
          <w:color w:val="auto"/>
        </w:rPr>
      </w:pPr>
    </w:p>
    <w:p>
      <w:pPr>
        <w:ind w:left="182" w:right="479" w:hanging="182"/>
        <w:spacing w:after="0" w:line="258"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39" w:lineRule="exact"/>
        <w:rPr>
          <w:rFonts w:ascii="Arial" w:cs="Arial" w:eastAsia="Arial" w:hAnsi="Arial"/>
          <w:sz w:val="18"/>
          <w:szCs w:val="18"/>
          <w:color w:val="auto"/>
        </w:rPr>
      </w:pPr>
    </w:p>
    <w:p>
      <w:pPr>
        <w:ind w:left="182" w:hanging="182"/>
        <w:spacing w:after="0"/>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59" w:lineRule="exact"/>
        <w:rPr>
          <w:rFonts w:ascii="Arial" w:cs="Arial" w:eastAsia="Arial" w:hAnsi="Arial"/>
          <w:sz w:val="18"/>
          <w:szCs w:val="18"/>
          <w:color w:val="auto"/>
        </w:rPr>
      </w:pPr>
    </w:p>
    <w:p>
      <w:pPr>
        <w:ind w:left="182" w:right="499" w:hanging="182"/>
        <w:spacing w:after="0" w:line="255"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27" w:lineRule="exact"/>
        <w:rPr>
          <w:rFonts w:ascii="Arial" w:cs="Arial" w:eastAsia="Arial" w:hAnsi="Arial"/>
          <w:sz w:val="18"/>
          <w:szCs w:val="18"/>
          <w:color w:val="auto"/>
        </w:rPr>
      </w:pPr>
    </w:p>
    <w:p>
      <w:pPr>
        <w:ind w:left="182" w:hanging="182"/>
        <w:spacing w:after="0"/>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59" w:lineRule="exact"/>
        <w:rPr>
          <w:rFonts w:ascii="Arial" w:cs="Arial" w:eastAsia="Arial" w:hAnsi="Arial"/>
          <w:sz w:val="18"/>
          <w:szCs w:val="18"/>
          <w:color w:val="auto"/>
        </w:rPr>
      </w:pPr>
    </w:p>
    <w:p>
      <w:pPr>
        <w:ind w:left="182" w:right="579" w:hanging="182"/>
        <w:spacing w:after="0" w:line="274" w:lineRule="auto"/>
        <w:tabs>
          <w:tab w:leader="none" w:pos="1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Transfer and registration of shares on our share register to or from the name of the depositary or its agent when you deposit or withdraw shares</w:t>
      </w:r>
    </w:p>
    <w:p>
      <w:pPr>
        <w:spacing w:after="0" w:line="27" w:lineRule="exact"/>
        <w:rPr>
          <w:rFonts w:ascii="Arial" w:cs="Arial" w:eastAsia="Arial" w:hAnsi="Arial"/>
          <w:sz w:val="17"/>
          <w:szCs w:val="17"/>
          <w:color w:val="auto"/>
        </w:rPr>
      </w:pPr>
    </w:p>
    <w:p>
      <w:pPr>
        <w:jc w:val="both"/>
        <w:ind w:left="182" w:right="499" w:hanging="182"/>
        <w:spacing w:after="0" w:line="281" w:lineRule="auto"/>
        <w:tabs>
          <w:tab w:leader="none" w:pos="1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Cable (including SWIFT) and facsimile transmissions (when expressly provided in the deposit agreement)</w:t>
      </w:r>
    </w:p>
    <w:p>
      <w:pPr>
        <w:spacing w:after="0" w:line="7" w:lineRule="exact"/>
        <w:rPr>
          <w:rFonts w:ascii="Arial" w:cs="Arial" w:eastAsia="Arial" w:hAnsi="Arial"/>
          <w:sz w:val="17"/>
          <w:szCs w:val="17"/>
          <w:color w:val="auto"/>
        </w:rPr>
      </w:pPr>
    </w:p>
    <w:p>
      <w:pPr>
        <w:ind w:left="182" w:hanging="182"/>
        <w:spacing w:after="0"/>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82" w:hanging="182"/>
        <w:spacing w:after="0"/>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380" w:lineRule="exact"/>
        <w:rPr>
          <w:sz w:val="20"/>
          <w:szCs w:val="20"/>
          <w:color w:val="auto"/>
        </w:rPr>
      </w:pPr>
    </w:p>
    <w:p>
      <w:pPr>
        <w:sectPr>
          <w:pgSz w:w="11900" w:h="16838" w:orient="portrait"/>
          <w:cols w:equalWidth="0" w:num="2">
            <w:col w:w="5860" w:space="298"/>
            <w:col w:w="3661"/>
          </w:cols>
          <w:pgMar w:left="640" w:top="131" w:right="1440" w:bottom="1440" w:gutter="0" w:footer="0" w:header="0"/>
        </w:sectPr>
      </w:pPr>
    </w:p>
    <w:p>
      <w:pPr>
        <w:ind w:left="1240" w:right="519" w:firstLine="356"/>
        <w:spacing w:after="0" w:line="266"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18" w:lineRule="exact"/>
        <w:rPr>
          <w:sz w:val="20"/>
          <w:szCs w:val="20"/>
          <w:color w:val="auto"/>
        </w:rPr>
      </w:pPr>
    </w:p>
    <w:p>
      <w:pPr>
        <w:ind w:left="1240" w:right="499" w:firstLine="356"/>
        <w:spacing w:after="0" w:line="252"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0" w:lineRule="exact"/>
        <w:rPr>
          <w:sz w:val="20"/>
          <w:szCs w:val="20"/>
          <w:color w:val="auto"/>
        </w:rPr>
      </w:pPr>
    </w:p>
    <w:p>
      <w:pPr>
        <w:ind w:left="1240" w:right="479" w:firstLine="356"/>
        <w:spacing w:after="0" w:line="250" w:lineRule="auto"/>
        <w:rPr>
          <w:sz w:val="20"/>
          <w:szCs w:val="20"/>
          <w:color w:val="auto"/>
        </w:rPr>
      </w:pPr>
      <w:r>
        <w:rPr>
          <w:rFonts w:ascii="Arial" w:cs="Arial" w:eastAsia="Arial" w:hAnsi="Arial"/>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w:t>
      </w:r>
    </w:p>
    <w:p>
      <w:pPr>
        <w:sectPr>
          <w:pgSz w:w="11900" w:h="16838" w:orient="portrait"/>
          <w:cols w:equalWidth="0" w:num="1">
            <w:col w:w="9819"/>
          </w:cols>
          <w:pgMar w:left="640" w:top="131" w:right="1440" w:bottom="1440" w:gutter="0" w:footer="0" w:header="0"/>
          <w:type w:val="continuous"/>
        </w:sectPr>
      </w:pPr>
    </w:p>
    <w:p>
      <w:pPr>
        <w:spacing w:after="0" w:line="38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253365</wp:posOffset>
            </wp:positionV>
            <wp:extent cx="67525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40" w:right="479"/>
        <w:spacing w:after="0" w:line="232" w:lineRule="auto"/>
        <w:rPr>
          <w:sz w:val="20"/>
          <w:szCs w:val="20"/>
          <w:color w:val="auto"/>
        </w:rPr>
      </w:pPr>
      <w:r>
        <w:rPr>
          <w:rFonts w:ascii="Arial" w:cs="Arial" w:eastAsia="Arial" w:hAnsi="Arial"/>
          <w:sz w:val="17"/>
          <w:szCs w:val="17"/>
          <w:color w:val="auto"/>
        </w:rPr>
        <w:t>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Payment of Taxes</w:t>
      </w:r>
    </w:p>
    <w:p>
      <w:pPr>
        <w:spacing w:after="0" w:line="131" w:lineRule="exact"/>
        <w:rPr>
          <w:sz w:val="20"/>
          <w:szCs w:val="20"/>
          <w:color w:val="auto"/>
        </w:rPr>
      </w:pPr>
    </w:p>
    <w:p>
      <w:pPr>
        <w:ind w:left="1240" w:right="539" w:firstLine="356"/>
        <w:spacing w:after="0" w:line="236"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Tender and Exchange Offers; Redemption, Replacement or Cancellation of Deposited Securities</w:t>
      </w:r>
    </w:p>
    <w:p>
      <w:pPr>
        <w:spacing w:after="0" w:line="155" w:lineRule="exact"/>
        <w:rPr>
          <w:sz w:val="20"/>
          <w:szCs w:val="20"/>
          <w:color w:val="auto"/>
        </w:rPr>
      </w:pPr>
    </w:p>
    <w:p>
      <w:pPr>
        <w:jc w:val="both"/>
        <w:ind w:left="1240" w:right="759" w:firstLine="356"/>
        <w:spacing w:after="0" w:line="231"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09" w:lineRule="exact"/>
        <w:rPr>
          <w:sz w:val="20"/>
          <w:szCs w:val="20"/>
          <w:color w:val="auto"/>
        </w:rPr>
      </w:pPr>
    </w:p>
    <w:p>
      <w:pPr>
        <w:ind w:left="1240" w:right="499" w:firstLine="356"/>
        <w:spacing w:after="0" w:line="248" w:lineRule="auto"/>
        <w:rPr>
          <w:sz w:val="20"/>
          <w:szCs w:val="20"/>
          <w:color w:val="auto"/>
        </w:rPr>
      </w:pPr>
      <w:r>
        <w:rPr>
          <w:rFonts w:ascii="Arial" w:cs="Arial" w:eastAsia="Arial" w:hAnsi="Arial"/>
          <w:sz w:val="17"/>
          <w:szCs w:val="17"/>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01" w:lineRule="exact"/>
        <w:rPr>
          <w:sz w:val="20"/>
          <w:szCs w:val="20"/>
          <w:color w:val="auto"/>
        </w:rPr>
      </w:pPr>
    </w:p>
    <w:p>
      <w:pPr>
        <w:ind w:left="1240" w:right="619" w:firstLine="356"/>
        <w:spacing w:after="0" w:line="235" w:lineRule="auto"/>
        <w:rPr>
          <w:sz w:val="20"/>
          <w:szCs w:val="20"/>
          <w:color w:val="auto"/>
        </w:rPr>
      </w:pPr>
      <w:r>
        <w:rPr>
          <w:rFonts w:ascii="Arial" w:cs="Arial" w:eastAsia="Arial" w:hAnsi="Arial"/>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27" w:lineRule="exact"/>
        <w:rPr>
          <w:sz w:val="20"/>
          <w:szCs w:val="20"/>
          <w:color w:val="auto"/>
        </w:rPr>
      </w:pPr>
    </w:p>
    <w:p>
      <w:pPr>
        <w:ind w:left="1240" w:right="479" w:firstLine="356"/>
        <w:spacing w:after="0" w:line="239"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3" w:lineRule="exact"/>
        <w:rPr>
          <w:sz w:val="20"/>
          <w:szCs w:val="20"/>
          <w:color w:val="auto"/>
        </w:rPr>
      </w:pPr>
    </w:p>
    <w:p>
      <w:pPr>
        <w:ind w:left="1240" w:right="479" w:firstLine="356"/>
        <w:spacing w:after="0" w:line="264" w:lineRule="auto"/>
        <w:rPr>
          <w:sz w:val="20"/>
          <w:szCs w:val="20"/>
          <w:color w:val="auto"/>
        </w:rPr>
      </w:pPr>
      <w:r>
        <w:rPr>
          <w:rFonts w:ascii="Arial" w:cs="Arial" w:eastAsia="Arial" w:hAnsi="Arial"/>
          <w:sz w:val="17"/>
          <w:szCs w:val="17"/>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Amendment and Termination</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40" w:lineRule="exact"/>
        <w:rPr>
          <w:sz w:val="20"/>
          <w:szCs w:val="20"/>
          <w:color w:val="auto"/>
        </w:rPr>
      </w:pPr>
    </w:p>
    <w:p>
      <w:pPr>
        <w:ind w:left="1240" w:right="559" w:firstLine="356"/>
        <w:spacing w:after="0" w:line="283" w:lineRule="auto"/>
        <w:rPr>
          <w:sz w:val="20"/>
          <w:szCs w:val="20"/>
          <w:color w:val="auto"/>
        </w:rPr>
      </w:pPr>
      <w:r>
        <w:rPr>
          <w:rFonts w:ascii="Arial" w:cs="Arial" w:eastAsia="Arial" w:hAnsi="Arial"/>
          <w:sz w:val="17"/>
          <w:szCs w:val="17"/>
          <w:color w:val="auto"/>
        </w:rPr>
        <w:t>We may agree with the depositary to amend the deposit agreement and the ADRs without your consent for any reason. If an amendment adds or increases fees or charges, except for taxes and other</w:t>
      </w:r>
    </w:p>
    <w:p>
      <w:pPr>
        <w:spacing w:after="0" w:line="34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spacing w:after="0" w:line="253" w:lineRule="auto"/>
        <w:rPr>
          <w:sz w:val="20"/>
          <w:szCs w:val="20"/>
          <w:color w:val="auto"/>
        </w:rPr>
      </w:pPr>
      <w:r>
        <w:rPr>
          <w:rFonts w:ascii="Arial" w:cs="Arial" w:eastAsia="Arial" w:hAnsi="Arial"/>
          <w:sz w:val="18"/>
          <w:szCs w:val="18"/>
          <w:color w:val="auto"/>
        </w:rPr>
        <w:t xml:space="preserve">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8"/>
          <w:szCs w:val="18"/>
          <w:i w:val="1"/>
          <w:iCs w:val="1"/>
          <w:color w:val="auto"/>
        </w:rPr>
        <w:t>At the time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becomes effective, you are considered, by continuing to hold your ADSs, to agree to the amendment and to be bound by the ADRs and the deposit agreement as amended.</w:t>
      </w:r>
    </w:p>
    <w:p>
      <w:pPr>
        <w:spacing w:after="0" w:line="190"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40" w:lineRule="exact"/>
        <w:rPr>
          <w:sz w:val="20"/>
          <w:szCs w:val="20"/>
          <w:color w:val="auto"/>
        </w:rPr>
      </w:pPr>
    </w:p>
    <w:p>
      <w:pPr>
        <w:ind w:left="1240" w:right="1199" w:firstLine="356"/>
        <w:spacing w:after="0" w:line="270"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68" w:lineRule="exact"/>
        <w:rPr>
          <w:sz w:val="20"/>
          <w:szCs w:val="20"/>
          <w:color w:val="auto"/>
        </w:rPr>
      </w:pPr>
    </w:p>
    <w:p>
      <w:pPr>
        <w:ind w:left="1780" w:right="519" w:hanging="176"/>
        <w:spacing w:after="0" w:line="270"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81" w:lineRule="exact"/>
        <w:rPr>
          <w:rFonts w:ascii="Arial" w:cs="Arial" w:eastAsia="Arial" w:hAnsi="Arial"/>
          <w:sz w:val="18"/>
          <w:szCs w:val="18"/>
          <w:color w:val="auto"/>
        </w:rPr>
      </w:pPr>
    </w:p>
    <w:p>
      <w:pPr>
        <w:ind w:left="1780" w:right="479" w:hanging="176"/>
        <w:spacing w:after="0" w:line="258"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9" w:lineRule="exact"/>
        <w:rPr>
          <w:rFonts w:ascii="Arial" w:cs="Arial" w:eastAsia="Arial" w:hAnsi="Arial"/>
          <w:sz w:val="18"/>
          <w:szCs w:val="18"/>
          <w:color w:val="auto"/>
        </w:rPr>
      </w:pPr>
    </w:p>
    <w:p>
      <w:pPr>
        <w:ind w:left="1780" w:right="479" w:hanging="176"/>
        <w:spacing w:after="0" w:line="270"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67" w:lineRule="exact"/>
        <w:rPr>
          <w:rFonts w:ascii="Arial" w:cs="Arial" w:eastAsia="Arial" w:hAnsi="Arial"/>
          <w:sz w:val="18"/>
          <w:szCs w:val="18"/>
          <w:color w:val="auto"/>
        </w:rPr>
      </w:pPr>
    </w:p>
    <w:p>
      <w:pPr>
        <w:ind w:left="1780" w:right="1319" w:hanging="176"/>
        <w:spacing w:after="0" w:line="270"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13" w:lineRule="exact"/>
        <w:rPr>
          <w:rFonts w:ascii="Arial" w:cs="Arial" w:eastAsia="Arial" w:hAnsi="Arial"/>
          <w:sz w:val="18"/>
          <w:szCs w:val="18"/>
          <w:color w:val="auto"/>
        </w:rPr>
      </w:pPr>
    </w:p>
    <w:p>
      <w:pPr>
        <w:ind w:left="1780" w:right="719" w:hanging="176"/>
        <w:spacing w:after="0" w:line="270"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67" w:lineRule="exact"/>
        <w:rPr>
          <w:rFonts w:ascii="Arial" w:cs="Arial" w:eastAsia="Arial" w:hAnsi="Arial"/>
          <w:sz w:val="18"/>
          <w:szCs w:val="18"/>
          <w:color w:val="auto"/>
        </w:rPr>
      </w:pPr>
    </w:p>
    <w:p>
      <w:pPr>
        <w:ind w:left="1780" w:right="779" w:hanging="176"/>
        <w:spacing w:after="0" w:line="270" w:lineRule="auto"/>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67" w:lineRule="exact"/>
        <w:rPr>
          <w:rFonts w:ascii="Arial" w:cs="Arial" w:eastAsia="Arial" w:hAnsi="Arial"/>
          <w:sz w:val="18"/>
          <w:szCs w:val="18"/>
          <w:color w:val="auto"/>
        </w:rPr>
      </w:pPr>
    </w:p>
    <w:p>
      <w:pPr>
        <w:ind w:left="1780" w:hanging="176"/>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153" w:lineRule="exact"/>
        <w:rPr>
          <w:sz w:val="20"/>
          <w:szCs w:val="20"/>
          <w:color w:val="auto"/>
        </w:rPr>
      </w:pPr>
    </w:p>
    <w:p>
      <w:pPr>
        <w:ind w:left="1240" w:right="519" w:firstLine="356"/>
        <w:spacing w:after="0" w:line="252" w:lineRule="auto"/>
        <w:rPr>
          <w:sz w:val="20"/>
          <w:szCs w:val="20"/>
          <w:color w:val="auto"/>
        </w:rPr>
      </w:pPr>
      <w:r>
        <w:rPr>
          <w:rFonts w:ascii="Arial" w:cs="Arial" w:eastAsia="Arial" w:hAnsi="Arial"/>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4" w:lineRule="exact"/>
        <w:rPr>
          <w:sz w:val="20"/>
          <w:szCs w:val="20"/>
          <w:color w:val="auto"/>
        </w:rPr>
      </w:pPr>
    </w:p>
    <w:p>
      <w:pPr>
        <w:ind w:left="1240" w:right="499" w:firstLine="356"/>
        <w:spacing w:after="0" w:line="266" w:lineRule="auto"/>
        <w:rPr>
          <w:sz w:val="20"/>
          <w:szCs w:val="20"/>
          <w:color w:val="auto"/>
        </w:rPr>
      </w:pPr>
      <w:r>
        <w:rPr>
          <w:rFonts w:ascii="Arial" w:cs="Arial" w:eastAsia="Arial" w:hAnsi="Arial"/>
          <w:sz w:val="17"/>
          <w:szCs w:val="17"/>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4"/>
          <w:szCs w:val="14"/>
          <w:b w:val="1"/>
          <w:bCs w:val="1"/>
          <w:i w:val="1"/>
          <w:iCs w:val="1"/>
          <w:color w:val="auto"/>
        </w:rPr>
        <w:t>Limits on our Obligations and the Obligations of the Depositary; Limits on Liability to Holders of ADSs</w:t>
      </w:r>
    </w:p>
    <w:p>
      <w:pPr>
        <w:spacing w:after="0" w:line="186" w:lineRule="exact"/>
        <w:rPr>
          <w:sz w:val="20"/>
          <w:szCs w:val="20"/>
          <w:color w:val="auto"/>
        </w:rPr>
      </w:pPr>
    </w:p>
    <w:p>
      <w:pPr>
        <w:ind w:left="1240" w:right="799" w:firstLine="356"/>
        <w:spacing w:after="0" w:line="270"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68" w:lineRule="exact"/>
        <w:rPr>
          <w:sz w:val="20"/>
          <w:szCs w:val="20"/>
          <w:color w:val="auto"/>
        </w:rPr>
      </w:pPr>
    </w:p>
    <w:p>
      <w:pPr>
        <w:ind w:left="1780" w:right="959" w:hanging="176"/>
        <w:spacing w:after="0" w:line="258"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right="519" w:hanging="176"/>
        <w:spacing w:after="0" w:line="258"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9" w:lineRule="exact"/>
        <w:rPr>
          <w:rFonts w:ascii="Arial" w:cs="Arial" w:eastAsia="Arial" w:hAnsi="Arial"/>
          <w:sz w:val="18"/>
          <w:szCs w:val="18"/>
          <w:color w:val="auto"/>
        </w:rPr>
      </w:pPr>
    </w:p>
    <w:p>
      <w:pPr>
        <w:ind w:left="1780" w:hanging="176"/>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26" w:lineRule="exact"/>
        <w:rPr>
          <w:rFonts w:ascii="Arial" w:cs="Arial" w:eastAsia="Arial" w:hAnsi="Arial"/>
          <w:sz w:val="18"/>
          <w:szCs w:val="18"/>
          <w:color w:val="auto"/>
        </w:rPr>
      </w:pPr>
    </w:p>
    <w:p>
      <w:pPr>
        <w:ind w:left="1780" w:right="559" w:hanging="176"/>
        <w:spacing w:after="0" w:line="255"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94" w:lineRule="exact"/>
        <w:rPr>
          <w:rFonts w:ascii="Arial" w:cs="Arial" w:eastAsia="Arial" w:hAnsi="Arial"/>
          <w:sz w:val="18"/>
          <w:szCs w:val="18"/>
          <w:color w:val="auto"/>
        </w:rPr>
      </w:pPr>
    </w:p>
    <w:p>
      <w:pPr>
        <w:ind w:left="1780" w:right="719" w:hanging="176"/>
        <w:spacing w:after="0" w:line="270"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67" w:lineRule="exact"/>
        <w:rPr>
          <w:rFonts w:ascii="Arial" w:cs="Arial" w:eastAsia="Arial" w:hAnsi="Arial"/>
          <w:sz w:val="18"/>
          <w:szCs w:val="18"/>
          <w:color w:val="auto"/>
        </w:rPr>
      </w:pPr>
    </w:p>
    <w:p>
      <w:pPr>
        <w:ind w:left="1780" w:right="579" w:hanging="176"/>
        <w:spacing w:after="0" w:line="270"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81" w:lineRule="exact"/>
        <w:rPr>
          <w:rFonts w:ascii="Arial" w:cs="Arial" w:eastAsia="Arial" w:hAnsi="Arial"/>
          <w:sz w:val="18"/>
          <w:szCs w:val="18"/>
          <w:color w:val="auto"/>
        </w:rPr>
      </w:pPr>
    </w:p>
    <w:p>
      <w:pPr>
        <w:ind w:left="1780" w:right="799" w:hanging="176"/>
        <w:spacing w:after="0" w:line="270"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81" w:lineRule="exact"/>
        <w:rPr>
          <w:rFonts w:ascii="Arial" w:cs="Arial" w:eastAsia="Arial" w:hAnsi="Arial"/>
          <w:sz w:val="18"/>
          <w:szCs w:val="18"/>
          <w:color w:val="auto"/>
        </w:rPr>
      </w:pPr>
    </w:p>
    <w:p>
      <w:pPr>
        <w:ind w:left="1780" w:right="499" w:hanging="176"/>
        <w:spacing w:after="0" w:line="253"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0" w:lineRule="exact"/>
        <w:rPr>
          <w:sz w:val="20"/>
          <w:szCs w:val="20"/>
          <w:color w:val="auto"/>
        </w:rPr>
      </w:pPr>
    </w:p>
    <w:p>
      <w:pPr>
        <w:ind w:left="1240" w:right="1359" w:firstLine="356"/>
        <w:spacing w:after="0" w:line="270" w:lineRule="auto"/>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57" w:lineRule="exact"/>
        <w:rPr>
          <w:sz w:val="20"/>
          <w:szCs w:val="20"/>
          <w:color w:val="auto"/>
        </w:rPr>
      </w:pPr>
    </w:p>
    <w:p>
      <w:pPr>
        <w:ind w:left="1240" w:right="939" w:firstLine="356"/>
        <w:spacing w:after="0" w:line="270"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68" w:lineRule="exact"/>
        <w:rPr>
          <w:sz w:val="20"/>
          <w:szCs w:val="20"/>
          <w:color w:val="auto"/>
        </w:rPr>
      </w:pPr>
    </w:p>
    <w:p>
      <w:pPr>
        <w:ind w:left="1780" w:right="719" w:hanging="176"/>
        <w:spacing w:after="0" w:line="333" w:lineRule="auto"/>
        <w:tabs>
          <w:tab w:leader="none" w:pos="1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shares or other deposited securities;</w:t>
      </w:r>
    </w:p>
    <w:p>
      <w:pPr>
        <w:spacing w:after="0" w:line="36" w:lineRule="exact"/>
        <w:rPr>
          <w:rFonts w:ascii="Arial" w:cs="Arial" w:eastAsia="Arial" w:hAnsi="Arial"/>
          <w:sz w:val="16"/>
          <w:szCs w:val="16"/>
          <w:color w:val="auto"/>
        </w:rPr>
      </w:pPr>
    </w:p>
    <w:p>
      <w:pPr>
        <w:ind w:left="1780" w:right="879" w:hanging="176"/>
        <w:spacing w:after="0" w:line="270"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67" w:lineRule="exact"/>
        <w:rPr>
          <w:rFonts w:ascii="Arial" w:cs="Arial" w:eastAsia="Arial" w:hAnsi="Arial"/>
          <w:sz w:val="18"/>
          <w:szCs w:val="18"/>
          <w:color w:val="auto"/>
        </w:rPr>
      </w:pPr>
    </w:p>
    <w:p>
      <w:pPr>
        <w:ind w:left="1780" w:right="1219" w:hanging="176"/>
        <w:spacing w:after="0" w:line="270"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08" w:lineRule="exact"/>
        <w:rPr>
          <w:sz w:val="20"/>
          <w:szCs w:val="20"/>
          <w:color w:val="auto"/>
        </w:rPr>
      </w:pPr>
    </w:p>
    <w:p>
      <w:pPr>
        <w:ind w:left="1240" w:right="479" w:firstLine="356"/>
        <w:spacing w:after="0" w:line="333" w:lineRule="auto"/>
        <w:rPr>
          <w:sz w:val="20"/>
          <w:szCs w:val="20"/>
          <w:color w:val="auto"/>
        </w:rPr>
      </w:pPr>
      <w:r>
        <w:rPr>
          <w:rFonts w:ascii="Arial" w:cs="Arial" w:eastAsia="Arial" w:hAnsi="Arial"/>
          <w:sz w:val="16"/>
          <w:szCs w:val="16"/>
          <w:color w:val="auto"/>
        </w:rPr>
        <w:t>The depositary may refuse to deliver ADSs or register transfers of ADSs when the transfer books of the depositary or our transfer books are closed or at any time if the depositary or we think it advisable to do so.</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57" w:lineRule="exact"/>
        <w:rPr>
          <w:sz w:val="20"/>
          <w:szCs w:val="20"/>
          <w:color w:val="auto"/>
        </w:rPr>
      </w:pPr>
    </w:p>
    <w:p>
      <w:pPr>
        <w:ind w:left="1240" w:right="999" w:firstLine="356"/>
        <w:spacing w:after="0" w:line="270" w:lineRule="auto"/>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68" w:lineRule="exact"/>
        <w:rPr>
          <w:sz w:val="20"/>
          <w:szCs w:val="20"/>
          <w:color w:val="auto"/>
        </w:rPr>
      </w:pPr>
    </w:p>
    <w:p>
      <w:pPr>
        <w:ind w:left="1780" w:right="779" w:hanging="176"/>
        <w:spacing w:after="0" w:line="258"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93" w:lineRule="exact"/>
        <w:rPr>
          <w:rFonts w:ascii="Arial" w:cs="Arial" w:eastAsia="Arial" w:hAnsi="Arial"/>
          <w:sz w:val="18"/>
          <w:szCs w:val="18"/>
          <w:color w:val="auto"/>
        </w:rPr>
      </w:pPr>
    </w:p>
    <w:p>
      <w:pPr>
        <w:ind w:left="1780" w:hanging="1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13" w:lineRule="exact"/>
        <w:rPr>
          <w:rFonts w:ascii="Arial" w:cs="Arial" w:eastAsia="Arial" w:hAnsi="Arial"/>
          <w:sz w:val="18"/>
          <w:szCs w:val="18"/>
          <w:color w:val="auto"/>
        </w:rPr>
      </w:pPr>
    </w:p>
    <w:p>
      <w:pPr>
        <w:ind w:left="1780" w:right="959" w:hanging="176"/>
        <w:spacing w:after="0" w:line="300" w:lineRule="auto"/>
        <w:tabs>
          <w:tab w:leader="none" w:pos="1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when it is necessary to prohibit withdrawals in order to comply with any laws or governmental regulations that apply to ADSs or to the withdrawal of shares or other deposited securities.</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9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 Registration System</w:t>
      </w:r>
    </w:p>
    <w:p>
      <w:pPr>
        <w:spacing w:after="0" w:line="144" w:lineRule="exact"/>
        <w:rPr>
          <w:sz w:val="20"/>
          <w:szCs w:val="20"/>
          <w:color w:val="auto"/>
        </w:rPr>
      </w:pPr>
    </w:p>
    <w:p>
      <w:pPr>
        <w:jc w:val="both"/>
        <w:ind w:left="1240" w:right="559" w:firstLine="356"/>
        <w:spacing w:after="0" w:line="282" w:lineRule="auto"/>
        <w:rPr>
          <w:sz w:val="20"/>
          <w:szCs w:val="20"/>
          <w:color w:val="auto"/>
        </w:rPr>
      </w:pPr>
      <w:r>
        <w:rPr>
          <w:rFonts w:ascii="Arial" w:cs="Arial" w:eastAsia="Arial" w:hAnsi="Arial"/>
          <w:sz w:val="16"/>
          <w:szCs w:val="16"/>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w:t>
      </w:r>
    </w:p>
    <w:p>
      <w:pPr>
        <w:spacing w:after="0" w:line="2" w:lineRule="exact"/>
        <w:rPr>
          <w:sz w:val="20"/>
          <w:szCs w:val="20"/>
          <w:color w:val="auto"/>
        </w:rPr>
      </w:pPr>
    </w:p>
    <w:p>
      <w:pPr>
        <w:jc w:val="both"/>
        <w:ind w:left="1240" w:right="519"/>
        <w:spacing w:after="0" w:line="250" w:lineRule="auto"/>
        <w:rPr>
          <w:sz w:val="20"/>
          <w:szCs w:val="20"/>
          <w:color w:val="auto"/>
        </w:rPr>
      </w:pPr>
      <w:r>
        <w:rPr>
          <w:rFonts w:ascii="Arial" w:cs="Arial" w:eastAsia="Arial" w:hAnsi="Arial"/>
          <w:sz w:val="18"/>
          <w:szCs w:val="18"/>
          <w:color w:val="auto"/>
        </w:rPr>
        <w:t>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5" w:lineRule="exact"/>
        <w:rPr>
          <w:sz w:val="20"/>
          <w:szCs w:val="20"/>
          <w:color w:val="auto"/>
        </w:rPr>
      </w:pPr>
    </w:p>
    <w:p>
      <w:pPr>
        <w:ind w:left="1240" w:right="479" w:firstLine="356"/>
        <w:spacing w:after="0" w:line="250"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57" w:lineRule="exact"/>
        <w:rPr>
          <w:sz w:val="20"/>
          <w:szCs w:val="20"/>
          <w:color w:val="auto"/>
        </w:rPr>
      </w:pPr>
    </w:p>
    <w:p>
      <w:pPr>
        <w:ind w:left="1240" w:right="519" w:firstLine="356"/>
        <w:spacing w:after="0" w:line="271"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Jury Trial Waiver</w:t>
      </w:r>
    </w:p>
    <w:p>
      <w:pPr>
        <w:spacing w:after="0" w:line="144" w:lineRule="exact"/>
        <w:rPr>
          <w:sz w:val="20"/>
          <w:szCs w:val="20"/>
          <w:color w:val="auto"/>
        </w:rPr>
      </w:pPr>
    </w:p>
    <w:p>
      <w:pPr>
        <w:ind w:left="1240" w:right="499" w:firstLine="356"/>
        <w:spacing w:after="0" w:line="287"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Cayman Islands</w:t>
      </w:r>
    </w:p>
    <w:p>
      <w:pPr>
        <w:spacing w:after="0" w:line="144" w:lineRule="exact"/>
        <w:rPr>
          <w:sz w:val="20"/>
          <w:szCs w:val="20"/>
          <w:color w:val="auto"/>
        </w:rPr>
      </w:pPr>
    </w:p>
    <w:p>
      <w:pPr>
        <w:ind w:left="1240" w:right="679" w:firstLine="356"/>
        <w:spacing w:after="0" w:line="254" w:lineRule="auto"/>
        <w:rPr>
          <w:sz w:val="20"/>
          <w:szCs w:val="20"/>
          <w:color w:val="auto"/>
        </w:rPr>
      </w:pPr>
      <w:r>
        <w:rPr>
          <w:rFonts w:ascii="Arial" w:cs="Arial" w:eastAsia="Arial" w:hAnsi="Arial"/>
          <w:sz w:val="18"/>
          <w:szCs w:val="18"/>
          <w:color w:val="auto"/>
        </w:rPr>
        <w:t>We are incorporated in the Cayman Islands as an exempted company with limited liability in order to enjoy the following benefits:</w:t>
      </w:r>
    </w:p>
    <w:p>
      <w:pPr>
        <w:spacing w:after="0" w:line="69" w:lineRule="exact"/>
        <w:rPr>
          <w:sz w:val="20"/>
          <w:szCs w:val="20"/>
          <w:color w:val="auto"/>
        </w:rPr>
      </w:pPr>
    </w:p>
    <w:p>
      <w:pPr>
        <w:ind w:left="1780" w:hanging="176"/>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99" w:lineRule="exact"/>
        <w:rPr>
          <w:rFonts w:ascii="Arial" w:cs="Arial" w:eastAsia="Arial" w:hAnsi="Arial"/>
          <w:sz w:val="18"/>
          <w:szCs w:val="18"/>
          <w:color w:val="auto"/>
        </w:rPr>
      </w:pPr>
    </w:p>
    <w:p>
      <w:pPr>
        <w:ind w:left="1780" w:hanging="176"/>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53" w:lineRule="exact"/>
        <w:rPr>
          <w:sz w:val="20"/>
          <w:szCs w:val="20"/>
          <w:color w:val="auto"/>
        </w:rPr>
      </w:pPr>
    </w:p>
    <w:p>
      <w:pPr>
        <w:ind w:left="1240" w:right="579" w:firstLine="356"/>
        <w:spacing w:after="0" w:line="254"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56" w:lineRule="exact"/>
        <w:rPr>
          <w:sz w:val="20"/>
          <w:szCs w:val="20"/>
          <w:color w:val="auto"/>
        </w:rPr>
      </w:pPr>
    </w:p>
    <w:p>
      <w:pPr>
        <w:ind w:left="1780" w:right="739" w:hanging="176"/>
        <w:spacing w:after="0" w:line="300" w:lineRule="auto"/>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Cayman Islands has a less developed body of securities laws as compared to the United States and these securities laws provide significantly less protection to investors; and</w:t>
      </w:r>
    </w:p>
    <w:p>
      <w:pPr>
        <w:spacing w:after="0" w:line="45" w:lineRule="exact"/>
        <w:rPr>
          <w:rFonts w:ascii="Arial" w:cs="Arial" w:eastAsia="Arial" w:hAnsi="Arial"/>
          <w:sz w:val="17"/>
          <w:szCs w:val="17"/>
          <w:color w:val="auto"/>
        </w:rPr>
      </w:pPr>
    </w:p>
    <w:p>
      <w:pPr>
        <w:ind w:left="1780" w:right="899" w:hanging="176"/>
        <w:spacing w:after="0" w:line="270" w:lineRule="auto"/>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108" w:lineRule="exact"/>
        <w:rPr>
          <w:sz w:val="20"/>
          <w:szCs w:val="20"/>
          <w:color w:val="auto"/>
        </w:rPr>
      </w:pPr>
    </w:p>
    <w:p>
      <w:pPr>
        <w:ind w:left="1240" w:right="559" w:firstLine="356"/>
        <w:spacing w:after="0" w:line="243"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05" w:lineRule="exact"/>
        <w:rPr>
          <w:sz w:val="20"/>
          <w:szCs w:val="20"/>
          <w:color w:val="auto"/>
        </w:rPr>
      </w:pPr>
    </w:p>
    <w:p>
      <w:pPr>
        <w:ind w:left="1240" w:right="479" w:firstLine="356"/>
        <w:spacing w:after="0" w:line="236" w:lineRule="auto"/>
        <w:rPr>
          <w:sz w:val="20"/>
          <w:szCs w:val="20"/>
          <w:color w:val="auto"/>
        </w:rPr>
      </w:pPr>
      <w:r>
        <w:rPr>
          <w:rFonts w:ascii="Arial" w:cs="Arial" w:eastAsia="Arial" w:hAnsi="Arial"/>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23" w:lineRule="exact"/>
        <w:rPr>
          <w:sz w:val="20"/>
          <w:szCs w:val="20"/>
          <w:color w:val="auto"/>
        </w:rPr>
      </w:pPr>
    </w:p>
    <w:p>
      <w:pPr>
        <w:ind w:left="1240" w:right="599" w:firstLine="356"/>
        <w:spacing w:after="0" w:line="254"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09" w:lineRule="exact"/>
        <w:rPr>
          <w:sz w:val="20"/>
          <w:szCs w:val="20"/>
          <w:color w:val="auto"/>
        </w:rPr>
      </w:pPr>
    </w:p>
    <w:p>
      <w:pPr>
        <w:ind w:left="1240" w:right="539" w:firstLine="356"/>
        <w:spacing w:after="0" w:line="243" w:lineRule="auto"/>
        <w:rPr>
          <w:sz w:val="20"/>
          <w:szCs w:val="20"/>
          <w:color w:val="auto"/>
        </w:rPr>
      </w:pPr>
      <w:r>
        <w:rPr>
          <w:rFonts w:ascii="Arial" w:cs="Arial" w:eastAsia="Arial" w:hAnsi="Arial"/>
          <w:sz w:val="18"/>
          <w:szCs w:val="18"/>
          <w:color w:val="auto"/>
        </w:rPr>
        <w:t>Maples and Calder (Hong Kong) LLP, our counsel as to Cayman Islands law, and Jia Yuan Law Offices, our counsel as to PRC law, have advised us, respectively, that there is uncertainty as to whether the courts of the Cayman Islands and China, respectively, would:</w:t>
      </w:r>
    </w:p>
    <w:p>
      <w:pPr>
        <w:spacing w:after="0" w:line="65" w:lineRule="exact"/>
        <w:rPr>
          <w:sz w:val="20"/>
          <w:szCs w:val="20"/>
          <w:color w:val="auto"/>
        </w:rPr>
      </w:pPr>
    </w:p>
    <w:p>
      <w:pPr>
        <w:ind w:left="1780" w:right="759" w:hanging="176"/>
        <w:spacing w:after="0" w:line="258" w:lineRule="auto"/>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9" w:lineRule="exact"/>
        <w:rPr>
          <w:rFonts w:ascii="Arial" w:cs="Arial" w:eastAsia="Arial" w:hAnsi="Arial"/>
          <w:sz w:val="18"/>
          <w:szCs w:val="18"/>
          <w:color w:val="auto"/>
        </w:rPr>
      </w:pPr>
    </w:p>
    <w:p>
      <w:pPr>
        <w:ind w:left="1780" w:right="799" w:hanging="176"/>
        <w:spacing w:after="0" w:line="333" w:lineRule="auto"/>
        <w:tabs>
          <w:tab w:leader="none" w:pos="1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entertain original actions brought in each respective jurisdiction against us or our directors or officers predicated upon the securities laws of the United States or any state in the United States.</w:t>
      </w:r>
    </w:p>
    <w:p>
      <w:pPr>
        <w:spacing w:after="0" w:line="63" w:lineRule="exact"/>
        <w:rPr>
          <w:sz w:val="20"/>
          <w:szCs w:val="20"/>
          <w:color w:val="auto"/>
        </w:rPr>
      </w:pPr>
    </w:p>
    <w:p>
      <w:pPr>
        <w:ind w:left="1240" w:right="619" w:firstLine="356"/>
        <w:spacing w:after="0" w:line="249" w:lineRule="auto"/>
        <w:rPr>
          <w:sz w:val="20"/>
          <w:szCs w:val="20"/>
          <w:color w:val="auto"/>
        </w:rPr>
      </w:pPr>
      <w:r>
        <w:rPr>
          <w:rFonts w:ascii="Arial" w:cs="Arial" w:eastAsia="Arial" w:hAnsi="Arial"/>
          <w:sz w:val="17"/>
          <w:szCs w:val="17"/>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w:t>
      </w:r>
    </w:p>
    <w:p>
      <w:pPr>
        <w:spacing w:after="0" w:line="35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240" w:right="599"/>
        <w:spacing w:after="0" w:line="258" w:lineRule="auto"/>
        <w:rPr>
          <w:sz w:val="20"/>
          <w:szCs w:val="20"/>
          <w:color w:val="auto"/>
        </w:rPr>
      </w:pPr>
      <w:r>
        <w:rPr>
          <w:rFonts w:ascii="Arial" w:cs="Arial" w:eastAsia="Arial" w:hAnsi="Arial"/>
          <w:sz w:val="18"/>
          <w:szCs w:val="18"/>
          <w:color w:val="auto"/>
        </w:rPr>
        <w:t>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PRC</w:t>
      </w:r>
    </w:p>
    <w:p>
      <w:pPr>
        <w:spacing w:after="0" w:line="144" w:lineRule="exact"/>
        <w:rPr>
          <w:sz w:val="20"/>
          <w:szCs w:val="20"/>
          <w:color w:val="auto"/>
        </w:rPr>
      </w:pPr>
    </w:p>
    <w:p>
      <w:pPr>
        <w:ind w:left="1240" w:right="459" w:firstLine="356"/>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We have been advised by Jia Yuan Law Offices,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Jia Yuan Law Offices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some of our directors and senior executive officers reside within China for a significant portion of the time and are PRC nationals. Furthermore, according to the PRC Civil Procedures Law, courts in the PRC will not enforce a foreign judgment against us or our directors and officers if they decide that the judgment violates the basic principles of PRC law or national sovereignty, security or public interest. As a result, it may be difficult or impossible for our shareholders to effect service of process upon us or these persons inside China, and it is uncertain whether and on what basis a PRC court would enforce a judgment rendered by a court in the United States or in the Cayman Islands. Under the PRC Civil Procedures Law and the PRC Law on Choice of Law for Foreign-related Civil Relationships,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ordinary shares. See “Item 3. Key Information — 3.D. Risk Factors — Risks Related to Doing Business in China — You may experience difficulties in effecting service of legal process, enforcing foreign judgments or bringing actions in China against us or our management based on foreign laws” in our </w:t>
      </w:r>
      <w:hyperlink r:id="rId21">
        <w:r>
          <w:rPr>
            <w:rFonts w:ascii="Arial" w:cs="Arial" w:eastAsia="Arial" w:hAnsi="Arial"/>
            <w:sz w:val="17"/>
            <w:szCs w:val="17"/>
            <w:u w:val="single" w:color="auto"/>
            <w:color w:val="0000EE"/>
          </w:rPr>
          <w:t>2021 Form 20-F</w:t>
        </w:r>
      </w:hyperlink>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TAXATION</w:t>
      </w:r>
    </w:p>
    <w:p>
      <w:pPr>
        <w:spacing w:after="0" w:line="144" w:lineRule="exact"/>
        <w:rPr>
          <w:sz w:val="20"/>
          <w:szCs w:val="20"/>
          <w:color w:val="auto"/>
        </w:rPr>
      </w:pPr>
    </w:p>
    <w:p>
      <w:pPr>
        <w:ind w:left="1240" w:right="519" w:firstLine="356"/>
        <w:spacing w:after="0" w:line="281" w:lineRule="auto"/>
        <w:rPr>
          <w:sz w:val="20"/>
          <w:szCs w:val="20"/>
          <w:color w:val="auto"/>
        </w:rPr>
      </w:pPr>
      <w:r>
        <w:rPr>
          <w:rFonts w:ascii="Arial" w:cs="Arial" w:eastAsia="Arial" w:hAnsi="Arial"/>
          <w:sz w:val="17"/>
          <w:szCs w:val="17"/>
          <w:color w:val="auto"/>
        </w:rPr>
        <w:t>Material Cayman Islands, PRC and United States federal income tax consequences of the ownership and disposition of the securities offered by this prospectus will be set forth in any accompanying prospectus supplement or free writing prospectus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SELLING SHAREHOLDERS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Selling shareholders (if any) to be named in a prospectus supplement may, from time to time, offer, sell</w:t>
      </w:r>
    </w:p>
    <w:p>
      <w:pPr>
        <w:spacing w:after="0" w:line="3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and lend some or all of the Class A ordinary shares or ADSs of our company held by them pursuant to this</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prospectus and the applicable prospectus supplement. Such selling shareholders (if any) may sell the</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Class A ordinary shares or ADSs to or through underwriters, dealers or agents or directly to purchasers or as</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otherwise set forth in the applicable prospectus supplement. See “Plan of Distribution.” Such selling</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shareholders (if any) may also sell, transfer or otherwise dispose of Class A ordinary shares or ADSs in</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transactions exempt from the registration requirements of the Securities Act.</w:t>
      </w:r>
    </w:p>
    <w:p>
      <w:pPr>
        <w:spacing w:after="0" w:line="140" w:lineRule="exact"/>
        <w:rPr>
          <w:sz w:val="20"/>
          <w:szCs w:val="20"/>
          <w:color w:val="auto"/>
        </w:rPr>
      </w:pPr>
    </w:p>
    <w:p>
      <w:pPr>
        <w:ind w:left="1240" w:right="459" w:firstLine="356"/>
        <w:spacing w:after="0" w:line="251" w:lineRule="auto"/>
        <w:rPr>
          <w:sz w:val="20"/>
          <w:szCs w:val="20"/>
          <w:color w:val="auto"/>
        </w:rPr>
      </w:pPr>
      <w:r>
        <w:rPr>
          <w:rFonts w:ascii="Arial" w:cs="Arial" w:eastAsia="Arial" w:hAnsi="Arial"/>
          <w:sz w:val="18"/>
          <w:szCs w:val="18"/>
          <w:color w:val="auto"/>
        </w:rPr>
        <w:t>If any selling shareholder is to offer and sell Class A ordinary shares or ADSs pursuant to this prospectus, we will provide you with a prospectus supplement, which will set forth the name of each such selling shareholder, the number of Class A ordinary shares or ADSs beneficially owned by each such selling shareholder, and the number of Class ordinary shares or ADSs they are offering. The prospectus supplement also will disclose whether any of the selling shareholders (if any)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PLAN OF DISTRIBUTION</w:t>
      </w:r>
    </w:p>
    <w:p>
      <w:pPr>
        <w:spacing w:after="0" w:line="144" w:lineRule="exact"/>
        <w:rPr>
          <w:sz w:val="20"/>
          <w:szCs w:val="20"/>
          <w:color w:val="auto"/>
        </w:rPr>
      </w:pPr>
    </w:p>
    <w:p>
      <w:pPr>
        <w:ind w:left="1240" w:right="899" w:firstLine="356"/>
        <w:spacing w:after="0" w:line="243" w:lineRule="auto"/>
        <w:rPr>
          <w:sz w:val="20"/>
          <w:szCs w:val="20"/>
          <w:color w:val="auto"/>
        </w:rPr>
      </w:pPr>
      <w:r>
        <w:rPr>
          <w:rFonts w:ascii="Arial" w:cs="Arial" w:eastAsia="Arial" w:hAnsi="Arial"/>
          <w:sz w:val="18"/>
          <w:szCs w:val="18"/>
          <w:color w:val="auto"/>
        </w:rPr>
        <w:t>We and/or the selling shareholders named in the applicable prospectus supplement may sell the securities described in this prospectus from time to time in one or more transactions, including without limitation:</w:t>
      </w:r>
    </w:p>
    <w:p>
      <w:pPr>
        <w:spacing w:after="0" w:line="78" w:lineRule="exact"/>
        <w:rPr>
          <w:sz w:val="20"/>
          <w:szCs w:val="20"/>
          <w:color w:val="auto"/>
        </w:rPr>
      </w:pPr>
    </w:p>
    <w:p>
      <w:pPr>
        <w:ind w:left="1780" w:hanging="176"/>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9" w:lineRule="exact"/>
        <w:rPr>
          <w:rFonts w:ascii="Arial" w:cs="Arial" w:eastAsia="Arial" w:hAnsi="Arial"/>
          <w:sz w:val="18"/>
          <w:szCs w:val="18"/>
          <w:color w:val="auto"/>
        </w:rPr>
      </w:pPr>
    </w:p>
    <w:p>
      <w:pPr>
        <w:ind w:left="1780" w:right="1159" w:hanging="176"/>
        <w:spacing w:after="0" w:line="270" w:lineRule="auto"/>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any national exchange on which the securities offered by this prospectus are listed or any automatic quotation system through which the securities may be quoted;</w:t>
      </w:r>
    </w:p>
    <w:p>
      <w:pPr>
        <w:spacing w:after="0" w:line="67" w:lineRule="exact"/>
        <w:rPr>
          <w:rFonts w:ascii="Arial" w:cs="Arial" w:eastAsia="Arial" w:hAnsi="Arial"/>
          <w:sz w:val="18"/>
          <w:szCs w:val="18"/>
          <w:color w:val="auto"/>
        </w:rPr>
      </w:pPr>
    </w:p>
    <w:p>
      <w:pPr>
        <w:jc w:val="both"/>
        <w:ind w:left="1780" w:right="499" w:hanging="176"/>
        <w:spacing w:after="0" w:line="258" w:lineRule="auto"/>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6" w:lineRule="exact"/>
        <w:rPr>
          <w:rFonts w:ascii="Arial" w:cs="Arial" w:eastAsia="Arial" w:hAnsi="Arial"/>
          <w:sz w:val="18"/>
          <w:szCs w:val="18"/>
          <w:color w:val="auto"/>
        </w:rPr>
      </w:pPr>
    </w:p>
    <w:p>
      <w:pPr>
        <w:ind w:left="1780" w:hanging="176"/>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 or</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53" w:lineRule="exact"/>
        <w:rPr>
          <w:sz w:val="20"/>
          <w:szCs w:val="20"/>
          <w:color w:val="auto"/>
        </w:rPr>
      </w:pPr>
    </w:p>
    <w:p>
      <w:pPr>
        <w:ind w:left="1240" w:right="479" w:firstLine="356"/>
        <w:spacing w:after="0" w:line="25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99" w:lineRule="exact"/>
        <w:rPr>
          <w:sz w:val="20"/>
          <w:szCs w:val="20"/>
          <w:color w:val="auto"/>
        </w:rPr>
      </w:pPr>
    </w:p>
    <w:p>
      <w:pPr>
        <w:ind w:left="1240" w:right="739" w:firstLine="356"/>
        <w:spacing w:after="0" w:line="238" w:lineRule="auto"/>
        <w:rPr>
          <w:sz w:val="20"/>
          <w:szCs w:val="20"/>
          <w:color w:val="auto"/>
        </w:rPr>
      </w:pPr>
      <w:r>
        <w:rPr>
          <w:rFonts w:ascii="Arial" w:cs="Arial" w:eastAsia="Arial" w:hAnsi="Arial"/>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21" w:lineRule="exact"/>
        <w:rPr>
          <w:sz w:val="20"/>
          <w:szCs w:val="20"/>
          <w:color w:val="auto"/>
        </w:rPr>
      </w:pPr>
    </w:p>
    <w:p>
      <w:pPr>
        <w:ind w:left="1240" w:right="1119" w:firstLine="356"/>
        <w:spacing w:after="0" w:line="254" w:lineRule="auto"/>
        <w:rPr>
          <w:sz w:val="20"/>
          <w:szCs w:val="20"/>
          <w:color w:val="auto"/>
        </w:rPr>
      </w:pPr>
      <w:r>
        <w:rPr>
          <w:rFonts w:ascii="Arial" w:cs="Arial" w:eastAsia="Arial" w:hAnsi="Arial"/>
          <w:sz w:val="18"/>
          <w:szCs w:val="18"/>
          <w:color w:val="auto"/>
        </w:rPr>
        <w:t>We and/or the selling shareholders named in the applicable prospectus supplement may sell the securities offered by this prospectus at:</w:t>
      </w:r>
    </w:p>
    <w:p>
      <w:pPr>
        <w:spacing w:after="0" w:line="69" w:lineRule="exact"/>
        <w:rPr>
          <w:sz w:val="20"/>
          <w:szCs w:val="20"/>
          <w:color w:val="auto"/>
        </w:rPr>
      </w:pPr>
    </w:p>
    <w:p>
      <w:pPr>
        <w:ind w:left="1780" w:hanging="176"/>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99" w:lineRule="exact"/>
        <w:rPr>
          <w:rFonts w:ascii="Arial" w:cs="Arial" w:eastAsia="Arial" w:hAnsi="Arial"/>
          <w:sz w:val="18"/>
          <w:szCs w:val="18"/>
          <w:color w:val="auto"/>
        </w:rPr>
      </w:pPr>
    </w:p>
    <w:p>
      <w:pPr>
        <w:ind w:left="1780" w:hanging="176"/>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40" w:lineRule="exact"/>
        <w:rPr>
          <w:sz w:val="20"/>
          <w:szCs w:val="20"/>
          <w:color w:val="auto"/>
        </w:rPr>
      </w:pPr>
    </w:p>
    <w:p>
      <w:pPr>
        <w:ind w:left="1240" w:right="459" w:firstLine="356"/>
        <w:spacing w:after="0" w:line="248" w:lineRule="auto"/>
        <w:rPr>
          <w:sz w:val="20"/>
          <w:szCs w:val="20"/>
          <w:color w:val="auto"/>
        </w:rPr>
      </w:pPr>
      <w:r>
        <w:rPr>
          <w:rFonts w:ascii="Arial" w:cs="Arial" w:eastAsia="Arial" w:hAnsi="Arial"/>
          <w:sz w:val="17"/>
          <w:szCs w:val="17"/>
          <w:color w:val="auto"/>
        </w:rPr>
        <w:t>We and/or the selling shareholders named in the applicable prospectus supplement may solicit offers to purchase the securities directly from the public from time to time. We and/or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and/or the selling shareholders named in the applicable prospectus supplement may sell securities to one or more dealers as principals. The dealers, who may be deemed to be “underwriters” as that term is defined in the Securities Act, may then resell those securities to the public. We and/or the selling shareholders named in the applicable prospectus supplement may sell securities from time to time to one or more underwriters, who would purchase the securities as principal for resale to the public, either on a firm-commitment or best-efforts basis. If we and/or the selling shareholders named in the applicable prospectus supplement sell securities to underwriters, we and/or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w:t>
      </w:r>
    </w:p>
    <w:p>
      <w:pPr>
        <w:spacing w:after="0" w:line="36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519"/>
        <w:spacing w:after="0" w:line="266" w:lineRule="auto"/>
        <w:rPr>
          <w:sz w:val="20"/>
          <w:szCs w:val="20"/>
          <w:color w:val="auto"/>
        </w:rPr>
      </w:pPr>
      <w:r>
        <w:rPr>
          <w:rFonts w:ascii="Arial" w:cs="Arial" w:eastAsia="Arial" w:hAnsi="Arial"/>
          <w:sz w:val="17"/>
          <w:szCs w:val="17"/>
          <w:color w:val="auto"/>
        </w:rPr>
        <w:t>shareholders named in the applicable prospectus supplement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105" w:lineRule="exact"/>
        <w:rPr>
          <w:sz w:val="20"/>
          <w:szCs w:val="20"/>
          <w:color w:val="auto"/>
        </w:rPr>
      </w:pPr>
    </w:p>
    <w:p>
      <w:pPr>
        <w:ind w:left="1240" w:right="459" w:firstLine="356"/>
        <w:spacing w:after="0" w:line="270" w:lineRule="auto"/>
        <w:rPr>
          <w:sz w:val="20"/>
          <w:szCs w:val="20"/>
          <w:color w:val="auto"/>
        </w:rPr>
      </w:pPr>
      <w:r>
        <w:rPr>
          <w:rFonts w:ascii="Arial" w:cs="Arial" w:eastAsia="Arial" w:hAnsi="Arial"/>
          <w:sz w:val="18"/>
          <w:szCs w:val="18"/>
          <w:color w:val="auto"/>
        </w:rPr>
        <w:t>The applicable prospectus supplement will describe the terms of the offering of the securities, including the following:</w:t>
      </w:r>
    </w:p>
    <w:p>
      <w:pPr>
        <w:spacing w:after="0" w:line="81" w:lineRule="exact"/>
        <w:rPr>
          <w:sz w:val="20"/>
          <w:szCs w:val="20"/>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proceeds from such sale;</w:t>
      </w:r>
    </w:p>
    <w:p>
      <w:pPr>
        <w:spacing w:after="0" w:line="126"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26"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over-allotment options under which underwriters may purchase additional securities from us;</w:t>
      </w:r>
    </w:p>
    <w:p>
      <w:pPr>
        <w:spacing w:after="0" w:line="124" w:lineRule="exact"/>
        <w:rPr>
          <w:rFonts w:ascii="Arial" w:cs="Arial" w:eastAsia="Arial" w:hAnsi="Arial"/>
          <w:sz w:val="17"/>
          <w:szCs w:val="17"/>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13" w:lineRule="exact"/>
        <w:rPr>
          <w:rFonts w:ascii="Arial" w:cs="Arial" w:eastAsia="Arial" w:hAnsi="Arial"/>
          <w:sz w:val="18"/>
          <w:szCs w:val="18"/>
          <w:color w:val="auto"/>
        </w:rPr>
      </w:pPr>
    </w:p>
    <w:p>
      <w:pPr>
        <w:ind w:left="1780" w:hanging="176"/>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153" w:lineRule="exact"/>
        <w:rPr>
          <w:sz w:val="20"/>
          <w:szCs w:val="20"/>
          <w:color w:val="auto"/>
        </w:rPr>
      </w:pPr>
    </w:p>
    <w:p>
      <w:pPr>
        <w:ind w:left="1240" w:right="459" w:firstLine="356"/>
        <w:spacing w:after="0" w:line="253" w:lineRule="auto"/>
        <w:rPr>
          <w:sz w:val="20"/>
          <w:szCs w:val="20"/>
          <w:color w:val="auto"/>
        </w:rPr>
      </w:pPr>
      <w:r>
        <w:rPr>
          <w:rFonts w:ascii="Arial" w:cs="Arial" w:eastAsia="Arial" w:hAnsi="Arial"/>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3" w:lineRule="exact"/>
        <w:rPr>
          <w:sz w:val="20"/>
          <w:szCs w:val="20"/>
          <w:color w:val="auto"/>
        </w:rPr>
      </w:pPr>
    </w:p>
    <w:p>
      <w:pPr>
        <w:ind w:left="1240" w:right="1239" w:firstLine="356"/>
        <w:spacing w:after="0" w:line="270" w:lineRule="auto"/>
        <w:rPr>
          <w:sz w:val="20"/>
          <w:szCs w:val="20"/>
          <w:color w:val="auto"/>
        </w:rPr>
      </w:pPr>
      <w:r>
        <w:rPr>
          <w:rFonts w:ascii="Arial" w:cs="Arial" w:eastAsia="Arial" w:hAnsi="Arial"/>
          <w:sz w:val="18"/>
          <w:szCs w:val="18"/>
          <w:color w:val="auto"/>
        </w:rPr>
        <w:t>We may pay expenses incurred with respect to the registration of shares owned by any selling shareholders.</w:t>
      </w:r>
    </w:p>
    <w:p>
      <w:pPr>
        <w:spacing w:after="0" w:line="95" w:lineRule="exact"/>
        <w:rPr>
          <w:sz w:val="20"/>
          <w:szCs w:val="20"/>
          <w:color w:val="auto"/>
        </w:rPr>
      </w:pPr>
    </w:p>
    <w:p>
      <w:pPr>
        <w:ind w:left="1240" w:right="479" w:firstLine="356"/>
        <w:spacing w:after="0" w:line="266" w:lineRule="auto"/>
        <w:rPr>
          <w:sz w:val="20"/>
          <w:szCs w:val="20"/>
          <w:color w:val="auto"/>
        </w:rPr>
      </w:pPr>
      <w:r>
        <w:rPr>
          <w:rFonts w:ascii="Arial" w:cs="Arial" w:eastAsia="Arial" w:hAnsi="Arial"/>
          <w:sz w:val="17"/>
          <w:szCs w:val="17"/>
          <w:color w:val="auto"/>
        </w:rPr>
        <w:t>The underwriters, dealers and agents, as well as their associates, may be customers of or lenders to, and may engage in transactions with and perform services for, Tuya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118" w:lineRule="exact"/>
        <w:rPr>
          <w:sz w:val="20"/>
          <w:szCs w:val="20"/>
          <w:color w:val="auto"/>
        </w:rPr>
      </w:pPr>
    </w:p>
    <w:p>
      <w:pPr>
        <w:ind w:left="1240" w:right="499" w:firstLine="356"/>
        <w:spacing w:after="0" w:line="265"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5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254635</wp:posOffset>
            </wp:positionV>
            <wp:extent cx="67525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right="479" w:firstLine="356"/>
        <w:spacing w:after="0" w:line="300" w:lineRule="auto"/>
        <w:rPr>
          <w:sz w:val="20"/>
          <w:szCs w:val="20"/>
          <w:color w:val="auto"/>
        </w:rPr>
      </w:pPr>
      <w:r>
        <w:rPr>
          <w:rFonts w:ascii="Arial" w:cs="Arial" w:eastAsia="Arial" w:hAnsi="Arial"/>
          <w:sz w:val="17"/>
          <w:szCs w:val="17"/>
          <w:color w:val="auto"/>
        </w:rPr>
        <w:t>Unless otherwise indicated in an applicable prospectus supplement or confirmation of sale, the purchase price of the securities will be required to be paid in immediately available funds in New York City.</w:t>
      </w:r>
    </w:p>
    <w:p>
      <w:pPr>
        <w:spacing w:after="0" w:line="72" w:lineRule="exact"/>
        <w:rPr>
          <w:sz w:val="20"/>
          <w:szCs w:val="20"/>
          <w:color w:val="auto"/>
        </w:rPr>
      </w:pPr>
    </w:p>
    <w:p>
      <w:pPr>
        <w:ind w:left="1240" w:right="699" w:firstLine="356"/>
        <w:spacing w:after="0" w:line="25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LEGAL MATTERS</w:t>
      </w:r>
    </w:p>
    <w:p>
      <w:pPr>
        <w:spacing w:after="0" w:line="144" w:lineRule="exact"/>
        <w:rPr>
          <w:sz w:val="20"/>
          <w:szCs w:val="20"/>
          <w:color w:val="auto"/>
        </w:rPr>
      </w:pPr>
    </w:p>
    <w:p>
      <w:pPr>
        <w:ind w:left="1240" w:right="499" w:firstLine="356"/>
        <w:spacing w:after="0" w:line="267" w:lineRule="auto"/>
        <w:rPr>
          <w:sz w:val="20"/>
          <w:szCs w:val="20"/>
          <w:color w:val="auto"/>
        </w:rPr>
      </w:pPr>
      <w:r>
        <w:rPr>
          <w:rFonts w:ascii="Arial" w:cs="Arial" w:eastAsia="Arial" w:hAnsi="Arial"/>
          <w:sz w:val="17"/>
          <w:szCs w:val="17"/>
          <w:color w:val="auto"/>
        </w:rPr>
        <w:t>We are being represented by Davis Polk &amp; Wardwell LLP with respect to certain legal matters as to United States federal securities and New York State law. The validity of the Class A ordinary shares offered in any offering and legal matters as to Cayman Islands law will be passed upon for us by Maples and Calder (Hong Kong) LLP. Certain legal matters as to PRC law will be passed upon for us by Jia Yuan Law Offices. Davis Polk &amp; Wardwell LLP may rely upon Maples and Calder (Hong Kong) LLP with respect to matters governed by Cayman Islands law and Jia Yuan Law Offices with respect to matters governed by PRC law. Certain legal matters in connection with any offering made pursuant to this prospectus will be passed upon for the underwriters by a law firm or firms named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EXPERTS</w:t>
      </w:r>
    </w:p>
    <w:p>
      <w:pPr>
        <w:spacing w:after="0" w:line="144" w:lineRule="exact"/>
        <w:rPr>
          <w:sz w:val="20"/>
          <w:szCs w:val="20"/>
          <w:color w:val="auto"/>
        </w:rPr>
      </w:pPr>
    </w:p>
    <w:p>
      <w:pPr>
        <w:ind w:left="1240" w:right="479" w:firstLine="356"/>
        <w:spacing w:after="0" w:line="255" w:lineRule="auto"/>
        <w:rPr>
          <w:sz w:val="20"/>
          <w:szCs w:val="20"/>
          <w:color w:val="auto"/>
        </w:rPr>
      </w:pPr>
      <w:r>
        <w:rPr>
          <w:rFonts w:ascii="Arial" w:cs="Arial" w:eastAsia="Arial" w:hAnsi="Arial"/>
          <w:sz w:val="18"/>
          <w:szCs w:val="18"/>
          <w:color w:val="auto"/>
        </w:rPr>
        <w:t>The financial statements incorporated in this prospectus by reference to our annual report on Form 20-F for the year ended December 31, 2021 have been so incorporated in reliance on the report of PricewaterhouseCoopers Zhong Tian LLP, an independent registered public accounting firm, given on the authority of said firm as experts in auditing and accounting.</w:t>
      </w:r>
    </w:p>
    <w:p>
      <w:pPr>
        <w:spacing w:after="0" w:line="121" w:lineRule="exact"/>
        <w:rPr>
          <w:sz w:val="20"/>
          <w:szCs w:val="20"/>
          <w:color w:val="auto"/>
        </w:rPr>
      </w:pPr>
    </w:p>
    <w:p>
      <w:pPr>
        <w:ind w:left="1240" w:right="579" w:firstLine="356"/>
        <w:spacing w:after="0" w:line="270"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144" w:lineRule="exact"/>
        <w:rPr>
          <w:sz w:val="20"/>
          <w:szCs w:val="20"/>
          <w:color w:val="auto"/>
        </w:rPr>
      </w:pPr>
    </w:p>
    <w:p>
      <w:pPr>
        <w:ind w:left="1240" w:right="459" w:firstLine="356"/>
        <w:spacing w:after="0" w:line="274" w:lineRule="auto"/>
        <w:rPr>
          <w:sz w:val="20"/>
          <w:szCs w:val="20"/>
          <w:color w:val="auto"/>
        </w:rPr>
      </w:pPr>
      <w:r>
        <w:rPr>
          <w:rFonts w:ascii="Arial" w:cs="Arial" w:eastAsia="Arial" w:hAnsi="Arial"/>
          <w:sz w:val="17"/>
          <w:szCs w:val="17"/>
          <w:color w:val="auto"/>
        </w:rPr>
        <w:t>We are subject to the reporting requirements of the Exchange Act, and in accordance with the Exchange Act, we file annual reports and other information with the SEC. Information we file with the SEC can be obtained over the internet on the SEC’s website at www.sec.gov. You can also find information on our website ir.tuya.com. The information contained on our website is not a part of this prospectus.</w:t>
      </w:r>
    </w:p>
    <w:p>
      <w:pPr>
        <w:spacing w:after="0" w:line="108" w:lineRule="exact"/>
        <w:rPr>
          <w:sz w:val="20"/>
          <w:szCs w:val="20"/>
          <w:color w:val="auto"/>
        </w:rPr>
      </w:pPr>
    </w:p>
    <w:p>
      <w:pPr>
        <w:ind w:left="1240" w:right="519" w:firstLine="356"/>
        <w:spacing w:after="0" w:line="251" w:lineRule="auto"/>
        <w:rPr>
          <w:sz w:val="20"/>
          <w:szCs w:val="20"/>
          <w:color w:val="auto"/>
        </w:rPr>
      </w:pPr>
      <w:r>
        <w:rPr>
          <w:rFonts w:ascii="Arial" w:cs="Arial" w:eastAsia="Arial" w:hAnsi="Arial"/>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44" w:lineRule="exact"/>
        <w:rPr>
          <w:sz w:val="20"/>
          <w:szCs w:val="20"/>
          <w:color w:val="auto"/>
        </w:rPr>
      </w:pPr>
    </w:p>
    <w:p>
      <w:pPr>
        <w:ind w:left="1240" w:right="479" w:firstLine="356"/>
        <w:spacing w:after="0" w:line="284"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0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incorporate by reference the following documents:</w:t>
      </w:r>
    </w:p>
    <w:p>
      <w:pPr>
        <w:spacing w:after="0" w:line="113" w:lineRule="exact"/>
        <w:rPr>
          <w:sz w:val="20"/>
          <w:szCs w:val="20"/>
          <w:color w:val="auto"/>
        </w:rPr>
      </w:pPr>
    </w:p>
    <w:p>
      <w:pPr>
        <w:ind w:left="1780" w:right="659" w:hanging="176"/>
        <w:spacing w:after="0" w:line="270"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74">
        <w:r>
          <w:rPr>
            <w:rFonts w:ascii="Arial" w:cs="Arial" w:eastAsia="Arial" w:hAnsi="Arial"/>
            <w:sz w:val="18"/>
            <w:szCs w:val="18"/>
            <w:u w:val="single" w:color="auto"/>
            <w:color w:val="0000EE"/>
          </w:rPr>
          <w:t>annual report on Form 20-F for the fiscal year ended 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28, 2022 (File No. 001-40210);</w:t>
      </w:r>
    </w:p>
    <w:p>
      <w:pPr>
        <w:spacing w:after="0" w:line="67" w:lineRule="exact"/>
        <w:rPr>
          <w:rFonts w:ascii="Arial" w:cs="Arial" w:eastAsia="Arial" w:hAnsi="Arial"/>
          <w:sz w:val="18"/>
          <w:szCs w:val="18"/>
          <w:color w:val="auto"/>
        </w:rPr>
      </w:pPr>
    </w:p>
    <w:p>
      <w:pPr>
        <w:ind w:left="1780" w:right="539" w:hanging="176"/>
        <w:spacing w:after="0" w:line="270"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future annual reports on Form 20-F filed with the SEC after the date of this prospectus and prior to the termination of the offering of the securities offered by this prospectus;</w:t>
      </w:r>
    </w:p>
    <w:p>
      <w:pPr>
        <w:spacing w:after="0" w:line="67" w:lineRule="exact"/>
        <w:rPr>
          <w:rFonts w:ascii="Arial" w:cs="Arial" w:eastAsia="Arial" w:hAnsi="Arial"/>
          <w:sz w:val="18"/>
          <w:szCs w:val="18"/>
          <w:color w:val="auto"/>
        </w:rPr>
      </w:pPr>
    </w:p>
    <w:p>
      <w:pPr>
        <w:ind w:left="1780" w:right="939" w:hanging="176"/>
        <w:spacing w:after="0" w:line="258"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description of the securities contained in our registration statement on </w:t>
      </w:r>
      <w:hyperlink r:id="rId7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March 12, 2021 pursuant to Section 12 of the Exchange Act, together with all amendments and reports filed for the purpose of updating that description; and</w:t>
      </w:r>
    </w:p>
    <w:p>
      <w:pPr>
        <w:spacing w:after="0" w:line="79" w:lineRule="exact"/>
        <w:rPr>
          <w:rFonts w:ascii="Arial" w:cs="Arial" w:eastAsia="Arial" w:hAnsi="Arial"/>
          <w:sz w:val="18"/>
          <w:szCs w:val="18"/>
          <w:color w:val="auto"/>
        </w:rPr>
      </w:pPr>
    </w:p>
    <w:p>
      <w:pPr>
        <w:ind w:left="1780" w:right="679" w:hanging="176"/>
        <w:spacing w:after="0" w:line="270"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the date of this prospectus that are identified in such reports as being incorporated by reference in this prospectus.</w:t>
      </w:r>
    </w:p>
    <w:p>
      <w:pPr>
        <w:spacing w:after="0" w:line="108" w:lineRule="exact"/>
        <w:rPr>
          <w:rFonts w:ascii="Arial" w:cs="Arial" w:eastAsia="Arial" w:hAnsi="Arial"/>
          <w:sz w:val="18"/>
          <w:szCs w:val="18"/>
          <w:color w:val="auto"/>
        </w:rPr>
      </w:pPr>
    </w:p>
    <w:p>
      <w:pPr>
        <w:ind w:left="1240" w:right="599" w:firstLine="356"/>
        <w:spacing w:after="0" w:line="255"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08" w:lineRule="exact"/>
        <w:rPr>
          <w:rFonts w:ascii="Arial" w:cs="Arial" w:eastAsia="Arial" w:hAnsi="Arial"/>
          <w:sz w:val="18"/>
          <w:szCs w:val="18"/>
          <w:color w:val="auto"/>
        </w:rPr>
      </w:pPr>
    </w:p>
    <w:p>
      <w:pPr>
        <w:ind w:left="4920"/>
        <w:spacing w:after="0"/>
        <w:rPr>
          <w:sz w:val="20"/>
          <w:szCs w:val="20"/>
          <w:color w:val="auto"/>
        </w:rPr>
      </w:pPr>
      <w:r>
        <w:rPr>
          <w:rFonts w:ascii="Arial" w:cs="Arial" w:eastAsia="Arial" w:hAnsi="Arial"/>
          <w:sz w:val="18"/>
          <w:szCs w:val="18"/>
          <w:color w:val="auto"/>
        </w:rPr>
        <w:t>Tuya Inc.</w:t>
      </w:r>
    </w:p>
    <w:p>
      <w:pPr>
        <w:spacing w:after="0" w:line="19" w:lineRule="exact"/>
        <w:rPr>
          <w:rFonts w:ascii="Arial" w:cs="Arial" w:eastAsia="Arial" w:hAnsi="Arial"/>
          <w:sz w:val="18"/>
          <w:szCs w:val="18"/>
          <w:color w:val="auto"/>
        </w:rPr>
      </w:pPr>
    </w:p>
    <w:p>
      <w:pPr>
        <w:ind w:left="4100"/>
        <w:spacing w:after="0"/>
        <w:rPr>
          <w:sz w:val="20"/>
          <w:szCs w:val="20"/>
          <w:color w:val="auto"/>
        </w:rPr>
      </w:pPr>
      <w:r>
        <w:rPr>
          <w:rFonts w:ascii="Arial" w:cs="Arial" w:eastAsia="Arial" w:hAnsi="Arial"/>
          <w:sz w:val="18"/>
          <w:szCs w:val="18"/>
          <w:color w:val="auto"/>
        </w:rPr>
        <w:t>10/F, Building A, Huace Center</w:t>
      </w:r>
    </w:p>
    <w:p>
      <w:pPr>
        <w:spacing w:after="0" w:line="6" w:lineRule="exact"/>
        <w:rPr>
          <w:rFonts w:ascii="Arial" w:cs="Arial" w:eastAsia="Arial" w:hAnsi="Arial"/>
          <w:sz w:val="18"/>
          <w:szCs w:val="18"/>
          <w:color w:val="auto"/>
        </w:rPr>
      </w:pPr>
    </w:p>
    <w:p>
      <w:pPr>
        <w:ind w:left="3480"/>
        <w:spacing w:after="0"/>
        <w:rPr>
          <w:sz w:val="20"/>
          <w:szCs w:val="20"/>
          <w:color w:val="auto"/>
        </w:rPr>
      </w:pPr>
      <w:r>
        <w:rPr>
          <w:rFonts w:ascii="Arial" w:cs="Arial" w:eastAsia="Arial" w:hAnsi="Arial"/>
          <w:sz w:val="18"/>
          <w:szCs w:val="18"/>
          <w:color w:val="auto"/>
        </w:rPr>
        <w:t>Xihu District, Hangzhou City, Zhejiang, 310012</w:t>
      </w:r>
    </w:p>
    <w:p>
      <w:pPr>
        <w:spacing w:after="0" w:line="6" w:lineRule="exact"/>
        <w:rPr>
          <w:rFonts w:ascii="Arial" w:cs="Arial" w:eastAsia="Arial" w:hAnsi="Arial"/>
          <w:sz w:val="18"/>
          <w:szCs w:val="18"/>
          <w:color w:val="auto"/>
        </w:rPr>
      </w:pPr>
    </w:p>
    <w:p>
      <w:pPr>
        <w:ind w:left="4260"/>
        <w:spacing w:after="0"/>
        <w:rPr>
          <w:sz w:val="20"/>
          <w:szCs w:val="20"/>
          <w:color w:val="auto"/>
        </w:rPr>
      </w:pPr>
      <w:r>
        <w:rPr>
          <w:rFonts w:ascii="Arial" w:cs="Arial" w:eastAsia="Arial" w:hAnsi="Arial"/>
          <w:sz w:val="18"/>
          <w:szCs w:val="18"/>
          <w:color w:val="auto"/>
        </w:rPr>
        <w:t>People’s Republic of China</w:t>
      </w:r>
    </w:p>
    <w:p>
      <w:pPr>
        <w:spacing w:after="0" w:line="6" w:lineRule="exact"/>
        <w:rPr>
          <w:rFonts w:ascii="Arial" w:cs="Arial" w:eastAsia="Arial" w:hAnsi="Arial"/>
          <w:sz w:val="18"/>
          <w:szCs w:val="18"/>
          <w:color w:val="auto"/>
        </w:rPr>
      </w:pPr>
    </w:p>
    <w:p>
      <w:pPr>
        <w:ind w:left="4520"/>
        <w:spacing w:after="0"/>
        <w:rPr>
          <w:sz w:val="20"/>
          <w:szCs w:val="20"/>
          <w:color w:val="auto"/>
        </w:rPr>
      </w:pPr>
      <w:r>
        <w:rPr>
          <w:rFonts w:ascii="Arial" w:cs="Arial" w:eastAsia="Arial" w:hAnsi="Arial"/>
          <w:sz w:val="18"/>
          <w:szCs w:val="18"/>
          <w:color w:val="auto"/>
        </w:rPr>
        <w:t>+86 0571-86915981</w:t>
      </w:r>
    </w:p>
    <w:p>
      <w:pPr>
        <w:spacing w:after="0" w:line="6" w:lineRule="exact"/>
        <w:rPr>
          <w:rFonts w:ascii="Arial" w:cs="Arial" w:eastAsia="Arial" w:hAnsi="Arial"/>
          <w:sz w:val="18"/>
          <w:szCs w:val="18"/>
          <w:color w:val="auto"/>
        </w:rPr>
      </w:pPr>
    </w:p>
    <w:p>
      <w:pPr>
        <w:ind w:left="4220"/>
        <w:spacing w:after="0"/>
        <w:rPr>
          <w:sz w:val="20"/>
          <w:szCs w:val="20"/>
          <w:color w:val="auto"/>
        </w:rPr>
      </w:pPr>
      <w:r>
        <w:rPr>
          <w:rFonts w:ascii="Arial" w:cs="Arial" w:eastAsia="Arial" w:hAnsi="Arial"/>
          <w:sz w:val="18"/>
          <w:szCs w:val="18"/>
          <w:color w:val="auto"/>
        </w:rPr>
        <w:t>Attention: Investor Relations</w:t>
      </w:r>
    </w:p>
    <w:p>
      <w:pPr>
        <w:spacing w:after="0" w:line="140" w:lineRule="exact"/>
        <w:rPr>
          <w:rFonts w:ascii="Arial" w:cs="Arial" w:eastAsia="Arial" w:hAnsi="Arial"/>
          <w:sz w:val="18"/>
          <w:szCs w:val="18"/>
          <w:color w:val="auto"/>
        </w:rPr>
      </w:pPr>
    </w:p>
    <w:p>
      <w:pPr>
        <w:ind w:left="1240" w:right="579" w:firstLine="356"/>
        <w:spacing w:after="0" w:line="253"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180"/>
        <w:spacing w:after="0"/>
        <w:rPr>
          <w:sz w:val="20"/>
          <w:szCs w:val="20"/>
          <w:color w:val="auto"/>
        </w:rPr>
      </w:pPr>
      <w:r>
        <w:rPr>
          <w:rFonts w:ascii="Arial" w:cs="Arial" w:eastAsia="Arial" w:hAnsi="Arial"/>
          <w:sz w:val="18"/>
          <w:szCs w:val="18"/>
          <w:color w:val="auto"/>
        </w:rPr>
        <w:t>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PART II</w:t>
      </w:r>
    </w:p>
    <w:p>
      <w:pPr>
        <w:spacing w:after="0" w:line="11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0" w:lineRule="exact"/>
        <w:rPr>
          <w:sz w:val="20"/>
          <w:szCs w:val="20"/>
          <w:color w:val="auto"/>
        </w:rPr>
      </w:pPr>
    </w:p>
    <w:p>
      <w:pPr>
        <w:ind w:left="1240"/>
        <w:spacing w:after="0"/>
        <w:tabs>
          <w:tab w:leader="none" w:pos="2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4"/>
          <w:szCs w:val="14"/>
          <w:b w:val="1"/>
          <w:bCs w:val="1"/>
          <w:color w:val="auto"/>
        </w:rPr>
        <w:t>Indemnification of Directors and Officers</w:t>
      </w:r>
    </w:p>
    <w:p>
      <w:pPr>
        <w:spacing w:after="0" w:line="144" w:lineRule="exact"/>
        <w:rPr>
          <w:sz w:val="20"/>
          <w:szCs w:val="20"/>
          <w:color w:val="auto"/>
        </w:rPr>
      </w:pPr>
    </w:p>
    <w:p>
      <w:pPr>
        <w:ind w:left="1240" w:right="479" w:firstLine="356"/>
        <w:spacing w:after="0" w:line="264"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Under our MAA, to the fullest extent permissible under Cayman Islands law every director and officer of our company and any trustee for the time being acting in relation to any of the affairs of our company and their respective heirs, executors, administrators and personal representatives shall be indemnified out of the assets of our company from and against all actions, proceedings, costs, charges, expenses, losses, and damages and expenses which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officer or trustee shall be answerable for the acts, receipts, neglects or defaults of any other director, officer or trustee or for joining in any receipt for the sake of conformity or for the solvency or honesty of any banker or other persons with whom any monies or effects belonging to our company may be lodged or deposited for safe custody or for any insufficiency of any security upon which any monies of our company may be invested or for any other loss or damage due to any such cause as aforesaid or which may happen in or about the execution of his office or trust unless the same shall happen through the fraud or dishonesty of such director, officer or trustee.</w:t>
      </w:r>
    </w:p>
    <w:p>
      <w:pPr>
        <w:spacing w:after="0" w:line="119" w:lineRule="exact"/>
        <w:rPr>
          <w:sz w:val="20"/>
          <w:szCs w:val="20"/>
          <w:color w:val="auto"/>
        </w:rPr>
      </w:pPr>
    </w:p>
    <w:p>
      <w:pPr>
        <w:ind w:left="1240" w:right="539" w:firstLine="356"/>
        <w:spacing w:after="0" w:line="255" w:lineRule="auto"/>
        <w:rPr>
          <w:sz w:val="20"/>
          <w:szCs w:val="20"/>
          <w:color w:val="auto"/>
        </w:rPr>
      </w:pPr>
      <w:r>
        <w:rPr>
          <w:rFonts w:ascii="Arial" w:cs="Arial" w:eastAsia="Arial" w:hAnsi="Arial"/>
          <w:sz w:val="18"/>
          <w:szCs w:val="18"/>
          <w:color w:val="auto"/>
        </w:rPr>
        <w:t>Pursuant to the indemnification agreements, the form of which has been filed as Exhibit 10.2 to our registration statement on F-1 (File No. 333-253575), as amended, we agreed to indemnify our directors and officers against certain liabilities and expenses incurred by such persons in connection with claims made by reason of their being such a director or officer.</w:t>
      </w:r>
    </w:p>
    <w:p>
      <w:pPr>
        <w:spacing w:after="0" w:line="108" w:lineRule="exact"/>
        <w:rPr>
          <w:sz w:val="20"/>
          <w:szCs w:val="20"/>
          <w:color w:val="auto"/>
        </w:rPr>
      </w:pPr>
    </w:p>
    <w:p>
      <w:pPr>
        <w:ind w:left="1240" w:right="579" w:firstLine="356"/>
        <w:spacing w:after="0" w:line="271" w:lineRule="auto"/>
        <w:rPr>
          <w:sz w:val="20"/>
          <w:szCs w:val="20"/>
          <w:color w:val="auto"/>
        </w:rPr>
      </w:pPr>
      <w:r>
        <w:rPr>
          <w:rFonts w:ascii="Arial" w:cs="Arial" w:eastAsia="Arial" w:hAnsi="Arial"/>
          <w:sz w:val="17"/>
          <w:szCs w:val="17"/>
          <w:color w:val="auto"/>
        </w:rPr>
        <w:t>Any underwriting agreement that we may enter into in connection with an offering of securities pursuant to this registration statement may also provide for indemnification by the underwriters of us and our officers and directors for certain liabilities, including liabilities arising under the Securities Act, but only to the extent that such liabilities are caused by information relating to the underwriters furnished to us in writing expressly for use in this registration statement and certain other disclosure documents.</w:t>
      </w:r>
    </w:p>
    <w:p>
      <w:pPr>
        <w:spacing w:after="0" w:line="111" w:lineRule="exact"/>
        <w:rPr>
          <w:sz w:val="20"/>
          <w:szCs w:val="20"/>
          <w:color w:val="auto"/>
        </w:rPr>
      </w:pPr>
    </w:p>
    <w:p>
      <w:pPr>
        <w:ind w:left="1240" w:right="539" w:firstLine="356"/>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40"/>
        <w:spacing w:after="0"/>
        <w:tabs>
          <w:tab w:leader="none" w:pos="2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Exhibits</w:t>
      </w:r>
    </w:p>
    <w:p>
      <w:pPr>
        <w:spacing w:after="0" w:line="15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216" w:lineRule="exact"/>
        <w:rPr>
          <w:sz w:val="20"/>
          <w:szCs w:val="20"/>
          <w:color w:val="auto"/>
        </w:rPr>
      </w:pPr>
    </w:p>
    <w:p>
      <w:pPr>
        <w:ind w:left="1240"/>
        <w:spacing w:after="0"/>
        <w:tabs>
          <w:tab w:leader="none" w:pos="2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4"/>
          <w:szCs w:val="14"/>
          <w:b w:val="1"/>
          <w:bCs w:val="1"/>
          <w:color w:val="auto"/>
        </w:rPr>
        <w:t>Undertakings.</w:t>
      </w:r>
    </w:p>
    <w:p>
      <w:pPr>
        <w:spacing w:after="0" w:line="144" w:lineRule="exact"/>
        <w:rPr>
          <w:sz w:val="20"/>
          <w:szCs w:val="20"/>
          <w:color w:val="auto"/>
        </w:rPr>
      </w:pPr>
    </w:p>
    <w:p>
      <w:pPr>
        <w:ind w:left="1960" w:hanging="3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3" w:lineRule="exact"/>
        <w:rPr>
          <w:rFonts w:ascii="Arial" w:cs="Arial" w:eastAsia="Arial" w:hAnsi="Arial"/>
          <w:sz w:val="18"/>
          <w:szCs w:val="18"/>
          <w:color w:val="auto"/>
        </w:rPr>
      </w:pPr>
    </w:p>
    <w:p>
      <w:pPr>
        <w:ind w:left="2320" w:right="1379" w:hanging="360"/>
        <w:spacing w:after="0" w:line="270" w:lineRule="auto"/>
        <w:tabs>
          <w:tab w:leader="none" w:pos="2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8" w:lineRule="exact"/>
        <w:rPr>
          <w:rFonts w:ascii="Arial" w:cs="Arial" w:eastAsia="Arial" w:hAnsi="Arial"/>
          <w:sz w:val="18"/>
          <w:szCs w:val="18"/>
          <w:color w:val="auto"/>
        </w:rPr>
      </w:pPr>
    </w:p>
    <w:p>
      <w:pPr>
        <w:ind w:left="2680" w:hanging="365"/>
        <w:spacing w:after="0"/>
        <w:tabs>
          <w:tab w:leader="none" w:pos="26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9" w:lineRule="exact"/>
        <w:rPr>
          <w:rFonts w:ascii="Arial" w:cs="Arial" w:eastAsia="Arial" w:hAnsi="Arial"/>
          <w:sz w:val="18"/>
          <w:szCs w:val="18"/>
          <w:color w:val="auto"/>
        </w:rPr>
      </w:pPr>
    </w:p>
    <w:p>
      <w:pPr>
        <w:ind w:left="2680" w:right="699" w:hanging="365"/>
        <w:spacing w:after="0" w:line="252" w:lineRule="auto"/>
        <w:tabs>
          <w:tab w:leader="none" w:pos="26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w:t>
      </w:r>
    </w:p>
    <w:p>
      <w:pPr>
        <w:sectPr>
          <w:pgSz w:w="11900" w:h="16838" w:orient="portrait"/>
          <w:cols w:equalWidth="0" w:num="1">
            <w:col w:w="9819"/>
          </w:cols>
          <w:pgMar w:left="640" w:top="132" w:right="1440" w:bottom="1440" w:gutter="0" w:footer="0" w:header="0"/>
        </w:sectPr>
      </w:pPr>
    </w:p>
    <w:p>
      <w:pPr>
        <w:spacing w:after="0" w:line="37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right="519"/>
        <w:spacing w:after="0" w:line="255" w:lineRule="auto"/>
        <w:rPr>
          <w:sz w:val="20"/>
          <w:szCs w:val="20"/>
          <w:color w:val="auto"/>
        </w:rPr>
      </w:pPr>
      <w:r>
        <w:rPr>
          <w:rFonts w:ascii="Arial" w:cs="Arial" w:eastAsia="Arial" w:hAnsi="Arial"/>
          <w:sz w:val="17"/>
          <w:szCs w:val="17"/>
          <w:color w:val="auto"/>
        </w:rPr>
        <w:t>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6" w:lineRule="exact"/>
        <w:rPr>
          <w:sz w:val="20"/>
          <w:szCs w:val="20"/>
          <w:color w:val="auto"/>
        </w:rPr>
      </w:pPr>
    </w:p>
    <w:p>
      <w:pPr>
        <w:ind w:left="2680" w:right="1159" w:hanging="365"/>
        <w:spacing w:after="0" w:line="258" w:lineRule="auto"/>
        <w:tabs>
          <w:tab w:leader="none" w:pos="2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0" w:lineRule="exact"/>
        <w:rPr>
          <w:sz w:val="20"/>
          <w:szCs w:val="20"/>
          <w:color w:val="auto"/>
        </w:rPr>
      </w:pPr>
    </w:p>
    <w:p>
      <w:pPr>
        <w:ind w:left="1240" w:right="579"/>
        <w:spacing w:after="0" w:line="25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of this item do not apply if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 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96" w:lineRule="exact"/>
        <w:rPr>
          <w:sz w:val="20"/>
          <w:szCs w:val="20"/>
          <w:color w:val="auto"/>
        </w:rPr>
      </w:pPr>
    </w:p>
    <w:p>
      <w:pPr>
        <w:ind w:left="2320" w:right="459" w:hanging="360"/>
        <w:spacing w:after="0" w:line="255" w:lineRule="auto"/>
        <w:tabs>
          <w:tab w:leader="none" w:pos="2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Arial" w:cs="Arial" w:eastAsia="Arial" w:hAnsi="Arial"/>
          <w:sz w:val="18"/>
          <w:szCs w:val="18"/>
          <w:color w:val="auto"/>
        </w:rPr>
      </w:pPr>
    </w:p>
    <w:p>
      <w:pPr>
        <w:ind w:left="2320" w:right="779" w:hanging="360"/>
        <w:spacing w:after="0" w:line="270" w:lineRule="auto"/>
        <w:tabs>
          <w:tab w:leader="none" w:pos="2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8" w:lineRule="exact"/>
        <w:rPr>
          <w:rFonts w:ascii="Arial" w:cs="Arial" w:eastAsia="Arial" w:hAnsi="Arial"/>
          <w:sz w:val="18"/>
          <w:szCs w:val="18"/>
          <w:color w:val="auto"/>
        </w:rPr>
      </w:pPr>
    </w:p>
    <w:p>
      <w:pPr>
        <w:ind w:left="2320" w:right="519" w:hanging="360"/>
        <w:spacing w:after="0" w:line="249" w:lineRule="auto"/>
        <w:tabs>
          <w:tab w:leader="none" w:pos="2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17" w:lineRule="exact"/>
        <w:rPr>
          <w:rFonts w:ascii="Arial" w:cs="Arial" w:eastAsia="Arial" w:hAnsi="Arial"/>
          <w:sz w:val="18"/>
          <w:szCs w:val="18"/>
          <w:color w:val="auto"/>
        </w:rPr>
      </w:pPr>
    </w:p>
    <w:p>
      <w:pPr>
        <w:ind w:left="2320" w:hanging="360"/>
        <w:spacing w:after="0"/>
        <w:tabs>
          <w:tab w:leader="none" w:pos="2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3" w:lineRule="exact"/>
        <w:rPr>
          <w:rFonts w:ascii="Arial" w:cs="Arial" w:eastAsia="Arial" w:hAnsi="Arial"/>
          <w:sz w:val="18"/>
          <w:szCs w:val="18"/>
          <w:color w:val="auto"/>
        </w:rPr>
      </w:pPr>
    </w:p>
    <w:p>
      <w:pPr>
        <w:ind w:left="2680" w:right="579" w:hanging="365"/>
        <w:spacing w:after="0" w:line="258" w:lineRule="auto"/>
        <w:tabs>
          <w:tab w:leader="none" w:pos="26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6" w:lineRule="exact"/>
        <w:rPr>
          <w:rFonts w:ascii="Arial" w:cs="Arial" w:eastAsia="Arial" w:hAnsi="Arial"/>
          <w:sz w:val="18"/>
          <w:szCs w:val="18"/>
          <w:color w:val="auto"/>
        </w:rPr>
      </w:pPr>
    </w:p>
    <w:p>
      <w:pPr>
        <w:ind w:left="2680" w:right="479" w:hanging="365"/>
        <w:spacing w:after="0" w:line="264" w:lineRule="auto"/>
        <w:tabs>
          <w:tab w:leader="none" w:pos="26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no statement made in a registration statement or prospectus that is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w:t>
      </w:r>
    </w:p>
    <w:p>
      <w:pPr>
        <w:sectPr>
          <w:pgSz w:w="11900" w:h="16838" w:orient="portrait"/>
          <w:cols w:equalWidth="0" w:num="1">
            <w:col w:w="9819"/>
          </w:cols>
          <w:pgMar w:left="640" w:top="132" w:right="1440" w:bottom="1440" w:gutter="0" w:footer="0" w:header="0"/>
        </w:sectPr>
      </w:pPr>
    </w:p>
    <w:p>
      <w:pPr>
        <w:spacing w:after="0" w:line="36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right="479"/>
        <w:spacing w:after="0" w:line="258" w:lineRule="auto"/>
        <w:rPr>
          <w:sz w:val="20"/>
          <w:szCs w:val="20"/>
          <w:color w:val="auto"/>
        </w:rPr>
      </w:pPr>
      <w:r>
        <w:rPr>
          <w:rFonts w:ascii="Arial" w:cs="Arial" w:eastAsia="Arial" w:hAnsi="Arial"/>
          <w:sz w:val="18"/>
          <w:szCs w:val="18"/>
          <w:color w:val="auto"/>
        </w:rPr>
        <w:t>or modify any statement that was made in the registration statement or prospectus that was part of the registration statement or made in any such document immediately prior to such effective date.</w:t>
      </w:r>
    </w:p>
    <w:p>
      <w:pPr>
        <w:spacing w:after="0" w:line="106" w:lineRule="exact"/>
        <w:rPr>
          <w:sz w:val="20"/>
          <w:szCs w:val="20"/>
          <w:color w:val="auto"/>
        </w:rPr>
      </w:pPr>
    </w:p>
    <w:p>
      <w:pPr>
        <w:ind w:left="2320" w:right="559" w:hanging="360"/>
        <w:spacing w:after="0" w:line="270" w:lineRule="auto"/>
        <w:tabs>
          <w:tab w:leader="none" w:pos="2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108" w:lineRule="exact"/>
        <w:rPr>
          <w:sz w:val="20"/>
          <w:szCs w:val="20"/>
          <w:color w:val="auto"/>
        </w:rPr>
      </w:pPr>
    </w:p>
    <w:p>
      <w:pPr>
        <w:ind w:left="1240" w:right="859" w:firstLine="356"/>
        <w:spacing w:after="0" w:line="253"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3" w:lineRule="exact"/>
        <w:rPr>
          <w:sz w:val="20"/>
          <w:szCs w:val="20"/>
          <w:color w:val="auto"/>
        </w:rPr>
      </w:pPr>
    </w:p>
    <w:p>
      <w:pPr>
        <w:ind w:left="2680" w:right="739" w:hanging="365"/>
        <w:spacing w:after="0" w:line="270" w:lineRule="auto"/>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94" w:lineRule="exact"/>
        <w:rPr>
          <w:rFonts w:ascii="Arial" w:cs="Arial" w:eastAsia="Arial" w:hAnsi="Arial"/>
          <w:sz w:val="18"/>
          <w:szCs w:val="18"/>
          <w:color w:val="auto"/>
        </w:rPr>
      </w:pPr>
    </w:p>
    <w:p>
      <w:pPr>
        <w:ind w:left="2680" w:right="979" w:hanging="365"/>
        <w:spacing w:after="0" w:line="300" w:lineRule="auto"/>
        <w:tabs>
          <w:tab w:leader="none" w:pos="2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85" w:lineRule="exact"/>
        <w:rPr>
          <w:rFonts w:ascii="Arial" w:cs="Arial" w:eastAsia="Arial" w:hAnsi="Arial"/>
          <w:sz w:val="17"/>
          <w:szCs w:val="17"/>
          <w:color w:val="auto"/>
        </w:rPr>
      </w:pPr>
    </w:p>
    <w:p>
      <w:pPr>
        <w:ind w:left="2680" w:right="599" w:hanging="365"/>
        <w:spacing w:after="0" w:line="258" w:lineRule="auto"/>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9" w:lineRule="exact"/>
        <w:rPr>
          <w:rFonts w:ascii="Arial" w:cs="Arial" w:eastAsia="Arial" w:hAnsi="Arial"/>
          <w:sz w:val="18"/>
          <w:szCs w:val="18"/>
          <w:color w:val="auto"/>
        </w:rPr>
      </w:pPr>
    </w:p>
    <w:p>
      <w:pPr>
        <w:ind w:left="2680" w:right="1039" w:hanging="365"/>
        <w:spacing w:after="0" w:line="270" w:lineRule="auto"/>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4" w:lineRule="exact"/>
        <w:rPr>
          <w:rFonts w:ascii="Arial" w:cs="Arial" w:eastAsia="Arial" w:hAnsi="Arial"/>
          <w:sz w:val="18"/>
          <w:szCs w:val="18"/>
          <w:color w:val="auto"/>
        </w:rPr>
      </w:pPr>
    </w:p>
    <w:p>
      <w:pPr>
        <w:ind w:left="1960" w:right="539" w:hanging="356"/>
        <w:spacing w:after="0" w:line="251" w:lineRule="auto"/>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Arial" w:cs="Arial" w:eastAsia="Arial" w:hAnsi="Arial"/>
          <w:sz w:val="18"/>
          <w:szCs w:val="18"/>
          <w:color w:val="auto"/>
        </w:rPr>
      </w:pPr>
    </w:p>
    <w:p>
      <w:pPr>
        <w:ind w:left="1960" w:right="499" w:hanging="356"/>
        <w:spacing w:after="0" w:line="265" w:lineRule="auto"/>
        <w:tabs>
          <w:tab w:leader="none" w:pos="1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20" w:type="dxa"/>
            <w:vAlign w:val="bottom"/>
            <w:gridSpan w:val="17"/>
          </w:tcPr>
          <w:p>
            <w:pPr>
              <w:ind w:left="3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40" w:type="dxa"/>
            <w:vAlign w:val="bottom"/>
            <w:gridSpan w:val="16"/>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5"/>
        </w:trPr>
        <w:tc>
          <w:tcPr>
            <w:tcW w:w="64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260" w:type="dxa"/>
            <w:vAlign w:val="bottom"/>
            <w:gridSpan w:val="21"/>
          </w:tcPr>
          <w:p>
            <w:pPr>
              <w:spacing w:after="0"/>
              <w:rPr>
                <w:sz w:val="20"/>
                <w:szCs w:val="20"/>
                <w:color w:val="auto"/>
              </w:rPr>
            </w:pPr>
            <w:r>
              <w:rPr>
                <w:rFonts w:ascii="Arial" w:cs="Arial" w:eastAsia="Arial" w:hAnsi="Arial"/>
                <w:sz w:val="18"/>
                <w:szCs w:val="18"/>
                <w:color w:val="auto"/>
              </w:rPr>
              <w:t>Form of Equity Securities Underwriting Agreement</w:t>
            </w:r>
          </w:p>
        </w:tc>
      </w:tr>
      <w:tr>
        <w:trPr>
          <w:trHeight w:val="254"/>
        </w:trPr>
        <w:tc>
          <w:tcPr>
            <w:tcW w:w="64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7260" w:type="dxa"/>
            <w:vAlign w:val="bottom"/>
            <w:gridSpan w:val="21"/>
          </w:tcPr>
          <w:p>
            <w:pPr>
              <w:spacing w:after="0"/>
              <w:rPr>
                <w:sz w:val="20"/>
                <w:szCs w:val="20"/>
                <w:color w:val="auto"/>
              </w:rPr>
            </w:pPr>
            <w:r>
              <w:rPr>
                <w:rFonts w:ascii="Arial" w:cs="Arial" w:eastAsia="Arial" w:hAnsi="Arial"/>
                <w:sz w:val="18"/>
                <w:szCs w:val="18"/>
                <w:color w:val="auto"/>
              </w:rPr>
              <w:t>Registrant’s Specimen Certificate for Class A Ordinary Shares</w:t>
            </w:r>
          </w:p>
        </w:tc>
      </w:tr>
      <w:tr>
        <w:trPr>
          <w:trHeight w:val="202"/>
        </w:trPr>
        <w:tc>
          <w:tcPr>
            <w:tcW w:w="640" w:type="dxa"/>
            <w:vAlign w:val="bottom"/>
          </w:tcPr>
          <w:p>
            <w:pPr>
              <w:jc w:val="right"/>
              <w:ind w:right="133"/>
              <w:spacing w:after="0" w:line="201"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7060" w:type="dxa"/>
            <w:vAlign w:val="bottom"/>
            <w:tcBorders>
              <w:bottom w:val="single" w:sz="8" w:color="0000EE"/>
            </w:tcBorders>
            <w:gridSpan w:val="17"/>
          </w:tcPr>
          <w:p>
            <w:pPr>
              <w:spacing w:after="0" w:line="201"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Form of Deposit Agreement among the Registrant, the depositary and holders of the American</w:t>
              </w:r>
            </w:hyperlink>
          </w:p>
        </w:tc>
        <w:tc>
          <w:tcPr>
            <w:tcW w:w="200" w:type="dxa"/>
            <w:vAlign w:val="bottom"/>
            <w:gridSpan w:val="4"/>
          </w:tcPr>
          <w:p>
            <w:pPr>
              <w:spacing w:after="0"/>
              <w:rPr>
                <w:sz w:val="17"/>
                <w:szCs w:val="17"/>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0" w:type="dxa"/>
            <w:vAlign w:val="bottom"/>
            <w:tcBorders>
              <w:bottom w:val="single" w:sz="8" w:color="0000EE"/>
            </w:tcBorders>
            <w:gridSpan w:val="20"/>
          </w:tcPr>
          <w:p>
            <w:pPr>
              <w:spacing w:after="0" w:line="194"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Depositary Shares (incorporated herein by reference to Exhibit 1 to the registration statement on</w:t>
              </w:r>
            </w:hyperlink>
          </w:p>
        </w:tc>
        <w:tc>
          <w:tcPr>
            <w:tcW w:w="60" w:type="dxa"/>
            <w:vAlign w:val="bottom"/>
          </w:tcPr>
          <w:p>
            <w:pPr>
              <w:spacing w:after="0"/>
              <w:rPr>
                <w:sz w:val="16"/>
                <w:szCs w:val="16"/>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40" w:type="dxa"/>
            <w:vAlign w:val="bottom"/>
            <w:tcBorders>
              <w:bottom w:val="single" w:sz="8" w:color="0000EE"/>
            </w:tcBorders>
            <w:gridSpan w:val="16"/>
          </w:tcPr>
          <w:p>
            <w:pPr>
              <w:spacing w:after="0" w:line="194" w:lineRule="exact"/>
              <w:rPr>
                <w:rFonts w:ascii="Arial" w:cs="Arial" w:eastAsia="Arial" w:hAnsi="Arial"/>
                <w:sz w:val="18"/>
                <w:szCs w:val="18"/>
                <w:color w:val="0000EE"/>
                <w:w w:val="95"/>
              </w:rPr>
            </w:pPr>
            <w:hyperlink r:id="rId80">
              <w:r>
                <w:rPr>
                  <w:rFonts w:ascii="Arial" w:cs="Arial" w:eastAsia="Arial" w:hAnsi="Arial"/>
                  <w:sz w:val="18"/>
                  <w:szCs w:val="18"/>
                  <w:color w:val="0000EE"/>
                  <w:w w:val="95"/>
                </w:rPr>
                <w:t>Form F-6 (File No. 333-254092), as amended, initially filed with the SEC on March 10, 2021)</w:t>
              </w:r>
            </w:hyperlink>
          </w:p>
        </w:tc>
        <w:tc>
          <w:tcPr>
            <w:tcW w:w="220" w:type="dxa"/>
            <w:vAlign w:val="bottom"/>
            <w:gridSpan w:val="5"/>
          </w:tcPr>
          <w:p>
            <w:pPr>
              <w:spacing w:after="0"/>
              <w:rPr>
                <w:sz w:val="16"/>
                <w:szCs w:val="16"/>
                <w:color w:val="auto"/>
              </w:rPr>
            </w:pPr>
          </w:p>
        </w:tc>
      </w:tr>
      <w:tr>
        <w:trPr>
          <w:trHeight w:val="247"/>
        </w:trPr>
        <w:tc>
          <w:tcPr>
            <w:tcW w:w="64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5820" w:type="dxa"/>
            <w:vAlign w:val="bottom"/>
            <w:tcBorders>
              <w:bottom w:val="single" w:sz="8" w:color="0000EE"/>
            </w:tcBorders>
            <w:gridSpan w:val="11"/>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Registrant’s Specimen American Depositary Receipt (included in Exhibit 4.2)</w:t>
              </w:r>
            </w:hyperlink>
          </w:p>
        </w:tc>
        <w:tc>
          <w:tcPr>
            <w:tcW w:w="1440" w:type="dxa"/>
            <w:vAlign w:val="bottom"/>
            <w:gridSpan w:val="10"/>
          </w:tcPr>
          <w:p>
            <w:pPr>
              <w:spacing w:after="0"/>
              <w:rPr>
                <w:sz w:val="21"/>
                <w:szCs w:val="21"/>
                <w:color w:val="auto"/>
              </w:rPr>
            </w:pPr>
          </w:p>
        </w:tc>
      </w:tr>
      <w:tr>
        <w:trPr>
          <w:trHeight w:val="220"/>
        </w:trPr>
        <w:tc>
          <w:tcPr>
            <w:tcW w:w="64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6660" w:type="dxa"/>
            <w:vAlign w:val="bottom"/>
            <w:tcBorders>
              <w:bottom w:val="single" w:sz="8" w:color="0000EE"/>
            </w:tcBorders>
            <w:gridSpan w:val="14"/>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Amended and Restated Shareholders Agreement between the Registrant and other parties</w:t>
              </w:r>
            </w:hyperlink>
          </w:p>
        </w:tc>
        <w:tc>
          <w:tcPr>
            <w:tcW w:w="600" w:type="dxa"/>
            <w:vAlign w:val="bottom"/>
            <w:gridSpan w:val="7"/>
          </w:tcPr>
          <w:p>
            <w:pPr>
              <w:spacing w:after="0"/>
              <w:rPr>
                <w:sz w:val="19"/>
                <w:szCs w:val="19"/>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40" w:type="dxa"/>
            <w:vAlign w:val="bottom"/>
            <w:tcBorders>
              <w:bottom w:val="single" w:sz="8" w:color="0000EE"/>
            </w:tcBorders>
            <w:gridSpan w:val="13"/>
          </w:tcPr>
          <w:p>
            <w:pPr>
              <w:spacing w:after="0" w:line="194"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thereto, dated September 11, 2019 (incorporated herein by reference to Exhibit 4.4 to the</w:t>
              </w:r>
            </w:hyperlink>
          </w:p>
        </w:tc>
        <w:tc>
          <w:tcPr>
            <w:tcW w:w="620" w:type="dxa"/>
            <w:vAlign w:val="bottom"/>
            <w:gridSpan w:val="8"/>
          </w:tcPr>
          <w:p>
            <w:pPr>
              <w:spacing w:after="0"/>
              <w:rPr>
                <w:sz w:val="16"/>
                <w:szCs w:val="16"/>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60" w:type="dxa"/>
            <w:vAlign w:val="bottom"/>
            <w:gridSpan w:val="21"/>
          </w:tcPr>
          <w:p>
            <w:pPr>
              <w:spacing w:after="0" w:line="194"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registration statement on Form F-1 (File No. 333-253575), as amended, initially filed with the</w:t>
              </w:r>
            </w:hyperlink>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SEC on February 26, 2021)</w:t>
              </w:r>
            </w:hyperlink>
          </w:p>
        </w:tc>
        <w:tc>
          <w:tcPr>
            <w:tcW w:w="4960" w:type="dxa"/>
            <w:vAlign w:val="bottom"/>
            <w:tcBorders>
              <w:top w:val="single" w:sz="8" w:color="0000EE"/>
            </w:tcBorders>
            <w:gridSpan w:val="12"/>
          </w:tcPr>
          <w:p>
            <w:pPr>
              <w:spacing w:after="0"/>
              <w:rPr>
                <w:sz w:val="16"/>
                <w:szCs w:val="16"/>
                <w:color w:val="auto"/>
              </w:rPr>
            </w:pPr>
          </w:p>
        </w:tc>
        <w:tc>
          <w:tcPr>
            <w:tcW w:w="240" w:type="dxa"/>
            <w:vAlign w:val="bottom"/>
            <w:gridSpan w:val="6"/>
          </w:tcPr>
          <w:p>
            <w:pPr>
              <w:spacing w:after="0"/>
              <w:rPr>
                <w:sz w:val="16"/>
                <w:szCs w:val="16"/>
                <w:color w:val="auto"/>
              </w:rPr>
            </w:pPr>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712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Opinion of Maples and Calder (Hong Kong) LLP regarding the validity of the Class A ordinary</w:t>
              </w:r>
            </w:hyperlink>
          </w:p>
        </w:tc>
        <w:tc>
          <w:tcPr>
            <w:tcW w:w="140" w:type="dxa"/>
            <w:vAlign w:val="bottom"/>
            <w:gridSpan w:val="2"/>
          </w:tcPr>
          <w:p>
            <w:pPr>
              <w:spacing w:after="0"/>
              <w:rPr>
                <w:sz w:val="21"/>
                <w:szCs w:val="21"/>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00" w:type="dxa"/>
            <w:vAlign w:val="bottom"/>
            <w:tcBorders>
              <w:bottom w:val="single" w:sz="8" w:color="0000EE"/>
            </w:tcBorders>
            <w:gridSpan w:val="8"/>
          </w:tcPr>
          <w:p>
            <w:pPr>
              <w:spacing w:after="0" w:line="194"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shares being registered and certain Cayman Islands tax matters</w:t>
              </w:r>
            </w:hyperlink>
          </w:p>
        </w:tc>
        <w:tc>
          <w:tcPr>
            <w:tcW w:w="2560" w:type="dxa"/>
            <w:vAlign w:val="bottom"/>
            <w:gridSpan w:val="13"/>
          </w:tcPr>
          <w:p>
            <w:pPr>
              <w:spacing w:after="0"/>
              <w:rPr>
                <w:sz w:val="16"/>
                <w:szCs w:val="16"/>
                <w:color w:val="auto"/>
              </w:rPr>
            </w:pPr>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7260" w:type="dxa"/>
            <w:vAlign w:val="bottom"/>
            <w:gridSpan w:val="21"/>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Opinion of Maples and Calder (Hong Kong) LLP regarding certain Cayman Islands tax matters</w:t>
              </w:r>
            </w:hyperlink>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(included in Exhibit 5.1)</w:t>
              </w:r>
            </w:hyperlink>
          </w:p>
        </w:tc>
        <w:tc>
          <w:tcPr>
            <w:tcW w:w="5260" w:type="dxa"/>
            <w:vAlign w:val="bottom"/>
            <w:tcBorders>
              <w:top w:val="single" w:sz="8" w:color="0000EE"/>
            </w:tcBorders>
            <w:gridSpan w:val="16"/>
          </w:tcPr>
          <w:p>
            <w:pPr>
              <w:spacing w:after="0"/>
              <w:rPr>
                <w:sz w:val="16"/>
                <w:szCs w:val="16"/>
                <w:color w:val="auto"/>
              </w:rPr>
            </w:pPr>
          </w:p>
        </w:tc>
        <w:tc>
          <w:tcPr>
            <w:tcW w:w="160" w:type="dxa"/>
            <w:vAlign w:val="bottom"/>
            <w:gridSpan w:val="3"/>
          </w:tcPr>
          <w:p>
            <w:pPr>
              <w:spacing w:after="0"/>
              <w:rPr>
                <w:sz w:val="16"/>
                <w:szCs w:val="16"/>
                <w:color w:val="auto"/>
              </w:rPr>
            </w:pPr>
          </w:p>
        </w:tc>
      </w:tr>
      <w:tr>
        <w:trPr>
          <w:trHeight w:val="260"/>
        </w:trPr>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2"/>
                <w:szCs w:val="22"/>
                <w:color w:val="auto"/>
              </w:rPr>
            </w:pPr>
          </w:p>
        </w:tc>
        <w:tc>
          <w:tcPr>
            <w:tcW w:w="726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Opinion of Jia Yuan Law Offices regarding certain PRC law matters</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r>
      <w:tr>
        <w:trPr>
          <w:trHeight w:val="234"/>
        </w:trPr>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65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Consent of PricewaterhouseCoopers Zhong Tian LLP, an independent registered public</w:t>
              </w:r>
            </w:hyperlink>
          </w:p>
        </w:tc>
        <w:tc>
          <w:tcPr>
            <w:tcW w:w="760" w:type="dxa"/>
            <w:vAlign w:val="bottom"/>
            <w:gridSpan w:val="9"/>
          </w:tcPr>
          <w:p>
            <w:pPr>
              <w:spacing w:after="0"/>
              <w:rPr>
                <w:sz w:val="20"/>
                <w:szCs w:val="20"/>
                <w:color w:val="auto"/>
              </w:rPr>
            </w:pPr>
          </w:p>
        </w:tc>
      </w:tr>
      <w:tr>
        <w:trPr>
          <w:trHeight w:val="193"/>
        </w:trPr>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60" w:type="dxa"/>
            <w:vAlign w:val="bottom"/>
            <w:gridSpan w:val="21"/>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accounting firm</w:t>
              </w:r>
            </w:hyperlink>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r>
      <w:tr>
        <w:trPr>
          <w:trHeight w:val="260"/>
        </w:trPr>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2"/>
                <w:szCs w:val="22"/>
                <w:color w:val="auto"/>
              </w:rPr>
            </w:pPr>
          </w:p>
        </w:tc>
        <w:tc>
          <w:tcPr>
            <w:tcW w:w="726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Consent of Maples and Calder (Hong Kong) LLP (included in Exhibit 5.1)</w:t>
              </w:r>
            </w:hyperlink>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43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Consent of Jia Yuan Law Offices (included in Exhibit 8.2)</w:t>
              </w:r>
            </w:hyperlink>
          </w:p>
        </w:tc>
        <w:tc>
          <w:tcPr>
            <w:tcW w:w="1200" w:type="dxa"/>
            <w:vAlign w:val="bottom"/>
            <w:tcBorders>
              <w:top w:val="single" w:sz="8" w:color="0000EE"/>
            </w:tcBorders>
            <w:gridSpan w:val="3"/>
          </w:tcPr>
          <w:p>
            <w:pPr>
              <w:spacing w:after="0"/>
              <w:rPr>
                <w:sz w:val="21"/>
                <w:szCs w:val="21"/>
                <w:color w:val="auto"/>
              </w:rPr>
            </w:pPr>
          </w:p>
        </w:tc>
        <w:tc>
          <w:tcPr>
            <w:tcW w:w="1700" w:type="dxa"/>
            <w:vAlign w:val="bottom"/>
            <w:gridSpan w:val="11"/>
          </w:tcPr>
          <w:p>
            <w:pPr>
              <w:spacing w:after="0"/>
              <w:rPr>
                <w:sz w:val="21"/>
                <w:szCs w:val="21"/>
                <w:color w:val="auto"/>
              </w:rPr>
            </w:pPr>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1"/>
                <w:szCs w:val="21"/>
                <w:color w:val="auto"/>
              </w:rPr>
            </w:pPr>
          </w:p>
        </w:tc>
        <w:tc>
          <w:tcPr>
            <w:tcW w:w="29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Consent of China Insights Consultancy</w:t>
              </w:r>
            </w:hyperlink>
          </w:p>
        </w:tc>
        <w:tc>
          <w:tcPr>
            <w:tcW w:w="4340" w:type="dxa"/>
            <w:vAlign w:val="bottom"/>
            <w:gridSpan w:val="16"/>
          </w:tcPr>
          <w:p>
            <w:pPr>
              <w:spacing w:after="0"/>
              <w:rPr>
                <w:sz w:val="21"/>
                <w:szCs w:val="21"/>
                <w:color w:val="auto"/>
              </w:rPr>
            </w:pPr>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40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Power of attorney (included on signature page hereof)</w:t>
              </w:r>
            </w:hyperlink>
          </w:p>
        </w:tc>
        <w:tc>
          <w:tcPr>
            <w:tcW w:w="3220" w:type="dxa"/>
            <w:vAlign w:val="bottom"/>
            <w:gridSpan w:val="15"/>
          </w:tcPr>
          <w:p>
            <w:pPr>
              <w:spacing w:after="0"/>
              <w:rPr>
                <w:sz w:val="21"/>
                <w:szCs w:val="21"/>
                <w:color w:val="auto"/>
              </w:rPr>
            </w:pPr>
          </w:p>
        </w:tc>
      </w:tr>
      <w:tr>
        <w:trPr>
          <w:trHeight w:val="247"/>
        </w:trPr>
        <w:tc>
          <w:tcPr>
            <w:tcW w:w="640" w:type="dxa"/>
            <w:vAlign w:val="bottom"/>
          </w:tcPr>
          <w:p>
            <w:pPr>
              <w:jc w:val="right"/>
              <w:spacing w:after="0"/>
              <w:rPr>
                <w:sz w:val="20"/>
                <w:szCs w:val="20"/>
                <w:color w:val="auto"/>
              </w:rPr>
            </w:pPr>
            <w:r>
              <w:rPr>
                <w:rFonts w:ascii="Arial" w:cs="Arial" w:eastAsia="Arial" w:hAnsi="Arial"/>
                <w:sz w:val="18"/>
                <w:szCs w:val="18"/>
                <w:color w:val="auto"/>
                <w:w w:val="98"/>
              </w:rPr>
              <w:t>107.1**</w:t>
            </w:r>
          </w:p>
        </w:tc>
        <w:tc>
          <w:tcPr>
            <w:tcW w:w="220" w:type="dxa"/>
            <w:vAlign w:val="bottom"/>
          </w:tcPr>
          <w:p>
            <w:pPr>
              <w:spacing w:after="0"/>
              <w:rPr>
                <w:sz w:val="21"/>
                <w:szCs w:val="21"/>
                <w:color w:val="auto"/>
              </w:rPr>
            </w:pPr>
          </w:p>
        </w:tc>
        <w:tc>
          <w:tcPr>
            <w:tcW w:w="23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Calculation of Filing Fee Table</w:t>
              </w:r>
            </w:hyperlink>
          </w:p>
        </w:tc>
        <w:tc>
          <w:tcPr>
            <w:tcW w:w="4920" w:type="dxa"/>
            <w:vAlign w:val="bottom"/>
            <w:gridSpan w:val="17"/>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169545</wp:posOffset>
            </wp:positionV>
            <wp:extent cx="1219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00" w:right="679" w:hanging="352"/>
        <w:spacing w:after="0" w:line="287" w:lineRule="auto"/>
        <w:tabs>
          <w:tab w:leader="none" w:pos="16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be filed as an exhibit to a post-effective amendment to this registration statement or as an exhibit to a report filed under the Securities Exchange Act of 1934 and incorporated herein by reference.</w:t>
      </w:r>
    </w:p>
    <w:p>
      <w:pPr>
        <w:spacing w:after="0" w:line="29" w:lineRule="exact"/>
        <w:rPr>
          <w:sz w:val="20"/>
          <w:szCs w:val="20"/>
          <w:color w:val="auto"/>
        </w:rPr>
      </w:pPr>
    </w:p>
    <w:p>
      <w:pPr>
        <w:ind w:left="1600" w:hanging="352"/>
        <w:spacing w:after="0"/>
        <w:tabs>
          <w:tab w:leader="none" w:pos="1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ind w:left="1240" w:right="1280" w:firstLine="356"/>
        <w:spacing w:after="0" w:line="23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Hangzhou, People’s Republic of China, on May 31, 2022.</w:t>
      </w:r>
    </w:p>
    <w:p>
      <w:pPr>
        <w:spacing w:after="0" w:line="11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Tuya Inc.</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38735</wp:posOffset>
            </wp:positionV>
            <wp:extent cx="2440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440305" cy="8255"/>
                    </a:xfrm>
                    <a:prstGeom prst="rect">
                      <a:avLst/>
                    </a:prstGeom>
                    <a:noFill/>
                  </pic:spPr>
                </pic:pic>
              </a:graphicData>
            </a:graphic>
          </wp:anchor>
        </w:drawing>
      </w:r>
    </w:p>
    <w:p>
      <w:pPr>
        <w:spacing w:after="0" w:line="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Xueji (Jerry) Wang</w:t>
      </w:r>
    </w:p>
    <w:p>
      <w:pPr>
        <w:spacing w:after="0" w:line="1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and Director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04" w:lineRule="exact"/>
        <w:rPr>
          <w:sz w:val="20"/>
          <w:szCs w:val="20"/>
          <w:color w:val="auto"/>
        </w:rPr>
      </w:pPr>
    </w:p>
    <w:p>
      <w:pPr>
        <w:ind w:left="1240" w:right="1360" w:firstLine="356"/>
        <w:spacing w:after="0" w:line="235" w:lineRule="auto"/>
        <w:rPr>
          <w:sz w:val="20"/>
          <w:szCs w:val="20"/>
          <w:color w:val="auto"/>
        </w:rPr>
      </w:pPr>
      <w:r>
        <w:rPr>
          <w:rFonts w:ascii="Arial" w:cs="Arial" w:eastAsia="Arial" w:hAnsi="Arial"/>
          <w:sz w:val="18"/>
          <w:szCs w:val="18"/>
          <w:color w:val="auto"/>
        </w:rPr>
        <w:t>Each person whose signature appears below constitutes and appoints Mr. Xueji (Jerry) Wang as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 hereby ratifying and confirming all that said attorney-in-fact and agent, or its substitute or substitutes, may lawfully do or cause to be done by virtue hereof.</w:t>
      </w:r>
    </w:p>
    <w:p>
      <w:pPr>
        <w:spacing w:after="0" w:line="73" w:lineRule="exact"/>
        <w:rPr>
          <w:sz w:val="20"/>
          <w:szCs w:val="20"/>
          <w:color w:val="auto"/>
        </w:rPr>
      </w:pPr>
    </w:p>
    <w:p>
      <w:pPr>
        <w:ind w:left="1240" w:right="1520" w:firstLine="356"/>
        <w:spacing w:after="0" w:line="254"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set forth below on May 31, 2022.</w:t>
      </w:r>
    </w:p>
    <w:p>
      <w:pPr>
        <w:spacing w:after="0" w:line="141" w:lineRule="exact"/>
        <w:rPr>
          <w:sz w:val="20"/>
          <w:szCs w:val="20"/>
          <w:color w:val="auto"/>
        </w:rPr>
      </w:pPr>
    </w:p>
    <w:p>
      <w:pPr>
        <w:ind w:left="2780"/>
        <w:spacing w:after="0"/>
        <w:tabs>
          <w:tab w:leader="none" w:pos="7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81915</wp:posOffset>
            </wp:positionV>
            <wp:extent cx="51511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151120" cy="8255"/>
                    </a:xfrm>
                    <a:prstGeom prst="rect">
                      <a:avLst/>
                    </a:prstGeom>
                    <a:noFill/>
                  </pic:spPr>
                </pic:pic>
              </a:graphicData>
            </a:graphic>
          </wp:anchor>
        </w:drawing>
      </w:r>
    </w:p>
    <w:p>
      <w:pPr>
        <w:sectPr>
          <w:pgSz w:w="11900" w:h="16838" w:orient="portrait"/>
          <w:cols w:equalWidth="0" w:num="1">
            <w:col w:w="10600"/>
          </w:cols>
          <w:pgMar w:left="640" w:top="132" w:right="6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left="1720"/>
        <w:spacing w:after="0"/>
        <w:rPr>
          <w:sz w:val="20"/>
          <w:szCs w:val="20"/>
          <w:color w:val="auto"/>
        </w:rPr>
      </w:pPr>
      <w:r>
        <w:rPr>
          <w:rFonts w:ascii="Arial" w:cs="Arial" w:eastAsia="Arial" w:hAnsi="Arial"/>
          <w:sz w:val="17"/>
          <w:szCs w:val="17"/>
          <w:color w:val="auto"/>
        </w:rPr>
        <w:t>/s/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37465</wp:posOffset>
            </wp:positionV>
            <wp:extent cx="2304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Xueji (Jerry) Wang</w:t>
      </w:r>
    </w:p>
    <w:p>
      <w:pPr>
        <w:spacing w:after="0" w:line="140" w:lineRule="exact"/>
        <w:rPr>
          <w:sz w:val="20"/>
          <w:szCs w:val="20"/>
          <w:color w:val="auto"/>
        </w:rPr>
      </w:pPr>
    </w:p>
    <w:p>
      <w:pPr>
        <w:jc w:val="center"/>
        <w:ind w:left="1720"/>
        <w:spacing w:after="0"/>
        <w:rPr>
          <w:sz w:val="20"/>
          <w:szCs w:val="20"/>
          <w:color w:val="auto"/>
        </w:rPr>
      </w:pPr>
      <w:r>
        <w:rPr>
          <w:rFonts w:ascii="Arial" w:cs="Arial" w:eastAsia="Arial" w:hAnsi="Arial"/>
          <w:sz w:val="16"/>
          <w:szCs w:val="16"/>
          <w:color w:val="auto"/>
        </w:rPr>
        <w:t>/s/ Liaohan (Leo)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45085</wp:posOffset>
            </wp:positionV>
            <wp:extent cx="2304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76"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Liaohan (Leo) Chen</w:t>
      </w:r>
    </w:p>
    <w:p>
      <w:pPr>
        <w:spacing w:after="0" w:line="140"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Yi (Alex)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30480</wp:posOffset>
            </wp:positionV>
            <wp:extent cx="23044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53"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Yi (Alex) Yang</w:t>
      </w:r>
    </w:p>
    <w:p>
      <w:pPr>
        <w:spacing w:after="0" w:line="153"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 Yao (Jessie)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30480</wp:posOffset>
            </wp:positionV>
            <wp:extent cx="2304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53"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Yao (Jessie) Liu</w:t>
      </w:r>
    </w:p>
    <w:p>
      <w:pPr>
        <w:spacing w:after="0" w:line="153" w:lineRule="exact"/>
        <w:rPr>
          <w:sz w:val="20"/>
          <w:szCs w:val="20"/>
          <w:color w:val="auto"/>
        </w:rPr>
      </w:pPr>
    </w:p>
    <w:p>
      <w:pPr>
        <w:jc w:val="center"/>
        <w:ind w:left="1720"/>
        <w:spacing w:after="0"/>
        <w:rPr>
          <w:sz w:val="20"/>
          <w:szCs w:val="20"/>
          <w:color w:val="auto"/>
        </w:rPr>
      </w:pPr>
      <w:r>
        <w:rPr>
          <w:rFonts w:ascii="Arial" w:cs="Arial" w:eastAsia="Arial" w:hAnsi="Arial"/>
          <w:sz w:val="17"/>
          <w:szCs w:val="17"/>
          <w:color w:val="auto"/>
        </w:rPr>
        <w:t>/s/ Scott David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37465</wp:posOffset>
            </wp:positionV>
            <wp:extent cx="2304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65"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Scott David Sandell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Chief Executive Officer, Director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(principal executive officer)</w:t>
      </w:r>
    </w:p>
    <w:p>
      <w:pPr>
        <w:spacing w:after="0" w:line="204"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President, Director</w:t>
      </w:r>
    </w:p>
    <w:p>
      <w:pPr>
        <w:spacing w:after="0" w:line="200" w:lineRule="exact"/>
        <w:rPr>
          <w:sz w:val="20"/>
          <w:szCs w:val="20"/>
          <w:color w:val="auto"/>
        </w:rPr>
      </w:pPr>
    </w:p>
    <w:p>
      <w:pPr>
        <w:spacing w:after="0" w:line="220"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Chief Operation Officer, Director</w:t>
      </w:r>
    </w:p>
    <w:p>
      <w:pPr>
        <w:spacing w:after="0" w:line="200" w:lineRule="exact"/>
        <w:rPr>
          <w:sz w:val="20"/>
          <w:szCs w:val="20"/>
          <w:color w:val="auto"/>
        </w:rPr>
      </w:pPr>
    </w:p>
    <w:p>
      <w:pPr>
        <w:spacing w:after="0" w:line="233" w:lineRule="exact"/>
        <w:rPr>
          <w:sz w:val="20"/>
          <w:szCs w:val="20"/>
          <w:color w:val="auto"/>
        </w:rPr>
      </w:pPr>
    </w:p>
    <w:p>
      <w:pPr>
        <w:jc w:val="center"/>
        <w:ind w:right="1320"/>
        <w:spacing w:after="0"/>
        <w:rPr>
          <w:sz w:val="20"/>
          <w:szCs w:val="20"/>
          <w:color w:val="auto"/>
        </w:rPr>
      </w:pPr>
      <w:r>
        <w:rPr>
          <w:rFonts w:ascii="Arial" w:cs="Arial" w:eastAsia="Arial" w:hAnsi="Arial"/>
          <w:sz w:val="17"/>
          <w:szCs w:val="17"/>
          <w:color w:val="auto"/>
        </w:rPr>
        <w:t>Chief Financial Officer, Senior Vice President, Director</w:t>
      </w:r>
    </w:p>
    <w:p>
      <w:pPr>
        <w:spacing w:after="0" w:line="21"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(principal financial and accounting officer)</w:t>
      </w:r>
    </w:p>
    <w:p>
      <w:pPr>
        <w:spacing w:after="0" w:line="217"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Director</w:t>
      </w:r>
    </w:p>
    <w:p>
      <w:pPr>
        <w:spacing w:after="0" w:line="433" w:lineRule="exact"/>
        <w:rPr>
          <w:sz w:val="20"/>
          <w:szCs w:val="20"/>
          <w:color w:val="auto"/>
        </w:rPr>
      </w:pPr>
    </w:p>
    <w:p>
      <w:pPr>
        <w:sectPr>
          <w:pgSz w:w="11900" w:h="16838" w:orient="portrait"/>
          <w:cols w:equalWidth="0" w:num="2">
            <w:col w:w="4400" w:space="720"/>
            <w:col w:w="5480"/>
          </w:cols>
          <w:pgMar w:left="640" w:top="132" w:right="65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124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/s/ Carmen I-Hua Chang</w:t>
            </w:r>
          </w:p>
        </w:tc>
        <w:tc>
          <w:tcPr>
            <w:tcW w:w="5720" w:type="dxa"/>
            <w:vAlign w:val="bottom"/>
          </w:tcPr>
          <w:p>
            <w:pPr>
              <w:ind w:left="2040"/>
              <w:spacing w:after="0"/>
              <w:rPr>
                <w:sz w:val="20"/>
                <w:szCs w:val="20"/>
                <w:color w:val="auto"/>
              </w:rPr>
            </w:pPr>
            <w:r>
              <w:rPr>
                <w:rFonts w:ascii="Arial" w:cs="Arial" w:eastAsia="Arial" w:hAnsi="Arial"/>
                <w:sz w:val="18"/>
                <w:szCs w:val="18"/>
                <w:color w:val="auto"/>
              </w:rPr>
              <w:t>Director</w:t>
            </w:r>
          </w:p>
        </w:tc>
      </w:tr>
      <w:tr>
        <w:trPr>
          <w:trHeight w:val="28"/>
        </w:trPr>
        <w:tc>
          <w:tcPr>
            <w:tcW w:w="12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32"/>
        </w:trPr>
        <w:tc>
          <w:tcPr>
            <w:tcW w:w="1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Carmen I-Hua Chang</w:t>
            </w:r>
          </w:p>
        </w:tc>
        <w:tc>
          <w:tcPr>
            <w:tcW w:w="5720" w:type="dxa"/>
            <w:vAlign w:val="bottom"/>
          </w:tcPr>
          <w:p>
            <w:pPr>
              <w:spacing w:after="0"/>
              <w:rPr>
                <w:sz w:val="20"/>
                <w:szCs w:val="20"/>
                <w:color w:val="auto"/>
              </w:rPr>
            </w:pPr>
          </w:p>
        </w:tc>
      </w:tr>
      <w:tr>
        <w:trPr>
          <w:trHeight w:val="360"/>
        </w:trPr>
        <w:tc>
          <w:tcPr>
            <w:tcW w:w="12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7"/>
              </w:rPr>
              <w:t>/s/ Jeff R. Immelt</w:t>
            </w:r>
          </w:p>
        </w:tc>
        <w:tc>
          <w:tcPr>
            <w:tcW w:w="5720" w:type="dxa"/>
            <w:vAlign w:val="bottom"/>
          </w:tcPr>
          <w:p>
            <w:pPr>
              <w:ind w:left="2040"/>
              <w:spacing w:after="0"/>
              <w:rPr>
                <w:sz w:val="20"/>
                <w:szCs w:val="20"/>
                <w:color w:val="auto"/>
              </w:rPr>
            </w:pPr>
            <w:r>
              <w:rPr>
                <w:rFonts w:ascii="Arial" w:cs="Arial" w:eastAsia="Arial" w:hAnsi="Arial"/>
                <w:sz w:val="18"/>
                <w:szCs w:val="18"/>
                <w:color w:val="auto"/>
              </w:rPr>
              <w:t>Director</w:t>
            </w:r>
          </w:p>
        </w:tc>
      </w:tr>
      <w:tr>
        <w:trPr>
          <w:trHeight w:val="28"/>
        </w:trPr>
        <w:tc>
          <w:tcPr>
            <w:tcW w:w="12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32"/>
        </w:trPr>
        <w:tc>
          <w:tcPr>
            <w:tcW w:w="1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7"/>
              </w:rPr>
              <w:t>Jeff R. Immelt</w:t>
            </w:r>
          </w:p>
        </w:tc>
        <w:tc>
          <w:tcPr>
            <w:tcW w:w="5720" w:type="dxa"/>
            <w:vAlign w:val="bottom"/>
          </w:tcPr>
          <w:p>
            <w:pPr>
              <w:spacing w:after="0"/>
              <w:rPr>
                <w:sz w:val="20"/>
                <w:szCs w:val="20"/>
                <w:color w:val="auto"/>
              </w:rPr>
            </w:pPr>
          </w:p>
        </w:tc>
      </w:tr>
      <w:tr>
        <w:trPr>
          <w:trHeight w:val="360"/>
        </w:trPr>
        <w:tc>
          <w:tcPr>
            <w:tcW w:w="12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/s/ Qing Gao</w:t>
            </w:r>
          </w:p>
        </w:tc>
        <w:tc>
          <w:tcPr>
            <w:tcW w:w="5720" w:type="dxa"/>
            <w:vAlign w:val="bottom"/>
          </w:tcPr>
          <w:p>
            <w:pPr>
              <w:ind w:left="2040"/>
              <w:spacing w:after="0"/>
              <w:rPr>
                <w:sz w:val="20"/>
                <w:szCs w:val="20"/>
                <w:color w:val="auto"/>
              </w:rPr>
            </w:pPr>
            <w:r>
              <w:rPr>
                <w:rFonts w:ascii="Arial" w:cs="Arial" w:eastAsia="Arial" w:hAnsi="Arial"/>
                <w:sz w:val="18"/>
                <w:szCs w:val="18"/>
                <w:color w:val="auto"/>
              </w:rPr>
              <w:t>Director</w:t>
            </w:r>
          </w:p>
        </w:tc>
      </w:tr>
      <w:tr>
        <w:trPr>
          <w:trHeight w:val="28"/>
        </w:trPr>
        <w:tc>
          <w:tcPr>
            <w:tcW w:w="12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32"/>
        </w:trPr>
        <w:tc>
          <w:tcPr>
            <w:tcW w:w="1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Qing Gao</w:t>
            </w:r>
          </w:p>
        </w:tc>
        <w:tc>
          <w:tcPr>
            <w:tcW w:w="5720" w:type="dxa"/>
            <w:vAlign w:val="bottom"/>
          </w:tcPr>
          <w:p>
            <w:pPr>
              <w:spacing w:after="0"/>
              <w:rPr>
                <w:sz w:val="20"/>
                <w:szCs w:val="20"/>
                <w:color w:val="auto"/>
              </w:rPr>
            </w:pPr>
          </w:p>
        </w:tc>
      </w:tr>
      <w:tr>
        <w:trPr>
          <w:trHeight w:val="360"/>
        </w:trPr>
        <w:tc>
          <w:tcPr>
            <w:tcW w:w="124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/s/ Jing Hong</w:t>
            </w:r>
          </w:p>
        </w:tc>
        <w:tc>
          <w:tcPr>
            <w:tcW w:w="5720" w:type="dxa"/>
            <w:vAlign w:val="bottom"/>
          </w:tcPr>
          <w:p>
            <w:pPr>
              <w:ind w:left="2040"/>
              <w:spacing w:after="0"/>
              <w:rPr>
                <w:sz w:val="20"/>
                <w:szCs w:val="20"/>
                <w:color w:val="auto"/>
              </w:rPr>
            </w:pPr>
            <w:r>
              <w:rPr>
                <w:rFonts w:ascii="Arial" w:cs="Arial" w:eastAsia="Arial" w:hAnsi="Arial"/>
                <w:sz w:val="18"/>
                <w:szCs w:val="18"/>
                <w:color w:val="auto"/>
              </w:rPr>
              <w:t>Director</w:t>
            </w:r>
          </w:p>
        </w:tc>
      </w:tr>
      <w:tr>
        <w:trPr>
          <w:trHeight w:val="28"/>
        </w:trPr>
        <w:tc>
          <w:tcPr>
            <w:tcW w:w="12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r>
      <w:tr>
        <w:trPr>
          <w:trHeight w:val="232"/>
        </w:trPr>
        <w:tc>
          <w:tcPr>
            <w:tcW w:w="124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Jing Hong</w:t>
            </w:r>
          </w:p>
        </w:tc>
        <w:tc>
          <w:tcPr>
            <w:tcW w:w="5720" w:type="dxa"/>
            <w:vAlign w:val="bottom"/>
          </w:tcPr>
          <w:p>
            <w:pPr>
              <w:spacing w:after="0"/>
              <w:rPr>
                <w:sz w:val="20"/>
                <w:szCs w:val="20"/>
                <w:color w:val="auto"/>
              </w:rPr>
            </w:pPr>
          </w:p>
        </w:tc>
      </w:tr>
      <w:tr>
        <w:trPr>
          <w:trHeight w:val="627"/>
        </w:trPr>
        <w:tc>
          <w:tcPr>
            <w:tcW w:w="1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720" w:type="dxa"/>
            <w:vAlign w:val="bottom"/>
          </w:tcPr>
          <w:p>
            <w:pPr>
              <w:ind w:left="260"/>
              <w:spacing w:after="0"/>
              <w:rPr>
                <w:sz w:val="20"/>
                <w:szCs w:val="20"/>
                <w:color w:val="auto"/>
              </w:rPr>
            </w:pPr>
            <w:r>
              <w:rPr>
                <w:rFonts w:ascii="Arial" w:cs="Arial" w:eastAsia="Arial" w:hAnsi="Arial"/>
                <w:sz w:val="18"/>
                <w:szCs w:val="18"/>
                <w:color w:val="auto"/>
              </w:rPr>
              <w:t>II-5</w:t>
            </w:r>
          </w:p>
        </w:tc>
      </w:tr>
      <w:tr>
        <w:trPr>
          <w:trHeight w:val="395"/>
        </w:trPr>
        <w:tc>
          <w:tcPr>
            <w:tcW w:w="12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600"/>
          </w:cols>
          <w:pgMar w:left="640" w:top="132" w:right="659"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144" w:lineRule="exact"/>
        <w:rPr>
          <w:sz w:val="20"/>
          <w:szCs w:val="20"/>
          <w:color w:val="auto"/>
        </w:rPr>
      </w:pPr>
    </w:p>
    <w:p>
      <w:pPr>
        <w:ind w:left="1240" w:right="519" w:firstLine="356"/>
        <w:spacing w:after="0" w:line="258"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Tuya Inc. has signed this registration statement or amendment thereto in New York on May 31, 2022.</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Authorized U.S. Representative</w:t>
      </w:r>
    </w:p>
    <w:p>
      <w:pPr>
        <w:spacing w:after="0" w:line="10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Cogency Global Inc.</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46990</wp:posOffset>
            </wp:positionV>
            <wp:extent cx="2440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440305" cy="8255"/>
                    </a:xfrm>
                    <a:prstGeom prst="rect">
                      <a:avLst/>
                    </a:prstGeom>
                    <a:noFill/>
                  </pic:spPr>
                </pic:pic>
              </a:graphicData>
            </a:graphic>
          </wp:anchor>
        </w:drawing>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Colleen A. De Vries</w:t>
      </w:r>
    </w:p>
    <w:p>
      <w:pPr>
        <w:spacing w:after="0" w:line="19" w:lineRule="exact"/>
        <w:rPr>
          <w:sz w:val="20"/>
          <w:szCs w:val="20"/>
          <w:color w:val="auto"/>
        </w:rPr>
      </w:pPr>
    </w:p>
    <w:p>
      <w:pPr>
        <w:jc w:val="right"/>
        <w:ind w:right="459"/>
        <w:spacing w:after="0"/>
        <w:tabs>
          <w:tab w:leader="none" w:pos="3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 Cogency</w:t>
      </w:r>
    </w:p>
    <w:p>
      <w:pPr>
        <w:spacing w:after="0" w:line="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246380</wp:posOffset>
            </wp:positionV>
            <wp:extent cx="67525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752590" cy="42545"/>
                    </a:xfrm>
                    <a:prstGeom prst="rect">
                      <a:avLst/>
                    </a:prstGeom>
                    <a:noFill/>
                  </pic:spPr>
                </pic:pic>
              </a:graphicData>
            </a:graphic>
          </wp:anchor>
        </w:drawing>
      </w:r>
    </w:p>
    <w:p>
      <w:pPr>
        <w:sectPr>
          <w:pgSz w:w="11900" w:h="16838" w:orient="portrait"/>
          <w:cols w:equalWidth="0" w:num="1">
            <w:col w:w="9819"/>
          </w:cols>
          <w:pgMar w:left="640" w:top="131"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813435" cy="770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813435" cy="77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Our ref</w:t>
      </w:r>
      <w:r>
        <w:rPr>
          <w:sz w:val="20"/>
          <w:szCs w:val="20"/>
          <w:color w:val="auto"/>
        </w:rPr>
        <w:tab/>
      </w:r>
      <w:r>
        <w:rPr>
          <w:rFonts w:ascii="Arial" w:cs="Arial" w:eastAsia="Arial" w:hAnsi="Arial"/>
          <w:sz w:val="16"/>
          <w:szCs w:val="16"/>
          <w:color w:val="auto"/>
        </w:rPr>
        <w:t>VSL/796278-000001/23721338v4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Tuya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10/F, Building A, Huace Center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Xihu District, Hangzhou City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Zhejiang, 310012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31 May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Tuya Inc.</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acted as Cayman Islands legal advisers to Tuya Inc.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F-3, including all amendments or supplements thereto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under the U.S. Securities Act of 1933, as amended to date relating to the offering by the Company of certain of the Company's class A ordinary shares of par value US$0.00005 each (the "</w:t>
      </w:r>
      <w:r>
        <w:rPr>
          <w:rFonts w:ascii="Arial" w:cs="Arial" w:eastAsia="Arial" w:hAnsi="Arial"/>
          <w:sz w:val="17"/>
          <w:szCs w:val="17"/>
          <w:b w:val="1"/>
          <w:bCs w:val="1"/>
          <w:color w:val="auto"/>
        </w:rPr>
        <w:t>Shares</w:t>
      </w:r>
      <w:r>
        <w:rPr>
          <w:rFonts w:ascii="Arial" w:cs="Arial" w:eastAsia="Arial" w:hAnsi="Arial"/>
          <w:sz w:val="17"/>
          <w:szCs w:val="17"/>
          <w:color w:val="auto"/>
        </w:rPr>
        <w:t>"), including Shares represented by American depositary shares (the "</w:t>
      </w:r>
      <w:r>
        <w:rPr>
          <w:rFonts w:ascii="Arial" w:cs="Arial" w:eastAsia="Arial" w:hAnsi="Arial"/>
          <w:sz w:val="17"/>
          <w:szCs w:val="17"/>
          <w:b w:val="1"/>
          <w:bCs w:val="1"/>
          <w:color w:val="auto"/>
        </w:rPr>
        <w:t>ADSs</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are furnishing this opinion as Exhibits 5.1, 8.1 and 23.2 to the Registration Statement.</w:t>
      </w:r>
    </w:p>
    <w:p>
      <w:pPr>
        <w:spacing w:after="0" w:line="216" w:lineRule="exact"/>
        <w:rPr>
          <w:sz w:val="20"/>
          <w:szCs w:val="20"/>
          <w:color w:val="auto"/>
        </w:rPr>
      </w:pPr>
    </w:p>
    <w:p>
      <w:pPr>
        <w:ind w:left="640" w:hanging="633"/>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opinion, we have reviewed only originals, copies or final drafts of the following documents: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 of dated 28 August 2014 issued by the Registrar of Companies in the Cayman Islands.</w:t>
      </w:r>
    </w:p>
    <w:p>
      <w:pPr>
        <w:spacing w:after="0" w:line="220"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eighth amended and restated memorandum and articles of association of the Company as adopted by a special resolution passed on 21 February 2021 and effective immediately prior to the completion of the Company's initial public offering of ADSs representing its Shares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82" w:lineRule="exact"/>
        <w:rPr>
          <w:sz w:val="20"/>
          <w:szCs w:val="20"/>
          <w:color w:val="auto"/>
        </w:rPr>
      </w:pPr>
    </w:p>
    <w:p>
      <w:pPr>
        <w:jc w:val="both"/>
        <w:ind w:left="640" w:hanging="639"/>
        <w:spacing w:after="0" w:line="283"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The minutes (the "</w:t>
      </w:r>
      <w:r>
        <w:rPr>
          <w:rFonts w:ascii="Arial" w:cs="Arial" w:eastAsia="Arial" w:hAnsi="Arial"/>
          <w:sz w:val="17"/>
          <w:szCs w:val="17"/>
          <w:b w:val="1"/>
          <w:bCs w:val="1"/>
          <w:color w:val="auto"/>
        </w:rPr>
        <w:t>January Minutes</w:t>
      </w:r>
      <w:r>
        <w:rPr>
          <w:rFonts w:ascii="Arial" w:cs="Arial" w:eastAsia="Arial" w:hAnsi="Arial"/>
          <w:sz w:val="17"/>
          <w:szCs w:val="17"/>
          <w:color w:val="auto"/>
        </w:rPr>
        <w:t>") of the meeting of the board of directors of the Company held on 22 January 2022 (the "</w:t>
      </w:r>
      <w:r>
        <w:rPr>
          <w:rFonts w:ascii="Arial" w:cs="Arial" w:eastAsia="Arial" w:hAnsi="Arial"/>
          <w:sz w:val="17"/>
          <w:szCs w:val="17"/>
          <w:b w:val="1"/>
          <w:bCs w:val="1"/>
          <w:color w:val="auto"/>
        </w:rPr>
        <w:t>January Meeting</w:t>
      </w:r>
      <w:r>
        <w:rPr>
          <w:rFonts w:ascii="Arial" w:cs="Arial" w:eastAsia="Arial" w:hAnsi="Arial"/>
          <w:sz w:val="17"/>
          <w:szCs w:val="17"/>
          <w:color w:val="auto"/>
        </w:rPr>
        <w:t>") and the minutes (the "</w:t>
      </w:r>
      <w:r>
        <w:rPr>
          <w:rFonts w:ascii="Arial" w:cs="Arial" w:eastAsia="Arial" w:hAnsi="Arial"/>
          <w:sz w:val="17"/>
          <w:szCs w:val="17"/>
          <w:b w:val="1"/>
          <w:bCs w:val="1"/>
          <w:color w:val="auto"/>
        </w:rPr>
        <w:t>May Minutes</w:t>
      </w:r>
      <w:r>
        <w:rPr>
          <w:rFonts w:ascii="Arial" w:cs="Arial" w:eastAsia="Arial" w:hAnsi="Arial"/>
          <w:sz w:val="17"/>
          <w:szCs w:val="17"/>
          <w:color w:val="auto"/>
        </w:rPr>
        <w:t>" and together with the January Minutes, the "</w:t>
      </w:r>
      <w:r>
        <w:rPr>
          <w:rFonts w:ascii="Arial" w:cs="Arial" w:eastAsia="Arial" w:hAnsi="Arial"/>
          <w:sz w:val="17"/>
          <w:szCs w:val="17"/>
          <w:b w:val="1"/>
          <w:bCs w:val="1"/>
          <w:color w:val="auto"/>
        </w:rPr>
        <w:t>Minutes</w:t>
      </w:r>
      <w:r>
        <w:rPr>
          <w:rFonts w:ascii="Arial" w:cs="Arial" w:eastAsia="Arial" w:hAnsi="Arial"/>
          <w:sz w:val="17"/>
          <w:szCs w:val="17"/>
          <w:color w:val="auto"/>
        </w:rPr>
        <w:t>") of the meeting of the board of directors of the Company held on 27 May 2022 (the "</w:t>
      </w:r>
      <w:r>
        <w:rPr>
          <w:rFonts w:ascii="Arial" w:cs="Arial" w:eastAsia="Arial" w:hAnsi="Arial"/>
          <w:sz w:val="17"/>
          <w:szCs w:val="17"/>
          <w:b w:val="1"/>
          <w:bCs w:val="1"/>
          <w:color w:val="auto"/>
        </w:rPr>
        <w:t>May Meeting</w:t>
      </w:r>
      <w:r>
        <w:rPr>
          <w:rFonts w:ascii="Arial" w:cs="Arial" w:eastAsia="Arial" w:hAnsi="Arial"/>
          <w:sz w:val="17"/>
          <w:szCs w:val="17"/>
          <w:color w:val="auto"/>
        </w:rPr>
        <w:t>" and together with the January Meeting, the "</w:t>
      </w:r>
      <w:r>
        <w:rPr>
          <w:rFonts w:ascii="Arial" w:cs="Arial" w:eastAsia="Arial" w:hAnsi="Arial"/>
          <w:sz w:val="17"/>
          <w:szCs w:val="17"/>
          <w:b w:val="1"/>
          <w:bCs w:val="1"/>
          <w:color w:val="auto"/>
        </w:rPr>
        <w:t>Meetings</w:t>
      </w:r>
      <w:r>
        <w:rPr>
          <w:rFonts w:ascii="Arial" w:cs="Arial" w:eastAsia="Arial" w:hAnsi="Arial"/>
          <w:sz w:val="17"/>
          <w:szCs w:val="17"/>
          <w:color w:val="auto"/>
        </w:rPr>
        <w: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hereto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220" w:lineRule="exact"/>
        <w:rPr>
          <w:sz w:val="20"/>
          <w:szCs w:val="20"/>
          <w:color w:val="auto"/>
        </w:rPr>
      </w:pPr>
    </w:p>
    <w:p>
      <w:pPr>
        <w:jc w:val="both"/>
        <w:ind w:left="640" w:right="20" w:hanging="639"/>
        <w:spacing w:after="0" w:line="274"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 certificate of good standing dated 7 March 2022, issued by the Registrar of Companies in the Cayman Islands (the "</w:t>
      </w:r>
      <w:r>
        <w:rPr>
          <w:rFonts w:ascii="Arial" w:cs="Arial" w:eastAsia="Arial" w:hAnsi="Arial"/>
          <w:sz w:val="18"/>
          <w:szCs w:val="18"/>
          <w:b w:val="1"/>
          <w:bCs w:val="1"/>
          <w:color w:val="auto"/>
        </w:rPr>
        <w:t>Certificate of Good</w:t>
      </w:r>
      <w:r>
        <w:rPr>
          <w:rFonts w:ascii="Arial" w:cs="Arial" w:eastAsia="Arial" w:hAnsi="Arial"/>
          <w:sz w:val="18"/>
          <w:szCs w:val="18"/>
          <w:color w:val="auto"/>
        </w:rPr>
        <w:t xml:space="preserve"> </w:t>
      </w:r>
      <w:r>
        <w:rPr>
          <w:rFonts w:ascii="Arial" w:cs="Arial" w:eastAsia="Arial" w:hAnsi="Arial"/>
          <w:sz w:val="18"/>
          <w:szCs w:val="18"/>
          <w:b w:val="1"/>
          <w:bCs w:val="1"/>
          <w:color w:val="auto"/>
        </w:rPr>
        <w:t>Standing</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2" w:name="page53"/>
    <w:bookmarkEnd w:id="52"/>
    <w:p>
      <w:pPr>
        <w:ind w:left="640" w:hanging="633"/>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Copies of documents, conformed copies or drafts of documents provided to us are true and complete copies of, or in the final forms of, the originals.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All signatures, initials and seals are genuine.</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is nothing under any law (other than the law of the Cayman Islands), which would or might affect the opinions set out below.</w:t>
      </w:r>
    </w:p>
    <w:p>
      <w:pPr>
        <w:spacing w:after="0" w:line="216" w:lineRule="exact"/>
        <w:rPr>
          <w:sz w:val="20"/>
          <w:szCs w:val="20"/>
          <w:color w:val="auto"/>
        </w:rPr>
      </w:pPr>
    </w:p>
    <w:p>
      <w:pPr>
        <w:ind w:left="640" w:hanging="633"/>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Based upon the foregoing and subject to the qualifications set out below and having regard to such legal considerations as we deem relevant, we are of the opinion that:</w:t>
      </w:r>
    </w:p>
    <w:p>
      <w:pPr>
        <w:spacing w:after="0" w:line="175" w:lineRule="exact"/>
        <w:rPr>
          <w:sz w:val="20"/>
          <w:szCs w:val="20"/>
          <w:color w:val="auto"/>
        </w:rPr>
      </w:pPr>
    </w:p>
    <w:p>
      <w:pPr>
        <w:jc w:val="both"/>
        <w:ind w:left="640" w:hanging="639"/>
        <w:spacing w:after="0" w:line="270"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75" w:lineRule="exact"/>
        <w:rPr>
          <w:sz w:val="20"/>
          <w:szCs w:val="20"/>
          <w:color w:val="auto"/>
        </w:rPr>
      </w:pPr>
    </w:p>
    <w:p>
      <w:pPr>
        <w:jc w:val="both"/>
        <w:ind w:left="640" w:hanging="639"/>
        <w:spacing w:after="0" w:line="255"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authorised share capital of the Company is US$50,000 divided into 1,000,000,00 ordinary shares of a par value of US$0.00005 each, comprising (a) 600,000,000 Class A Ordinary Shares of par value of US$0.00005 each, (b) 200,000,000 Class B Ordinary Shares of par value of US$0.00005 each, and (c) 200,000,000 shares of par value of US$0.00005 each of such class or classes (however designated) as the board of directors of the Company may determine in accordance with the Memorandum and Articles.</w:t>
      </w:r>
    </w:p>
    <w:p>
      <w:pPr>
        <w:spacing w:after="0" w:line="188" w:lineRule="exact"/>
        <w:rPr>
          <w:sz w:val="20"/>
          <w:szCs w:val="20"/>
          <w:color w:val="auto"/>
        </w:rPr>
      </w:pPr>
    </w:p>
    <w:p>
      <w:pPr>
        <w:jc w:val="both"/>
        <w:ind w:left="640" w:hanging="639"/>
        <w:spacing w:after="0" w:line="258"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issue and allotment of the Shares have been duly authorised and when allotted, issued and paid for as contemplated in the Registration Statement, the Shares will be legally issued and allotted, fully paid and non-assessable. As a matter of Cayman law, a share is only issued when it has been entered in the register of members (shareholders).</w:t>
      </w:r>
    </w:p>
    <w:p>
      <w:pPr>
        <w:spacing w:after="0" w:line="186" w:lineRule="exact"/>
        <w:rPr>
          <w:sz w:val="20"/>
          <w:szCs w:val="20"/>
          <w:color w:val="auto"/>
        </w:rPr>
      </w:pPr>
    </w:p>
    <w:p>
      <w:pPr>
        <w:jc w:val="both"/>
        <w:ind w:left="640" w:right="20" w:hanging="639"/>
        <w:spacing w:after="0" w:line="270"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statements under the caption "Taxation" in the prospectus forming part of the Registration Statement are accurate in so far as such statements are summaries of or relate to Cayman Islands law, and such statements constitute our opinion.</w:t>
      </w:r>
    </w:p>
    <w:p>
      <w:pPr>
        <w:spacing w:after="0" w:line="171" w:lineRule="exact"/>
        <w:rPr>
          <w:sz w:val="20"/>
          <w:szCs w:val="20"/>
          <w:color w:val="auto"/>
        </w:rPr>
      </w:pPr>
    </w:p>
    <w:p>
      <w:pPr>
        <w:ind w:left="640" w:hanging="633"/>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name under the headings "Enforceability of Civil Liabilities", "Taxation"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4" w:name="page55"/>
    <w:bookmarkEnd w:id="54"/>
    <w:p>
      <w:pPr>
        <w:ind w:left="3700"/>
        <w:spacing w:after="0"/>
        <w:rPr>
          <w:sz w:val="20"/>
          <w:szCs w:val="20"/>
          <w:color w:val="auto"/>
        </w:rPr>
      </w:pPr>
      <w:r>
        <w:rPr>
          <w:rFonts w:ascii="Arial" w:cs="Arial" w:eastAsia="Arial" w:hAnsi="Arial"/>
          <w:sz w:val="18"/>
          <w:szCs w:val="18"/>
          <w:b w:val="1"/>
          <w:bCs w:val="1"/>
          <w:color w:val="auto"/>
        </w:rPr>
        <w:t>Director's Certificate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1"/>
          <w:szCs w:val="21"/>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304800</wp:posOffset>
            </wp:positionV>
            <wp:extent cx="2719705" cy="593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719705"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北京</w:t>
      </w:r>
      <w:r>
        <w:rPr>
          <w:rFonts w:ascii="Arial" w:cs="Arial" w:eastAsia="Arial" w:hAnsi="Arial"/>
          <w:sz w:val="18"/>
          <w:szCs w:val="18"/>
          <w:color w:val="auto"/>
        </w:rPr>
        <w:t xml:space="preserve"> BEIJING·</w:t>
      </w:r>
      <w:r>
        <w:rPr>
          <w:rFonts w:ascii="SimSun" w:cs="SimSun" w:eastAsia="SimSun" w:hAnsi="SimSun"/>
          <w:sz w:val="18"/>
          <w:szCs w:val="18"/>
          <w:color w:val="auto"/>
        </w:rPr>
        <w:t>上海</w:t>
      </w:r>
      <w:r>
        <w:rPr>
          <w:rFonts w:ascii="Arial" w:cs="Arial" w:eastAsia="Arial" w:hAnsi="Arial"/>
          <w:sz w:val="18"/>
          <w:szCs w:val="18"/>
          <w:color w:val="auto"/>
        </w:rPr>
        <w:t xml:space="preserve"> SHANGHAI·</w:t>
      </w:r>
      <w:r>
        <w:rPr>
          <w:rFonts w:ascii="SimSun" w:cs="SimSun" w:eastAsia="SimSun" w:hAnsi="SimSun"/>
          <w:sz w:val="18"/>
          <w:szCs w:val="18"/>
          <w:color w:val="auto"/>
        </w:rPr>
        <w:t>深圳</w:t>
      </w:r>
      <w:r>
        <w:rPr>
          <w:rFonts w:ascii="Arial" w:cs="Arial" w:eastAsia="Arial" w:hAnsi="Arial"/>
          <w:sz w:val="18"/>
          <w:szCs w:val="18"/>
          <w:color w:val="auto"/>
        </w:rPr>
        <w:t xml:space="preserve"> SHENZHEN·</w:t>
      </w:r>
      <w:r>
        <w:rPr>
          <w:rFonts w:ascii="SimSun" w:cs="SimSun" w:eastAsia="SimSun" w:hAnsi="SimSun"/>
          <w:sz w:val="18"/>
          <w:szCs w:val="18"/>
          <w:color w:val="auto"/>
        </w:rPr>
        <w:t>香港</w:t>
      </w:r>
      <w:r>
        <w:rPr>
          <w:rFonts w:ascii="Arial" w:cs="Arial" w:eastAsia="Arial" w:hAnsi="Arial"/>
          <w:sz w:val="18"/>
          <w:szCs w:val="18"/>
          <w:color w:val="auto"/>
        </w:rPr>
        <w:t xml:space="preserve"> HONG KONG·</w:t>
      </w:r>
      <w:r>
        <w:rPr>
          <w:rFonts w:ascii="SimSun" w:cs="SimSun" w:eastAsia="SimSun" w:hAnsi="SimSun"/>
          <w:sz w:val="18"/>
          <w:szCs w:val="18"/>
          <w:color w:val="auto"/>
        </w:rPr>
        <w:t>广州</w:t>
      </w:r>
      <w:r>
        <w:rPr>
          <w:rFonts w:ascii="Arial" w:cs="Arial" w:eastAsia="Arial" w:hAnsi="Arial"/>
          <w:sz w:val="18"/>
          <w:szCs w:val="18"/>
          <w:color w:val="auto"/>
        </w:rPr>
        <w:t xml:space="preserve"> GUANGZHOU·</w:t>
      </w:r>
      <w:r>
        <w:rPr>
          <w:rFonts w:ascii="SimSun" w:cs="SimSun" w:eastAsia="SimSun" w:hAnsi="SimSun"/>
          <w:sz w:val="18"/>
          <w:szCs w:val="18"/>
          <w:color w:val="auto"/>
        </w:rPr>
        <w:t>西安</w:t>
      </w:r>
      <w:r>
        <w:rPr>
          <w:rFonts w:ascii="Arial" w:cs="Arial" w:eastAsia="Arial" w:hAnsi="Arial"/>
          <w:sz w:val="18"/>
          <w:szCs w:val="18"/>
          <w:color w:val="auto"/>
        </w:rPr>
        <w:t xml:space="preserve"> XI’AN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48260</wp:posOffset>
            </wp:positionV>
            <wp:extent cx="46431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4643120" cy="2540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31,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Tuya Inc.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PO Box 309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qualified lawyers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or “</w:t>
      </w:r>
      <w:r>
        <w:rPr>
          <w:rFonts w:ascii="Arial" w:cs="Arial" w:eastAsia="Arial" w:hAnsi="Arial"/>
          <w:sz w:val="18"/>
          <w:szCs w:val="18"/>
          <w:b w:val="1"/>
          <w:bCs w:val="1"/>
          <w:color w:val="auto"/>
        </w:rPr>
        <w:t>China</w:t>
      </w:r>
      <w:r>
        <w:rPr>
          <w:rFonts w:ascii="Arial" w:cs="Arial" w:eastAsia="Arial" w:hAnsi="Arial"/>
          <w:sz w:val="18"/>
          <w:szCs w:val="18"/>
          <w:color w:val="auto"/>
        </w:rPr>
        <w:t>”, for the purpose of this opinion only, the PRC shall not include the Hong Kong Special Administrative Region, the Macau Special Administrative Region and Taiwan) and as such are qualified to issue this opinion on the laws and regulations of the PRC effective as of the date hereof.</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acted as the PRC counsel to the Company in connection with the Company’s registration statement on Form F-3 (including all 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U.S. Securities and Exchange Commission under the U.S. Securities Act of 1933 (as amended), relating to the proposed offering of certain of the Company’s Class A ordinary shares, par value US$0.00005 per share.</w:t>
      </w:r>
    </w:p>
    <w:p>
      <w:pPr>
        <w:spacing w:after="0" w:line="146" w:lineRule="exact"/>
        <w:rPr>
          <w:sz w:val="20"/>
          <w:szCs w:val="20"/>
          <w:color w:val="auto"/>
        </w:rPr>
      </w:pPr>
    </w:p>
    <w:p>
      <w:pPr>
        <w:ind w:left="440" w:hanging="433"/>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defined in the context of this opinion, the following capitalized terms used in this opinion are defined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8"/>
                <w:szCs w:val="18"/>
                <w:b w:val="1"/>
                <w:bCs w:val="1"/>
                <w:color w:val="auto"/>
              </w:rPr>
              <w:t>“Governmental Agency”</w:t>
            </w:r>
          </w:p>
        </w:tc>
        <w:tc>
          <w:tcPr>
            <w:tcW w:w="8500" w:type="dxa"/>
            <w:vAlign w:val="bottom"/>
          </w:tcPr>
          <w:p>
            <w:pPr>
              <w:ind w:left="860"/>
              <w:spacing w:after="0"/>
              <w:rPr>
                <w:sz w:val="20"/>
                <w:szCs w:val="20"/>
                <w:color w:val="auto"/>
              </w:rPr>
            </w:pPr>
            <w:r>
              <w:rPr>
                <w:rFonts w:ascii="Arial" w:cs="Arial" w:eastAsia="Arial" w:hAnsi="Arial"/>
                <w:sz w:val="18"/>
                <w:szCs w:val="18"/>
                <w:color w:val="auto"/>
                <w:w w:val="90"/>
              </w:rPr>
              <w:t>means any competent government authority, court, arbitration commission, or regulatory body of the PRC.</w:t>
            </w:r>
          </w:p>
        </w:tc>
        <w:tc>
          <w:tcPr>
            <w:tcW w:w="0" w:type="dxa"/>
            <w:vAlign w:val="bottom"/>
          </w:tcPr>
          <w:p>
            <w:pPr>
              <w:spacing w:after="0"/>
              <w:rPr>
                <w:sz w:val="1"/>
                <w:szCs w:val="1"/>
                <w:color w:val="auto"/>
              </w:rPr>
            </w:pPr>
          </w:p>
        </w:tc>
      </w:tr>
      <w:tr>
        <w:trPr>
          <w:trHeight w:val="213"/>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“PRC Laws”</w:t>
            </w:r>
          </w:p>
        </w:tc>
        <w:tc>
          <w:tcPr>
            <w:tcW w:w="8500" w:type="dxa"/>
            <w:vAlign w:val="bottom"/>
          </w:tcPr>
          <w:p>
            <w:pPr>
              <w:ind w:left="860"/>
              <w:spacing w:after="0"/>
              <w:rPr>
                <w:sz w:val="20"/>
                <w:szCs w:val="20"/>
                <w:color w:val="auto"/>
              </w:rPr>
            </w:pPr>
            <w:r>
              <w:rPr>
                <w:rFonts w:ascii="Arial" w:cs="Arial" w:eastAsia="Arial" w:hAnsi="Arial"/>
                <w:sz w:val="18"/>
                <w:szCs w:val="18"/>
                <w:color w:val="auto"/>
              </w:rPr>
              <w:t>“Governmental Agencies” shall be construed accordingly.</w:t>
            </w:r>
          </w:p>
        </w:tc>
        <w:tc>
          <w:tcPr>
            <w:tcW w:w="0" w:type="dxa"/>
            <w:vAlign w:val="bottom"/>
          </w:tcPr>
          <w:p>
            <w:pPr>
              <w:spacing w:after="0"/>
              <w:rPr>
                <w:sz w:val="1"/>
                <w:szCs w:val="1"/>
                <w:color w:val="auto"/>
              </w:rPr>
            </w:pPr>
          </w:p>
        </w:tc>
      </w:tr>
      <w:tr>
        <w:trPr>
          <w:trHeight w:val="213"/>
        </w:trPr>
        <w:tc>
          <w:tcPr>
            <w:tcW w:w="2740" w:type="dxa"/>
            <w:vAlign w:val="bottom"/>
            <w:vMerge w:val="continue"/>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w w:val="92"/>
              </w:rPr>
              <w:t>mean any and all laws, regulations, statutes, rules, orders, decrees, notices, judicial interpretations and</w:t>
            </w:r>
          </w:p>
        </w:tc>
        <w:tc>
          <w:tcPr>
            <w:tcW w:w="0" w:type="dxa"/>
            <w:vAlign w:val="bottom"/>
          </w:tcPr>
          <w:p>
            <w:pPr>
              <w:spacing w:after="0"/>
              <w:rPr>
                <w:sz w:val="1"/>
                <w:szCs w:val="1"/>
                <w:color w:val="auto"/>
              </w:rPr>
            </w:pPr>
          </w:p>
        </w:tc>
      </w:tr>
      <w:tr>
        <w:trPr>
          <w:trHeight w:val="226"/>
        </w:trPr>
        <w:tc>
          <w:tcPr>
            <w:tcW w:w="274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other legislation currently in force and publicly available in the PRC as of the date hereof.</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353"/>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opinion expressed below is subject to the following qualifications (the “</w:t>
      </w:r>
      <w:r>
        <w:rPr>
          <w:rFonts w:ascii="Arial" w:cs="Arial" w:eastAsia="Arial" w:hAnsi="Arial"/>
          <w:sz w:val="18"/>
          <w:szCs w:val="18"/>
          <w:b w:val="1"/>
          <w:bCs w:val="1"/>
          <w:color w:val="auto"/>
        </w:rPr>
        <w:t>Qualifications</w:t>
      </w:r>
      <w:r>
        <w:rPr>
          <w:rFonts w:ascii="Arial" w:cs="Arial" w:eastAsia="Arial" w:hAnsi="Arial"/>
          <w:sz w:val="18"/>
          <w:szCs w:val="18"/>
          <w:color w:val="auto"/>
        </w:rPr>
        <w:t>”):</w:t>
      </w:r>
    </w:p>
    <w:p>
      <w:pPr>
        <w:spacing w:after="0" w:line="224" w:lineRule="exact"/>
        <w:rPr>
          <w:sz w:val="20"/>
          <w:szCs w:val="20"/>
          <w:color w:val="auto"/>
        </w:rPr>
      </w:pPr>
    </w:p>
    <w:p>
      <w:pPr>
        <w:ind w:left="440" w:hanging="433"/>
        <w:spacing w:after="0" w:line="270"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opinion is limited to the PRC Laws of general application on the date hereof. We have made no investigation of, and do not express or imply any views on, the laws of any jurisdiction other than the PRC.</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6" w:name="page57"/>
    <w:bookmarkEnd w:id="56"/>
    <w:p>
      <w:pPr>
        <w:jc w:val="both"/>
        <w:ind w:left="440" w:hanging="433"/>
        <w:spacing w:after="0" w:line="25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PRC Laws referred to herein are laws and regulations publicly available and currently in force on the date hereof and there is no guarantee that any of such laws and regulations, or the interpretation or enforcement thereof, will not be changed, amended or revoked in the future with or without retrospective effect.</w:t>
      </w:r>
    </w:p>
    <w:p>
      <w:pPr>
        <w:spacing w:after="0" w:line="186" w:lineRule="exact"/>
        <w:rPr>
          <w:rFonts w:ascii="Arial" w:cs="Arial" w:eastAsia="Arial" w:hAnsi="Arial"/>
          <w:sz w:val="18"/>
          <w:szCs w:val="18"/>
          <w:color w:val="auto"/>
        </w:rPr>
      </w:pPr>
    </w:p>
    <w:p>
      <w:pPr>
        <w:jc w:val="both"/>
        <w:ind w:left="440" w:hanging="433"/>
        <w:spacing w:after="0" w:line="267"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opinion is subject to the effects of (a) certain legal or statutory principles affecting the enforceability of contractual rights generally under the concepts of public interest, social ethics, national security, good faith, fair dealing, and applicable statutes of limitation; (b) any circumstance in connection with formulation, execution or performance of any legal documents that would be deemed materially mistaken, clearly unconscionable, fraudulent, coercionary or concealing illegal intentions with a lawful form; (c) judicial discretion with respect to the availability of specific performance, injunctive relief, remedies or defenses, calculation of damages, entitlement to attorney’s fees and other costs, or waiver of immunity from jurisdiction of any court or from legal process; (d) applicable bankruptcy, insolvency, fraudulent transfer, reorganization, moratorium and similar laws of general applicability relating to or affecting creditors’ rights generally; and (e) the discretion of any competent PRC legislative, administrative or judicial bodies in exercising their authority in the PRC.</w:t>
      </w:r>
    </w:p>
    <w:p>
      <w:pPr>
        <w:spacing w:after="0" w:line="181" w:lineRule="exact"/>
        <w:rPr>
          <w:rFonts w:ascii="Arial" w:cs="Arial" w:eastAsia="Arial" w:hAnsi="Arial"/>
          <w:sz w:val="17"/>
          <w:szCs w:val="17"/>
          <w:color w:val="auto"/>
        </w:rPr>
      </w:pPr>
    </w:p>
    <w:p>
      <w:pPr>
        <w:jc w:val="both"/>
        <w:ind w:left="440" w:hanging="433"/>
        <w:spacing w:after="0" w:line="255"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opinion is issued based on our understanding of the current PRC Laws. For matters not explicitly provided under the current PRC Laws, the interpretation, implementation and application of the specific requirements under the PRC Laws are subject to the final discretion of competent PRC legislative, administrative and judicial authorities, and there can be no assurance that the Governmental Agencies will ultimately take a view that is not contrary to our opinion stated above.</w:t>
      </w:r>
    </w:p>
    <w:p>
      <w:pPr>
        <w:spacing w:after="0" w:line="187" w:lineRule="exact"/>
        <w:rPr>
          <w:rFonts w:ascii="Arial" w:cs="Arial" w:eastAsia="Arial" w:hAnsi="Arial"/>
          <w:sz w:val="18"/>
          <w:szCs w:val="18"/>
          <w:color w:val="auto"/>
        </w:rPr>
      </w:pPr>
    </w:p>
    <w:p>
      <w:pPr>
        <w:ind w:left="440" w:hanging="433"/>
        <w:spacing w:after="0" w:line="270"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rely, as to matters of fact (but not as to legal conclusions), to the extent we deem proper, on certificates and confirmations of responsible officers of the Company and PRC government officials.</w:t>
      </w:r>
    </w:p>
    <w:p>
      <w:pPr>
        <w:spacing w:after="0" w:line="174" w:lineRule="exact"/>
        <w:rPr>
          <w:rFonts w:ascii="Arial" w:cs="Arial" w:eastAsia="Arial" w:hAnsi="Arial"/>
          <w:sz w:val="18"/>
          <w:szCs w:val="18"/>
          <w:color w:val="auto"/>
        </w:rPr>
      </w:pPr>
    </w:p>
    <w:p>
      <w:pPr>
        <w:ind w:left="440" w:hanging="433"/>
        <w:spacing w:after="0" w:line="270"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opinion is intended to be used in the context which is specifically referred to herein and each section should be considered as a whole and no part should be extracted and referred to independently.</w:t>
      </w:r>
    </w:p>
    <w:p>
      <w:pPr>
        <w:spacing w:after="0" w:line="171" w:lineRule="exact"/>
        <w:rPr>
          <w:sz w:val="20"/>
          <w:szCs w:val="20"/>
          <w:color w:val="auto"/>
        </w:rPr>
      </w:pPr>
    </w:p>
    <w:p>
      <w:pPr>
        <w:ind w:left="440" w:hanging="433"/>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Qualifications and disclosures contained in the Registration Statement, we are of the opinion as of the date hereof that:</w:t>
      </w:r>
    </w:p>
    <w:p>
      <w:pPr>
        <w:spacing w:after="0" w:line="220" w:lineRule="exact"/>
        <w:rPr>
          <w:sz w:val="20"/>
          <w:szCs w:val="20"/>
          <w:color w:val="auto"/>
        </w:rPr>
      </w:pPr>
    </w:p>
    <w:p>
      <w:pPr>
        <w:jc w:val="both"/>
        <w:ind w:left="440" w:hanging="433"/>
        <w:spacing w:after="0" w:line="255"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 far as PRC Laws are concerned, the statements set forth under the caption “Item 10. Additional Information—10.E. Taxation—PRC” on Form 20-F filed with the SEC by the Company on April 28, 2022, which is incorporated in the Registration Statement by reference, and “Taxation” in the prospectus forming part of the Registration Statement, to the extent that the discussion states definitive legal conclusions under PRC tax laws and regulations, subject to the qualifications therein, constitute our opinion on such matters.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This opinion is delivered solely for the purpose of and in connection with the Registration Statement publicly submitted to the SEC on the date of this opinion and may not be used for any other purpose without our prior written consent.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use of our name under the captions “Enforceability of Civil Liabilities” and “Legal Matters” in the Registration Statement and applicable prospectus supplement and to the filing of this letter as an exhibit to the Registration Statement with the SEC. In giving such consent, we do not admit that we are in the category of persons whose consent is required under Section 7 of the Securities Act of 1933, as amended, or the regulations promulgated thereunder.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For and on behalf 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Jia Yuan Law Offices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Jia Yuan Law Offices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9"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hereby consent to the incorporation by reference in this Registration Statement on Form F-3 of Tuya Inc. of our report dated April 28, 2022 relating to the financial statements, which appears in Tuya Inc.’s Annual Report on Form 20-F for the year ended December 31, 2021.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610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96455" cy="61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Tuya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10/F, Building A, Huace Center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Xihu District, Hangzhou City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Zhejiang, 310012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 Tuya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understand that Tuya Inc. (the “Company”) plans to file a shelf registration statement on Form F-3 (the “Registration Statement”) with the United States Securities and Exchange Commission (the “SEC”).</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hereby consent to the references to our name and the inclusion of information, data and statements from our research reports and amendments thereto (collectively, the “Reports”), and any subsequent amendments to the Reports, as well as the citation of our research reports and amendments thereto, in the Registration Statement and any amendments thereto, in any other future filings with the SEC by the Company, including, without limitation, filings of prospectus supplements to the base prospectus included in the Registration Statement, annual reports on Form 20-F, current reports on 6-K, or other SEC filings (collectively, the “SEC Filings”), on the websites of the Company and its subsidiaries and affiliates, in institutional and retail road shows and other activities in connection with the Registration Statement (including any prospectus supplement thereto), and in other publicity materials.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further hereby consent to the filing of this letter as an exhibit to the Registration Statement and any amendments thereto and as an exhibit to any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950595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120015</wp:posOffset>
            </wp:positionV>
            <wp:extent cx="5380355" cy="372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380355" cy="3727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610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96455" cy="61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China Insights Industry Consultancy Limited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Leon Zhao</w:t>
      </w:r>
    </w:p>
    <w:p>
      <w:pPr>
        <w:spacing w:after="0" w:line="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Leon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5667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Title/Position: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937260</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140335</wp:posOffset>
            </wp:positionV>
            <wp:extent cx="5380355" cy="372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5380355" cy="3727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107.1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F-3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Tuya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N/A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Registered and Carry Forward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8"/>
              <w:spacing w:after="0"/>
              <w:rPr>
                <w:sz w:val="20"/>
                <w:szCs w:val="20"/>
                <w:color w:val="auto"/>
              </w:rPr>
            </w:pPr>
            <w:r>
              <w:rPr>
                <w:rFonts w:ascii="Arial" w:cs="Arial" w:eastAsia="Arial" w:hAnsi="Arial"/>
                <w:sz w:val="12"/>
                <w:szCs w:val="12"/>
                <w:b w:val="1"/>
                <w:bCs w:val="1"/>
                <w:color w:val="auto"/>
                <w:w w:val="96"/>
              </w:rPr>
              <w:t>Filing Fee</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18"/>
              <w:spacing w:after="0" w:line="134" w:lineRule="exact"/>
              <w:rPr>
                <w:sz w:val="20"/>
                <w:szCs w:val="20"/>
                <w:color w:val="auto"/>
              </w:rPr>
            </w:pPr>
            <w:r>
              <w:rPr>
                <w:rFonts w:ascii="Arial" w:cs="Arial" w:eastAsia="Arial" w:hAnsi="Arial"/>
                <w:sz w:val="12"/>
                <w:szCs w:val="12"/>
                <w:b w:val="1"/>
                <w:bCs w:val="1"/>
                <w:color w:val="auto"/>
                <w:w w:val="91"/>
              </w:rPr>
              <w:t>Previously Paid</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In Connection</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6"/>
              </w:rPr>
              <w:t>Fee</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0"/>
              </w:rPr>
              <w:t>Proposed</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Carry</w:t>
            </w: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4"/>
              </w:rPr>
              <w:t>with Unsold</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2"/>
              </w:rPr>
              <w:t>Security</w:t>
            </w: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Calculation</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rPr>
              <w:t>Maximum</w:t>
            </w:r>
          </w:p>
        </w:tc>
        <w:tc>
          <w:tcPr>
            <w:tcW w:w="1320" w:type="dxa"/>
            <w:vAlign w:val="bottom"/>
            <w:gridSpan w:val="3"/>
          </w:tcPr>
          <w:p>
            <w:pPr>
              <w:jc w:val="center"/>
              <w:ind w:right="160"/>
              <w:spacing w:after="0" w:line="134" w:lineRule="exact"/>
              <w:rPr>
                <w:sz w:val="20"/>
                <w:szCs w:val="20"/>
                <w:color w:val="auto"/>
              </w:rPr>
            </w:pPr>
            <w:r>
              <w:rPr>
                <w:rFonts w:ascii="Arial" w:cs="Arial" w:eastAsia="Arial" w:hAnsi="Arial"/>
                <w:sz w:val="12"/>
                <w:szCs w:val="12"/>
                <w:b w:val="1"/>
                <w:bCs w:val="1"/>
                <w:color w:val="auto"/>
                <w:w w:val="94"/>
              </w:rPr>
              <w:t>Proposed Maximum</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Carry</w:t>
            </w:r>
          </w:p>
        </w:tc>
        <w:tc>
          <w:tcPr>
            <w:tcW w:w="8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Carry</w:t>
            </w:r>
          </w:p>
        </w:tc>
        <w:tc>
          <w:tcPr>
            <w:tcW w:w="84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7"/>
              </w:rPr>
              <w:t>Forward</w:t>
            </w: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87"/>
              </w:rPr>
              <w:t>Class</w:t>
            </w:r>
          </w:p>
        </w:tc>
        <w:tc>
          <w:tcPr>
            <w:tcW w:w="9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or Carry</w:t>
            </w:r>
          </w:p>
        </w:tc>
        <w:tc>
          <w:tcPr>
            <w:tcW w:w="780" w:type="dxa"/>
            <w:vAlign w:val="bottom"/>
            <w:gridSpan w:val="2"/>
          </w:tcPr>
          <w:p>
            <w:pPr>
              <w:jc w:val="right"/>
              <w:ind w:right="280"/>
              <w:spacing w:after="0" w:line="134" w:lineRule="exact"/>
              <w:rPr>
                <w:sz w:val="20"/>
                <w:szCs w:val="20"/>
                <w:color w:val="auto"/>
              </w:rPr>
            </w:pPr>
            <w:r>
              <w:rPr>
                <w:rFonts w:ascii="Arial" w:cs="Arial" w:eastAsia="Arial" w:hAnsi="Arial"/>
                <w:sz w:val="12"/>
                <w:szCs w:val="12"/>
                <w:b w:val="1"/>
                <w:bCs w:val="1"/>
                <w:color w:val="auto"/>
              </w:rPr>
              <w:t>Amount</w:t>
            </w:r>
          </w:p>
        </w:tc>
        <w:tc>
          <w:tcPr>
            <w:tcW w:w="94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Offering Price</w:t>
            </w:r>
          </w:p>
        </w:tc>
        <w:tc>
          <w:tcPr>
            <w:tcW w:w="40" w:type="dxa"/>
            <w:vAlign w:val="bottom"/>
          </w:tcPr>
          <w:p>
            <w:pPr>
              <w:spacing w:after="0"/>
              <w:rPr>
                <w:sz w:val="11"/>
                <w:szCs w:val="11"/>
                <w:color w:val="auto"/>
              </w:rPr>
            </w:pPr>
          </w:p>
        </w:tc>
        <w:tc>
          <w:tcPr>
            <w:tcW w:w="1280" w:type="dxa"/>
            <w:vAlign w:val="bottom"/>
            <w:gridSpan w:val="2"/>
          </w:tcPr>
          <w:p>
            <w:pPr>
              <w:jc w:val="center"/>
              <w:ind w:right="220"/>
              <w:spacing w:after="0" w:line="134" w:lineRule="exact"/>
              <w:rPr>
                <w:sz w:val="20"/>
                <w:szCs w:val="20"/>
                <w:color w:val="auto"/>
              </w:rPr>
            </w:pPr>
            <w:r>
              <w:rPr>
                <w:rFonts w:ascii="Arial" w:cs="Arial" w:eastAsia="Arial" w:hAnsi="Arial"/>
                <w:sz w:val="12"/>
                <w:szCs w:val="12"/>
                <w:b w:val="1"/>
                <w:bCs w:val="1"/>
                <w:color w:val="auto"/>
                <w:w w:val="90"/>
              </w:rPr>
              <w:t>Aggregate</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7"/>
              </w:rPr>
              <w:t>Fee Rate</w:t>
            </w:r>
          </w:p>
        </w:tc>
        <w:tc>
          <w:tcPr>
            <w:tcW w:w="1080" w:type="dxa"/>
            <w:vAlign w:val="bottom"/>
            <w:gridSpan w:val="2"/>
          </w:tcPr>
          <w:p>
            <w:pPr>
              <w:jc w:val="right"/>
              <w:ind w:right="36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Forward</w:t>
            </w:r>
          </w:p>
        </w:tc>
        <w:tc>
          <w:tcPr>
            <w:tcW w:w="8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Forward</w:t>
            </w:r>
          </w:p>
        </w:tc>
        <w:tc>
          <w:tcPr>
            <w:tcW w:w="84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rPr>
              <w:t>Initial</w:t>
            </w:r>
          </w:p>
        </w:tc>
        <w:tc>
          <w:tcPr>
            <w:tcW w:w="9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7"/>
              </w:rPr>
              <w:t>to be Carried</w:t>
            </w:r>
          </w:p>
        </w:tc>
        <w:tc>
          <w:tcPr>
            <w:tcW w:w="0" w:type="dxa"/>
            <w:vAlign w:val="bottom"/>
          </w:tcPr>
          <w:p>
            <w:pPr>
              <w:spacing w:after="0"/>
              <w:rPr>
                <w:sz w:val="1"/>
                <w:szCs w:val="1"/>
                <w:color w:val="auto"/>
              </w:rPr>
            </w:pPr>
          </w:p>
        </w:tc>
      </w:tr>
      <w:tr>
        <w:trPr>
          <w:trHeight w:val="152"/>
        </w:trPr>
        <w:tc>
          <w:tcPr>
            <w:tcW w:w="84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Type</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7"/>
              </w:rPr>
              <w:t>Title</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9"/>
              </w:rPr>
              <w:t>Forward Rule</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0"/>
              </w:rPr>
              <w:t>Registered</w:t>
            </w: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Per Unit</w:t>
            </w:r>
          </w:p>
        </w:tc>
        <w:tc>
          <w:tcPr>
            <w:tcW w:w="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Offering Price</w:t>
            </w:r>
          </w:p>
        </w:tc>
        <w:tc>
          <w:tcPr>
            <w:tcW w:w="660" w:type="dxa"/>
            <w:vAlign w:val="bottom"/>
            <w:gridSpan w:val="2"/>
            <w:vMerge w:val="continue"/>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Registration Fee</w:t>
            </w:r>
          </w:p>
        </w:tc>
        <w:tc>
          <w:tcPr>
            <w:tcW w:w="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Form Type</w:t>
            </w:r>
          </w:p>
        </w:tc>
        <w:tc>
          <w:tcPr>
            <w:tcW w:w="8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File Number</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effective date</w:t>
            </w:r>
          </w:p>
        </w:tc>
        <w:tc>
          <w:tcPr>
            <w:tcW w:w="900" w:type="dxa"/>
            <w:vAlign w:val="bottom"/>
          </w:tcPr>
          <w:p>
            <w:pPr>
              <w:jc w:val="center"/>
              <w:ind w:right="18"/>
              <w:spacing w:after="0"/>
              <w:rPr>
                <w:sz w:val="20"/>
                <w:szCs w:val="20"/>
                <w:color w:val="auto"/>
              </w:rPr>
            </w:pPr>
            <w:r>
              <w:rPr>
                <w:rFonts w:ascii="Arial" w:cs="Arial" w:eastAsia="Arial" w:hAnsi="Arial"/>
                <w:sz w:val="12"/>
                <w:szCs w:val="12"/>
                <w:b w:val="1"/>
                <w:bCs w:val="1"/>
                <w:color w:val="auto"/>
                <w:w w:val="97"/>
              </w:rPr>
              <w:t>Forward</w:t>
            </w:r>
          </w:p>
        </w:tc>
        <w:tc>
          <w:tcPr>
            <w:tcW w:w="0" w:type="dxa"/>
            <w:vAlign w:val="bottom"/>
          </w:tcPr>
          <w:p>
            <w:pPr>
              <w:spacing w:after="0"/>
              <w:rPr>
                <w:sz w:val="1"/>
                <w:szCs w:val="1"/>
                <w:color w:val="auto"/>
              </w:rPr>
            </w:pPr>
          </w:p>
        </w:tc>
      </w:tr>
      <w:tr>
        <w:trPr>
          <w:trHeight w:val="20"/>
        </w:trPr>
        <w:tc>
          <w:tcPr>
            <w:tcW w:w="8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40" w:type="dxa"/>
            <w:vAlign w:val="bottom"/>
            <w:gridSpan w:val="4"/>
            <w:shd w:val="clear" w:color="auto" w:fill="CCEEFF"/>
          </w:tcPr>
          <w:p>
            <w:pPr>
              <w:jc w:val="right"/>
              <w:ind w:right="78"/>
              <w:spacing w:after="0" w:line="127" w:lineRule="exact"/>
              <w:rPr>
                <w:sz w:val="20"/>
                <w:szCs w:val="20"/>
                <w:color w:val="auto"/>
              </w:rPr>
            </w:pPr>
            <w:r>
              <w:rPr>
                <w:rFonts w:ascii="Arial" w:cs="Arial" w:eastAsia="Arial" w:hAnsi="Arial"/>
                <w:sz w:val="12"/>
                <w:szCs w:val="12"/>
                <w:b w:val="1"/>
                <w:bCs w:val="1"/>
                <w:color w:val="auto"/>
              </w:rPr>
              <w:t>Newly Registered Securities</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2"/>
                <w:szCs w:val="12"/>
                <w:color w:val="auto"/>
                <w:w w:val="91"/>
              </w:rPr>
              <w:t>Class A</w:t>
            </w: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color w:val="auto"/>
                <w:w w:val="92"/>
              </w:rPr>
              <w:t>ordinary shares,</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color w:val="auto"/>
                <w:w w:val="93"/>
              </w:rPr>
              <w:t>par value</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jc w:val="center"/>
              <w:ind w:right="18"/>
              <w:spacing w:after="0" w:line="134" w:lineRule="exact"/>
              <w:rPr>
                <w:sz w:val="20"/>
                <w:szCs w:val="20"/>
                <w:color w:val="auto"/>
              </w:rPr>
            </w:pPr>
            <w:r>
              <w:rPr>
                <w:rFonts w:ascii="Arial" w:cs="Arial" w:eastAsia="Arial" w:hAnsi="Arial"/>
                <w:sz w:val="12"/>
                <w:szCs w:val="12"/>
                <w:color w:val="auto"/>
                <w:w w:val="89"/>
              </w:rPr>
              <w:t>Fees to Be</w:t>
            </w:r>
          </w:p>
        </w:tc>
        <w:tc>
          <w:tcPr>
            <w:tcW w:w="56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Arial" w:cs="Arial" w:eastAsia="Arial" w:hAnsi="Arial"/>
                <w:sz w:val="12"/>
                <w:szCs w:val="12"/>
                <w:color w:val="auto"/>
                <w:w w:val="92"/>
              </w:rPr>
              <w:t>US$0.00005</w:t>
            </w:r>
          </w:p>
        </w:tc>
        <w:tc>
          <w:tcPr>
            <w:tcW w:w="920" w:type="dxa"/>
            <w:vAlign w:val="bottom"/>
          </w:tcPr>
          <w:p>
            <w:pPr>
              <w:jc w:val="center"/>
              <w:spacing w:after="0" w:line="134" w:lineRule="exact"/>
              <w:rPr>
                <w:sz w:val="20"/>
                <w:szCs w:val="20"/>
                <w:color w:val="auto"/>
              </w:rPr>
            </w:pPr>
            <w:r>
              <w:rPr>
                <w:rFonts w:ascii="Arial" w:cs="Arial" w:eastAsia="Arial" w:hAnsi="Arial"/>
                <w:sz w:val="12"/>
                <w:szCs w:val="12"/>
                <w:color w:val="auto"/>
                <w:w w:val="92"/>
              </w:rPr>
              <w:t>Rule 456(b) and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Pr>
          <w:p>
            <w:pPr>
              <w:jc w:val="center"/>
              <w:spacing w:after="0"/>
              <w:rPr>
                <w:sz w:val="20"/>
                <w:szCs w:val="20"/>
                <w:color w:val="auto"/>
              </w:rPr>
            </w:pPr>
            <w:r>
              <w:rPr>
                <w:rFonts w:ascii="Arial" w:cs="Arial" w:eastAsia="Arial" w:hAnsi="Arial"/>
                <w:sz w:val="12"/>
                <w:szCs w:val="12"/>
                <w:color w:val="auto"/>
                <w:w w:val="91"/>
              </w:rPr>
              <w:t>Paid</w:t>
            </w:r>
          </w:p>
        </w:tc>
        <w:tc>
          <w:tcPr>
            <w:tcW w:w="560" w:type="dxa"/>
            <w:vAlign w:val="bottom"/>
          </w:tcPr>
          <w:p>
            <w:pPr>
              <w:ind w:left="80"/>
              <w:spacing w:after="0"/>
              <w:rPr>
                <w:sz w:val="20"/>
                <w:szCs w:val="20"/>
                <w:color w:val="auto"/>
              </w:rPr>
            </w:pPr>
            <w:r>
              <w:rPr>
                <w:rFonts w:ascii="Arial" w:cs="Arial" w:eastAsia="Arial" w:hAnsi="Arial"/>
                <w:sz w:val="12"/>
                <w:szCs w:val="12"/>
                <w:color w:val="auto"/>
              </w:rPr>
              <w:t>Equity</w:t>
            </w:r>
          </w:p>
        </w:tc>
        <w:tc>
          <w:tcPr>
            <w:tcW w:w="880" w:type="dxa"/>
            <w:vAlign w:val="bottom"/>
          </w:tcPr>
          <w:p>
            <w:pPr>
              <w:jc w:val="center"/>
              <w:spacing w:after="0"/>
              <w:rPr>
                <w:sz w:val="20"/>
                <w:szCs w:val="20"/>
                <w:color w:val="auto"/>
              </w:rPr>
            </w:pPr>
            <w:r>
              <w:rPr>
                <w:rFonts w:ascii="Arial" w:cs="Arial" w:eastAsia="Arial" w:hAnsi="Arial"/>
                <w:sz w:val="12"/>
                <w:szCs w:val="12"/>
                <w:color w:val="auto"/>
                <w:w w:val="92"/>
              </w:rPr>
              <w:t>per share(1)(3)</w:t>
            </w:r>
          </w:p>
        </w:tc>
        <w:tc>
          <w:tcPr>
            <w:tcW w:w="920" w:type="dxa"/>
            <w:vAlign w:val="bottom"/>
          </w:tcPr>
          <w:p>
            <w:pPr>
              <w:jc w:val="center"/>
              <w:spacing w:after="0"/>
              <w:rPr>
                <w:sz w:val="20"/>
                <w:szCs w:val="20"/>
                <w:color w:val="auto"/>
              </w:rPr>
            </w:pPr>
            <w:r>
              <w:rPr>
                <w:rFonts w:ascii="Arial" w:cs="Arial" w:eastAsia="Arial" w:hAnsi="Arial"/>
                <w:sz w:val="12"/>
                <w:szCs w:val="12"/>
                <w:color w:val="auto"/>
                <w:w w:val="96"/>
              </w:rPr>
              <w:t>Rule 457(r)</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color w:val="auto"/>
              </w:rPr>
              <w:t>(2)</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Borders>
              <w:right w:val="single" w:sz="8" w:color="CCEEFF"/>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82"/>
              </w:rPr>
              <w:t>Fees</w:t>
            </w:r>
          </w:p>
        </w:tc>
        <w:tc>
          <w:tcPr>
            <w:tcW w:w="56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840" w:type="dxa"/>
            <w:vAlign w:val="bottom"/>
            <w:tcBorders>
              <w:right w:val="single" w:sz="8" w:color="CCEEFF"/>
            </w:tcBorders>
            <w:shd w:val="clear" w:color="auto" w:fill="CCEEFF"/>
          </w:tcPr>
          <w:p>
            <w:pPr>
              <w:jc w:val="center"/>
              <w:spacing w:after="0" w:line="134" w:lineRule="exact"/>
              <w:rPr>
                <w:sz w:val="20"/>
                <w:szCs w:val="20"/>
                <w:color w:val="auto"/>
              </w:rPr>
            </w:pPr>
            <w:r>
              <w:rPr>
                <w:rFonts w:ascii="Arial" w:cs="Arial" w:eastAsia="Arial" w:hAnsi="Arial"/>
                <w:sz w:val="12"/>
                <w:szCs w:val="12"/>
                <w:color w:val="auto"/>
                <w:w w:val="97"/>
              </w:rPr>
              <w:t>Previously</w:t>
            </w:r>
          </w:p>
        </w:tc>
        <w:tc>
          <w:tcPr>
            <w:tcW w:w="560" w:type="dxa"/>
            <w:vAlign w:val="bottom"/>
            <w:tcBorders>
              <w:right w:val="single" w:sz="8" w:color="CCEEFF"/>
            </w:tcBorders>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1"/>
              </w:rPr>
              <w:t>Paid</w:t>
            </w:r>
          </w:p>
        </w:tc>
        <w:tc>
          <w:tcPr>
            <w:tcW w:w="5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gridSpan w:val="5"/>
          </w:tcPr>
          <w:p>
            <w:pPr>
              <w:jc w:val="right"/>
              <w:ind w:right="420"/>
              <w:spacing w:after="0" w:line="134" w:lineRule="exact"/>
              <w:rPr>
                <w:sz w:val="20"/>
                <w:szCs w:val="20"/>
                <w:color w:val="auto"/>
              </w:rPr>
            </w:pPr>
            <w:r>
              <w:rPr>
                <w:rFonts w:ascii="Arial" w:cs="Arial" w:eastAsia="Arial" w:hAnsi="Arial"/>
                <w:sz w:val="12"/>
                <w:szCs w:val="12"/>
                <w:b w:val="1"/>
                <w:bCs w:val="1"/>
                <w:color w:val="auto"/>
              </w:rPr>
              <w:t>Carry Forward Securities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40" w:type="dxa"/>
            <w:vAlign w:val="bottom"/>
            <w:tcBorders>
              <w:right w:val="single" w:sz="8" w:color="CCEEFF"/>
            </w:tcBorders>
            <w:shd w:val="clear" w:color="auto" w:fill="CCEEFF"/>
          </w:tcPr>
          <w:p>
            <w:pPr>
              <w:jc w:val="center"/>
              <w:spacing w:after="0" w:line="120" w:lineRule="exact"/>
              <w:rPr>
                <w:sz w:val="20"/>
                <w:szCs w:val="20"/>
                <w:color w:val="auto"/>
              </w:rPr>
            </w:pPr>
            <w:r>
              <w:rPr>
                <w:rFonts w:ascii="Arial" w:cs="Arial" w:eastAsia="Arial" w:hAnsi="Arial"/>
                <w:sz w:val="12"/>
                <w:szCs w:val="12"/>
                <w:color w:val="auto"/>
                <w:w w:val="96"/>
              </w:rPr>
              <w:t>Carry Forward</w:t>
            </w:r>
          </w:p>
        </w:tc>
        <w:tc>
          <w:tcPr>
            <w:tcW w:w="560" w:type="dxa"/>
            <w:vAlign w:val="bottom"/>
            <w:tcBorders>
              <w:right w:val="single" w:sz="8" w:color="CCEEFF"/>
            </w:tcBorders>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4"/>
              </w:rPr>
              <w:t>Securities</w:t>
            </w:r>
          </w:p>
        </w:tc>
        <w:tc>
          <w:tcPr>
            <w:tcW w:w="56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9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5"/>
              </w:rPr>
              <w:t>Total Offering Amounts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(2)</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60"/>
              <w:spacing w:after="0" w:line="134" w:lineRule="exact"/>
              <w:rPr>
                <w:sz w:val="20"/>
                <w:szCs w:val="20"/>
                <w:color w:val="auto"/>
              </w:rPr>
            </w:pPr>
            <w:r>
              <w:rPr>
                <w:rFonts w:ascii="Arial" w:cs="Arial" w:eastAsia="Arial" w:hAnsi="Arial"/>
                <w:sz w:val="12"/>
                <w:szCs w:val="12"/>
                <w:color w:val="auto"/>
              </w:rPr>
              <w:t>(2)</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0" w:type="dxa"/>
            <w:vAlign w:val="bottom"/>
            <w:tcBorders>
              <w:right w:val="single" w:sz="8" w:color="CCEEFF"/>
            </w:tcBorders>
            <w:gridSpan w:val="2"/>
            <w:shd w:val="clear" w:color="auto" w:fill="CCEEFF"/>
          </w:tcPr>
          <w:p>
            <w:pPr>
              <w:jc w:val="center"/>
              <w:spacing w:after="0" w:line="134" w:lineRule="exact"/>
              <w:rPr>
                <w:sz w:val="20"/>
                <w:szCs w:val="20"/>
                <w:color w:val="auto"/>
              </w:rPr>
            </w:pPr>
            <w:r>
              <w:rPr>
                <w:rFonts w:ascii="Arial" w:cs="Arial" w:eastAsia="Arial" w:hAnsi="Arial"/>
                <w:sz w:val="12"/>
                <w:szCs w:val="12"/>
                <w:b w:val="1"/>
                <w:bCs w:val="1"/>
                <w:color w:val="auto"/>
                <w:w w:val="92"/>
              </w:rPr>
              <w:t>Total Fees Previously Paid</w:t>
            </w:r>
          </w:p>
        </w:tc>
        <w:tc>
          <w:tcPr>
            <w:tcW w:w="5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0"/>
              </w:rPr>
              <w:t>Total Fee Offsets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0" w:type="dxa"/>
            <w:vAlign w:val="bottom"/>
            <w:tcBorders>
              <w:right w:val="single" w:sz="8" w:color="CCEEFF"/>
            </w:tcBorders>
            <w:gridSpan w:val="2"/>
            <w:shd w:val="clear" w:color="auto" w:fill="CCEEFF"/>
          </w:tcPr>
          <w:p>
            <w:pPr>
              <w:jc w:val="center"/>
              <w:spacing w:after="0" w:line="134" w:lineRule="exact"/>
              <w:rPr>
                <w:sz w:val="20"/>
                <w:szCs w:val="20"/>
                <w:color w:val="auto"/>
              </w:rPr>
            </w:pPr>
            <w:r>
              <w:rPr>
                <w:rFonts w:ascii="Arial" w:cs="Arial" w:eastAsia="Arial" w:hAnsi="Arial"/>
                <w:sz w:val="12"/>
                <w:szCs w:val="12"/>
                <w:b w:val="1"/>
                <w:bCs w:val="1"/>
                <w:color w:val="auto"/>
                <w:w w:val="92"/>
              </w:rPr>
              <w:t>Net Fee Due</w:t>
            </w:r>
          </w:p>
        </w:tc>
        <w:tc>
          <w:tcPr>
            <w:tcW w:w="5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8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rPr>
              <w:t>(2)</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hanging="633"/>
        <w:spacing w:after="0" w:line="310" w:lineRule="auto"/>
        <w:tabs>
          <w:tab w:leader="none" w:pos="6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Includes securities initially offered and sold outside the United States that may be resold from time to time in the United States either as part of their distribution or within 40 days after the later of the effective date of this registration statement and the date the securities are first bona fide offered to the public. These securities are not being registered for the purposes of sales outside of the United States.</w:t>
      </w:r>
    </w:p>
    <w:p>
      <w:pPr>
        <w:spacing w:after="0" w:line="153" w:lineRule="exact"/>
        <w:rPr>
          <w:rFonts w:ascii="Arial" w:cs="Arial" w:eastAsia="Arial" w:hAnsi="Arial"/>
          <w:sz w:val="11"/>
          <w:szCs w:val="11"/>
          <w:color w:val="auto"/>
        </w:rPr>
      </w:pPr>
    </w:p>
    <w:p>
      <w:pPr>
        <w:ind w:left="640" w:hanging="633"/>
        <w:spacing w:after="0" w:line="264"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An indeterminate aggregate number of securities is being registered as may from time to time be sold at indeterminate prices. In accordance with Rules 456(b) and 457(r), the Registrant is deferring payment of all of the registration fee.</w:t>
      </w:r>
    </w:p>
    <w:p>
      <w:pPr>
        <w:spacing w:after="0" w:line="176" w:lineRule="exact"/>
        <w:rPr>
          <w:rFonts w:ascii="Arial" w:cs="Arial" w:eastAsia="Arial" w:hAnsi="Arial"/>
          <w:sz w:val="12"/>
          <w:szCs w:val="12"/>
          <w:color w:val="auto"/>
        </w:rPr>
      </w:pPr>
    </w:p>
    <w:p>
      <w:pPr>
        <w:ind w:left="640" w:hanging="633"/>
        <w:spacing w:after="0" w:line="264" w:lineRule="auto"/>
        <w:tabs>
          <w:tab w:leader="none" w:pos="6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American depositary shares issuable upon deposit of the Class A ordinary shares registered hereby have been registered under a separate registration statement on Form F-6 (Registration No. 333-254092). Each American depositary share represents one Class A ordinary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lowerRoman"/>
      <w:start w:val="3"/>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6A2342EC"/>
    <w:multiLevelType w:val="hybridMultilevel"/>
    <w:lvl w:ilvl="0">
      <w:lvlJc w:val="left"/>
      <w:lvlText w:val="(%1)"/>
      <w:numFmt w:val="lowerRoman"/>
      <w:start w:val="3"/>
    </w:lvl>
  </w:abstractNum>
  <w:abstractNum w:abstractNumId="34">
    <w:nsid w:val="2A487CB0"/>
    <w:multiLevelType w:val="hybridMultilevel"/>
    <w:lvl w:ilvl="0">
      <w:lvlJc w:val="left"/>
      <w:lvlText w:val="(%1)"/>
      <w:numFmt w:val="decimal"/>
      <w:start w:val="2"/>
    </w:lvl>
    <w:lvl w:ilvl="1">
      <w:lvlJc w:val="left"/>
      <w:lvlText w:val="(%2)"/>
      <w:numFmt w:val="lowerRoman"/>
      <w:start w:val="1"/>
    </w:lvl>
  </w:abstractNum>
  <w:abstractNum w:abstractNumId="35">
    <w:nsid w:val="1D4ED43B"/>
    <w:multiLevelType w:val="hybridMultilevel"/>
    <w:lvl w:ilvl="0">
      <w:lvlJc w:val="left"/>
      <w:lvlText w:val="(%1)"/>
      <w:numFmt w:val="decimal"/>
      <w:start w:val="6"/>
    </w:lvl>
  </w:abstractNum>
  <w:abstractNum w:abstractNumId="36">
    <w:nsid w:val="725A06FB"/>
    <w:multiLevelType w:val="hybridMultilevel"/>
    <w:lvl w:ilvl="0">
      <w:lvlJc w:val="left"/>
      <w:lvlText w:val="%1"/>
      <w:numFmt w:val="lowerLetter"/>
      <w:start w:val="1"/>
    </w:lvl>
    <w:lvl w:ilvl="1">
      <w:lvlJc w:val="left"/>
      <w:lvlText w:val="(%2)"/>
      <w:numFmt w:val="lowerRoman"/>
      <w:start w:val="1"/>
    </w:lvl>
  </w:abstractNum>
  <w:abstractNum w:abstractNumId="37">
    <w:nsid w:val="2CD89A32"/>
    <w:multiLevelType w:val="hybridMultilevel"/>
    <w:lvl w:ilvl="0">
      <w:lvlJc w:val="left"/>
      <w:lvlText w:val="(%1)"/>
      <w:numFmt w:val="lowerLetter"/>
      <w:start w:val="2"/>
    </w:lvl>
    <w:lvl w:ilvl="1">
      <w:lvlJc w:val="left"/>
      <w:lvlText w:val="%2"/>
      <w:numFmt w:val="lowerRoman"/>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2"/>
      <w:numFmt w:val="bullet"/>
      <w:start w:val="1"/>
    </w:lvl>
  </w:abstractNum>
  <w:abstractNum w:abstractNumId="42">
    <w:nsid w:val="6DE91B18"/>
    <w:multiLevelType w:val="hybridMultilevel"/>
    <w:lvl w:ilvl="0">
      <w:lvlJc w:val="left"/>
      <w:lvlText w:val="3"/>
      <w:numFmt w:val="bullet"/>
      <w:start w:val="1"/>
    </w:lvl>
  </w:abstractNum>
  <w:abstractNum w:abstractNumId="43">
    <w:nsid w:val="38437FDB"/>
    <w:multiLevelType w:val="hybridMultilevel"/>
    <w:lvl w:ilvl="0">
      <w:lvlJc w:val="left"/>
      <w:lvlText w:val="4"/>
      <w:numFmt w:val="bullet"/>
      <w:start w:val="1"/>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upperLetter"/>
      <w:start w:val="2"/>
    </w:lvl>
  </w:abstractNum>
  <w:abstractNum w:abstractNumId="46">
    <w:nsid w:val="684A481A"/>
    <w:multiLevelType w:val="hybridMultilevel"/>
    <w:lvl w:ilvl="0">
      <w:lvlJc w:val="left"/>
      <w:lvlText w:val="%1."/>
      <w:numFmt w:val="lowerRoman"/>
      <w:start w:val="1"/>
    </w:lvl>
  </w:abstractNum>
  <w:abstractNum w:abstractNumId="47">
    <w:nsid w:val="579478FE"/>
    <w:multiLevelType w:val="hybridMultilevel"/>
    <w:lvl w:ilvl="0">
      <w:lvlJc w:val="left"/>
      <w:lvlText w:val="%1."/>
      <w:numFmt w:val="lowerRoman"/>
      <w:start w:val="2"/>
    </w:lvl>
  </w:abstractNum>
  <w:abstractNum w:abstractNumId="48">
    <w:nsid w:val="749ABB43"/>
    <w:multiLevelType w:val="hybridMultilevel"/>
    <w:lvl w:ilvl="0">
      <w:lvlJc w:val="left"/>
      <w:lvlText w:val="%1."/>
      <w:numFmt w:val="upperLetter"/>
      <w:start w:val="3"/>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jpe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jpeg"/><Relationship Id="rId107" Type="http://schemas.openxmlformats.org/officeDocument/2006/relationships/image" Target="media/image94.png"/><Relationship Id="rId108" Type="http://schemas.openxmlformats.org/officeDocument/2006/relationships/image" Target="media/image95.jpeg"/><Relationship Id="rId109" Type="http://schemas.openxmlformats.org/officeDocument/2006/relationships/image" Target="media/image96.jpe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jpeg"/><Relationship Id="rId113" Type="http://schemas.openxmlformats.org/officeDocument/2006/relationships/image" Target="media/image100.png"/><Relationship Id="rId21" Type="http://schemas.openxmlformats.org/officeDocument/2006/relationships/hyperlink" Target="https://www.sec.gov/ix?doc=/Archives/edgar/data/0001829118/000110465922052200/tuya-20211231x20f.htm" TargetMode="External"/><Relationship Id="rId22" Type="http://schemas.openxmlformats.org/officeDocument/2006/relationships/hyperlink" Target="http://www.sec.gov/ix?doc=/Archives/edgar/data/1829118/000110465922052200/tuya-20211231x20f.htm" TargetMode="External"/><Relationship Id="rId74" Type="http://schemas.openxmlformats.org/officeDocument/2006/relationships/hyperlink" Target="https://www.sec.gov/ix?doc=/Archives/edgar/data/1829118/000110465922052200/tuya-20211231x20f.htm" TargetMode="External"/><Relationship Id="rId75" Type="http://schemas.openxmlformats.org/officeDocument/2006/relationships/hyperlink" Target="https://www.sec.gov/Archives/edgar/data/1829118/000119312521079389/d155839d8a12b.htm" TargetMode="External"/><Relationship Id="rId80" Type="http://schemas.openxmlformats.org/officeDocument/2006/relationships/hyperlink" Target="https://www.sec.gov/Archives/edgar/data/1201935/000101915521000080/tuyada.htm" TargetMode="External"/><Relationship Id="rId81" Type="http://schemas.openxmlformats.org/officeDocument/2006/relationships/hyperlink" Target="https://www.sec.gov/Archives/edgar/data/1829118/000119312521058848/d75491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2022-05-31T15:42:18Z</dcterms:created>
  <dcterms:modified xsi:type="dcterms:W3CDTF">2022-05-31T15:42:18Z</dcterms:modified>
</cp:coreProperties>
</file>