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431800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466090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FORM 6-K</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PURSUANT TO RULE 13a-16 OR 15d-16 UNDER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THE SECURITIES EXCHANGE ACT OF 1934</w:t>
      </w:r>
    </w:p>
    <w:p>
      <w:pPr>
        <w:spacing w:after="0" w:line="207" w:lineRule="exact"/>
        <w:rPr>
          <w:sz w:val="24"/>
          <w:szCs w:val="24"/>
          <w:color w:val="auto"/>
        </w:rPr>
      </w:pPr>
    </w:p>
    <w:p>
      <w:pPr>
        <w:ind w:left="4480"/>
        <w:spacing w:after="0"/>
        <w:rPr>
          <w:sz w:val="20"/>
          <w:szCs w:val="20"/>
          <w:color w:val="auto"/>
        </w:rPr>
      </w:pPr>
      <w:r>
        <w:rPr>
          <w:rFonts w:ascii="Arial" w:cs="Arial" w:eastAsia="Arial" w:hAnsi="Arial"/>
          <w:sz w:val="18"/>
          <w:szCs w:val="18"/>
          <w:b w:val="1"/>
          <w:bCs w:val="1"/>
          <w:color w:val="auto"/>
        </w:rPr>
        <w:t>For the month of March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356" w:lineRule="exact"/>
        <w:rPr>
          <w:sz w:val="24"/>
          <w:szCs w:val="24"/>
          <w:color w:val="auto"/>
        </w:rPr>
      </w:pPr>
    </w:p>
    <w:p>
      <w:pPr>
        <w:ind w:left="4200"/>
        <w:spacing w:after="0"/>
        <w:rPr>
          <w:sz w:val="20"/>
          <w:szCs w:val="20"/>
          <w:color w:val="auto"/>
        </w:rPr>
      </w:pPr>
      <w:r>
        <w:rPr>
          <w:rFonts w:ascii="Arial" w:cs="Arial" w:eastAsia="Arial" w:hAnsi="Arial"/>
          <w:sz w:val="18"/>
          <w:szCs w:val="18"/>
          <w:b w:val="1"/>
          <w:bCs w:val="1"/>
          <w:color w:val="auto"/>
        </w:rPr>
        <w:t>Commission File Number: 001-40210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188595</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jc w:val="center"/>
        <w:ind w:right="-1120"/>
        <w:spacing w:after="0"/>
        <w:rPr>
          <w:sz w:val="20"/>
          <w:szCs w:val="20"/>
          <w:color w:val="auto"/>
        </w:rPr>
      </w:pPr>
      <w:r>
        <w:rPr>
          <w:rFonts w:ascii="Arial" w:cs="Arial" w:eastAsia="Arial" w:hAnsi="Arial"/>
          <w:sz w:val="32"/>
          <w:szCs w:val="32"/>
          <w:b w:val="1"/>
          <w:bCs w:val="1"/>
          <w:color w:val="auto"/>
        </w:rPr>
        <w:t>Tuya Inc.</w:t>
      </w:r>
    </w:p>
    <w:p>
      <w:pPr>
        <w:spacing w:after="0" w:line="235"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10/F, Building A, Huace Center</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Xihu District, Hangzhou City</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Zhejiang, 310012</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People’s Republic of China</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(Address of principal executive offices)</w:t>
      </w:r>
    </w:p>
    <w:p>
      <w:pPr>
        <w:spacing w:after="0" w:line="211"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20"/>
        <w:spacing w:after="0" w:line="207" w:lineRule="exact"/>
        <w:tabs>
          <w:tab w:leader="none" w:pos="594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207010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233045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815975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76"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260" w:type="dxa"/>
            <w:vAlign w:val="bottom"/>
            <w:gridSpan w:val="3"/>
          </w:tcPr>
          <w:p>
            <w:pPr>
              <w:spacing w:after="0"/>
              <w:rPr>
                <w:sz w:val="20"/>
                <w:szCs w:val="20"/>
                <w:color w:val="auto"/>
              </w:rPr>
            </w:pPr>
            <w:r>
              <w:rPr>
                <w:rFonts w:ascii="Arial" w:cs="Arial" w:eastAsia="Arial" w:hAnsi="Arial"/>
                <w:sz w:val="18"/>
                <w:szCs w:val="18"/>
                <w:b w:val="1"/>
                <w:bCs w:val="1"/>
                <w:color w:val="auto"/>
              </w:rPr>
              <w:t>Exhibit No.</w:t>
            </w:r>
          </w:p>
        </w:tc>
        <w:tc>
          <w:tcPr>
            <w:tcW w:w="898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320" w:type="dxa"/>
            <w:vAlign w:val="bottom"/>
            <w:tcBorders>
              <w:top w:val="single" w:sz="8" w:color="auto"/>
            </w:tcBorders>
          </w:tcPr>
          <w:p>
            <w:pPr>
              <w:spacing w:after="0" w:line="169" w:lineRule="exact"/>
              <w:rPr>
                <w:sz w:val="20"/>
                <w:szCs w:val="20"/>
                <w:color w:val="auto"/>
              </w:rPr>
            </w:pPr>
            <w:r>
              <w:rPr>
                <w:rFonts w:ascii="Arial" w:cs="Arial" w:eastAsia="Arial" w:hAnsi="Arial"/>
                <w:sz w:val="18"/>
                <w:szCs w:val="18"/>
                <w:color w:val="0000EE"/>
                <w:w w:val="85"/>
              </w:rPr>
              <w:t>99.</w:t>
            </w:r>
            <w:r>
              <w:rPr>
                <w:rFonts w:ascii="Arial" w:cs="Arial" w:eastAsia="Arial" w:hAnsi="Arial"/>
                <w:sz w:val="18"/>
                <w:szCs w:val="18"/>
                <w:u w:val="single" w:color="auto"/>
                <w:color w:val="0000EE"/>
                <w:w w:val="85"/>
              </w:rPr>
              <w:t>1</w:t>
            </w:r>
          </w:p>
        </w:tc>
        <w:tc>
          <w:tcPr>
            <w:tcW w:w="1720" w:type="dxa"/>
            <w:vAlign w:val="bottom"/>
            <w:tcBorders>
              <w:top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980" w:type="dxa"/>
            <w:vAlign w:val="bottom"/>
            <w:tcBorders>
              <w:top w:val="single" w:sz="8" w:color="auto"/>
            </w:tcBorders>
            <w:gridSpan w:val="2"/>
          </w:tcPr>
          <w:p>
            <w:pPr>
              <w:spacing w:after="0" w:line="169" w:lineRule="exact"/>
              <w:rPr>
                <w:sz w:val="20"/>
                <w:szCs w:val="20"/>
                <w:color w:val="auto"/>
              </w:rPr>
            </w:pPr>
            <w:r>
              <w:rPr>
                <w:rFonts w:ascii="Arial" w:cs="Arial" w:eastAsia="Arial" w:hAnsi="Arial"/>
                <w:sz w:val="18"/>
                <w:szCs w:val="18"/>
                <w:color w:val="0000EE"/>
              </w:rPr>
              <w:t>Press Release</w:t>
            </w:r>
          </w:p>
        </w:tc>
      </w:tr>
      <w:tr>
        <w:trPr>
          <w:trHeight w:val="20"/>
        </w:trPr>
        <w:tc>
          <w:tcPr>
            <w:tcW w:w="320" w:type="dxa"/>
            <w:vAlign w:val="bottom"/>
            <w:shd w:val="clear" w:color="auto" w:fill="0000EE"/>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5640" w:type="dxa"/>
        <w:tblCellMar>
          <w:top w:w="0" w:type="dxa"/>
          <w:left w:w="0" w:type="dxa"/>
          <w:bottom w:w="0" w:type="dxa"/>
          <w:right w:w="0" w:type="dxa"/>
        </w:tblCellMar>
      </w:tblPr>
      <w:tr>
        <w:trPr>
          <w:trHeight w:val="230"/>
        </w:trPr>
        <w:tc>
          <w:tcPr>
            <w:tcW w:w="880" w:type="dxa"/>
            <w:vAlign w:val="bottom"/>
            <w:gridSpan w:val="2"/>
          </w:tcPr>
          <w:p>
            <w:pPr>
              <w:spacing w:after="0"/>
              <w:rPr>
                <w:sz w:val="20"/>
                <w:szCs w:val="20"/>
                <w:color w:val="auto"/>
              </w:rPr>
            </w:pPr>
            <w:r>
              <w:rPr>
                <w:rFonts w:ascii="Arial" w:cs="Arial" w:eastAsia="Arial" w:hAnsi="Arial"/>
                <w:sz w:val="18"/>
                <w:szCs w:val="18"/>
                <w:color w:val="auto"/>
              </w:rPr>
              <w:t>Tuya Inc.</w:t>
            </w:r>
          </w:p>
        </w:tc>
        <w:tc>
          <w:tcPr>
            <w:tcW w:w="4720" w:type="dxa"/>
            <w:vAlign w:val="bottom"/>
          </w:tcPr>
          <w:p>
            <w:pPr>
              <w:spacing w:after="0"/>
              <w:rPr>
                <w:sz w:val="20"/>
                <w:szCs w:val="20"/>
                <w:color w:val="auto"/>
              </w:rPr>
            </w:pPr>
          </w:p>
        </w:tc>
      </w:tr>
      <w:tr>
        <w:trPr>
          <w:trHeight w:val="432"/>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Yao (Jessie) Liu</w:t>
            </w:r>
          </w:p>
        </w:tc>
      </w:tr>
      <w:tr>
        <w:trPr>
          <w:trHeight w:val="195"/>
        </w:trPr>
        <w:tc>
          <w:tcPr>
            <w:tcW w:w="500" w:type="dxa"/>
            <w:vAlign w:val="bottom"/>
          </w:tcPr>
          <w:p>
            <w:pPr>
              <w:spacing w:after="0" w:line="195" w:lineRule="exact"/>
              <w:rPr>
                <w:sz w:val="20"/>
                <w:szCs w:val="20"/>
                <w:color w:val="auto"/>
              </w:rPr>
            </w:pPr>
            <w:r>
              <w:rPr>
                <w:rFonts w:ascii="Arial" w:cs="Arial" w:eastAsia="Arial" w:hAnsi="Arial"/>
                <w:sz w:val="18"/>
                <w:szCs w:val="18"/>
                <w:color w:val="auto"/>
                <w:w w:val="99"/>
              </w:rPr>
              <w:t>Name</w:t>
            </w:r>
          </w:p>
        </w:tc>
        <w:tc>
          <w:tcPr>
            <w:tcW w:w="380" w:type="dxa"/>
            <w:vAlign w:val="bottom"/>
          </w:tcPr>
          <w:p>
            <w:pPr>
              <w:jc w:val="right"/>
              <w:ind w:right="170"/>
              <w:spacing w:after="0" w:line="195" w:lineRule="exact"/>
              <w:rPr>
                <w:sz w:val="20"/>
                <w:szCs w:val="20"/>
                <w:color w:val="auto"/>
              </w:rPr>
            </w:pPr>
            <w:r>
              <w:rPr>
                <w:rFonts w:ascii="Arial" w:cs="Arial" w:eastAsia="Arial" w:hAnsi="Arial"/>
                <w:sz w:val="18"/>
                <w:szCs w:val="18"/>
                <w:color w:val="auto"/>
              </w:rPr>
              <w:t>:</w:t>
            </w:r>
          </w:p>
        </w:tc>
        <w:tc>
          <w:tcPr>
            <w:tcW w:w="4720" w:type="dxa"/>
            <w:vAlign w:val="bottom"/>
          </w:tcPr>
          <w:p>
            <w:pPr>
              <w:spacing w:after="0" w:line="195" w:lineRule="exact"/>
              <w:rPr>
                <w:sz w:val="20"/>
                <w:szCs w:val="20"/>
                <w:color w:val="auto"/>
              </w:rPr>
            </w:pPr>
            <w:r>
              <w:rPr>
                <w:rFonts w:ascii="Arial" w:cs="Arial" w:eastAsia="Arial" w:hAnsi="Arial"/>
                <w:sz w:val="18"/>
                <w:szCs w:val="18"/>
                <w:color w:val="auto"/>
              </w:rPr>
              <w:t>Yao (Jessie) Liu</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4720" w:type="dxa"/>
            <w:vAlign w:val="bottom"/>
          </w:tcPr>
          <w:p>
            <w:pPr>
              <w:spacing w:after="0"/>
              <w:rPr>
                <w:sz w:val="20"/>
                <w:szCs w:val="20"/>
                <w:color w:val="auto"/>
              </w:rPr>
            </w:pPr>
            <w:r>
              <w:rPr>
                <w:rFonts w:ascii="Arial" w:cs="Arial" w:eastAsia="Arial" w:hAnsi="Arial"/>
                <w:sz w:val="18"/>
                <w:szCs w:val="18"/>
                <w:color w:val="auto"/>
              </w:rPr>
              <w:t>Chief Financial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Date: March 2, 2023</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Tuya Reports Fourth Quarter and Full Fiscal Year 2022 Unaudited Financial Results</w:t>
      </w:r>
    </w:p>
    <w:p>
      <w:pPr>
        <w:spacing w:after="0" w:line="225" w:lineRule="exact"/>
        <w:rPr>
          <w:sz w:val="20"/>
          <w:szCs w:val="20"/>
          <w:color w:val="auto"/>
        </w:rPr>
      </w:pPr>
    </w:p>
    <w:p>
      <w:pPr>
        <w:jc w:val="both"/>
        <w:spacing w:after="0" w:line="266" w:lineRule="auto"/>
        <w:rPr>
          <w:sz w:val="20"/>
          <w:szCs w:val="20"/>
          <w:color w:val="auto"/>
        </w:rPr>
      </w:pPr>
      <w:r>
        <w:rPr>
          <w:rFonts w:ascii="Arial" w:cs="Arial" w:eastAsia="Arial" w:hAnsi="Arial"/>
          <w:sz w:val="18"/>
          <w:szCs w:val="18"/>
          <w:color w:val="auto"/>
        </w:rPr>
        <w:t>SANTA CLARA, Calif., March 1, 2023/PRNewswire/– Tuya Inc. (“</w:t>
      </w:r>
      <w:r>
        <w:rPr>
          <w:rFonts w:ascii="Arial" w:cs="Arial" w:eastAsia="Arial" w:hAnsi="Arial"/>
          <w:sz w:val="18"/>
          <w:szCs w:val="18"/>
          <w:b w:val="1"/>
          <w:bCs w:val="1"/>
          <w:color w:val="auto"/>
        </w:rPr>
        <w:t>Tuya</w:t>
      </w:r>
      <w:r>
        <w:rPr>
          <w:rFonts w:ascii="Arial" w:cs="Arial" w:eastAsia="Arial" w:hAnsi="Arial"/>
          <w:sz w:val="18"/>
          <w:szCs w:val="18"/>
          <w:color w:val="auto"/>
        </w:rPr>
        <w:t>” or the “</w:t>
      </w:r>
      <w:r>
        <w:rPr>
          <w:rFonts w:ascii="Arial" w:cs="Arial" w:eastAsia="Arial" w:hAnsi="Arial"/>
          <w:sz w:val="18"/>
          <w:szCs w:val="18"/>
          <w:b w:val="1"/>
          <w:bCs w:val="1"/>
          <w:color w:val="auto"/>
        </w:rPr>
        <w:t>Company</w:t>
      </w:r>
      <w:r>
        <w:rPr>
          <w:rFonts w:ascii="Arial" w:cs="Arial" w:eastAsia="Arial" w:hAnsi="Arial"/>
          <w:sz w:val="18"/>
          <w:szCs w:val="18"/>
          <w:color w:val="auto"/>
        </w:rPr>
        <w:t>”, together with its subsidiaries and consolidated affiliated entities, the “</w:t>
      </w:r>
      <w:r>
        <w:rPr>
          <w:rFonts w:ascii="Arial" w:cs="Arial" w:eastAsia="Arial" w:hAnsi="Arial"/>
          <w:sz w:val="18"/>
          <w:szCs w:val="18"/>
          <w:b w:val="1"/>
          <w:bCs w:val="1"/>
          <w:color w:val="auto"/>
        </w:rPr>
        <w:t>Group</w:t>
      </w:r>
      <w:r>
        <w:rPr>
          <w:rFonts w:ascii="Arial" w:cs="Arial" w:eastAsia="Arial" w:hAnsi="Arial"/>
          <w:sz w:val="18"/>
          <w:szCs w:val="18"/>
          <w:color w:val="auto"/>
        </w:rPr>
        <w:t>”)) (NYSE: TUYA; HKEX: 2391), a global leading IoT cloud development platform, today announced its unaudited financial results for the fourth quarter and full fiscal year ended December 31, 2022.</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Financial Highlights</w:t>
      </w:r>
    </w:p>
    <w:p>
      <w:pPr>
        <w:spacing w:after="0" w:line="225" w:lineRule="exact"/>
        <w:rPr>
          <w:sz w:val="20"/>
          <w:szCs w:val="20"/>
          <w:color w:val="auto"/>
        </w:rPr>
      </w:pPr>
    </w:p>
    <w:p>
      <w:pPr>
        <w:ind w:left="500" w:hanging="492"/>
        <w:spacing w:after="0"/>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was US$45.3 million, down approximately 39.6% year over year (4Q2021: US$75.0 million).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IoT platform-as-a-service (“PaaS”) revenue </w:t>
      </w:r>
      <w:r>
        <w:rPr>
          <w:rFonts w:ascii="Arial" w:cs="Arial" w:eastAsia="Arial" w:hAnsi="Arial"/>
          <w:sz w:val="17"/>
          <w:szCs w:val="17"/>
          <w:color w:val="auto"/>
        </w:rPr>
        <w:t>was US$32.6 million, down approximately 47.4% year over year (4Q2021: US$62.1 million).</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Software-as-a-service (“SaaS”) and others revenue </w:t>
      </w:r>
      <w:r>
        <w:rPr>
          <w:rFonts w:ascii="Arial" w:cs="Arial" w:eastAsia="Arial" w:hAnsi="Arial"/>
          <w:sz w:val="17"/>
          <w:szCs w:val="17"/>
          <w:color w:val="auto"/>
        </w:rPr>
        <w:t>was US$7.9 million, up approximately 8.7% year over year (4Q2021: US$7.3 million).</w:t>
      </w:r>
    </w:p>
    <w:p>
      <w:pPr>
        <w:spacing w:after="0" w:line="236" w:lineRule="exact"/>
        <w:rPr>
          <w:rFonts w:ascii="Arial" w:cs="Arial" w:eastAsia="Arial" w:hAnsi="Arial"/>
          <w:sz w:val="17"/>
          <w:szCs w:val="17"/>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Overall gross margin </w:t>
      </w:r>
      <w:r>
        <w:rPr>
          <w:rFonts w:ascii="Arial" w:cs="Arial" w:eastAsia="Arial" w:hAnsi="Arial"/>
          <w:sz w:val="16"/>
          <w:szCs w:val="16"/>
          <w:color w:val="auto"/>
        </w:rPr>
        <w:t>for the quarter increased to 44.6%, up 1.4 percentage points year over year (4Q2021: 43.2%). Gross margin of IoT PaaS for</w:t>
      </w:r>
    </w:p>
    <w:p>
      <w:pPr>
        <w:spacing w:after="0" w:line="5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the quarter decreased to 41.5%, down 1.0 percentage point year over year (4Q2021: 42.5%).</w:t>
      </w:r>
    </w:p>
    <w:p>
      <w:pPr>
        <w:spacing w:after="0" w:line="206" w:lineRule="exact"/>
        <w:rPr>
          <w:rFonts w:ascii="Arial" w:cs="Arial" w:eastAsia="Arial" w:hAnsi="Arial"/>
          <w:sz w:val="16"/>
          <w:szCs w:val="16"/>
          <w:color w:val="auto"/>
        </w:rPr>
      </w:pPr>
    </w:p>
    <w:p>
      <w:pPr>
        <w:ind w:left="500" w:hanging="492"/>
        <w:spacing w:after="0"/>
        <w:tabs>
          <w:tab w:leader="none" w:pos="50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for the quarter were US$53.0 million, down approximately 36.8% year over year (4Q2021: US$83.9 million).</w:t>
      </w:r>
      <w:r>
        <w:rPr>
          <w:rFonts w:ascii="Arial" w:cs="Arial" w:eastAsia="Arial" w:hAnsi="Arial"/>
          <w:sz w:val="17"/>
          <w:szCs w:val="17"/>
          <w:b w:val="1"/>
          <w:bCs w:val="1"/>
          <w:color w:val="auto"/>
        </w:rPr>
        <w:t xml:space="preserve"> Non-GAAP</w:t>
      </w:r>
    </w:p>
    <w:p>
      <w:pPr>
        <w:spacing w:after="0" w:line="38"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for the quarter were US$35.5 million, down approximately 46.4% year over year (4Q2021: US$66.3 million).</w:t>
      </w:r>
      <w:r>
        <w:rPr>
          <w:rFonts w:ascii="Arial" w:cs="Arial" w:eastAsia="Arial" w:hAnsi="Arial"/>
          <w:sz w:val="17"/>
          <w:szCs w:val="17"/>
          <w:b w:val="1"/>
          <w:bCs w:val="1"/>
          <w:color w:val="auto"/>
        </w:rPr>
        <w:t xml:space="preserve"> Operating</w:t>
      </w:r>
    </w:p>
    <w:p>
      <w:pPr>
        <w:spacing w:after="0" w:line="20"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b w:val="1"/>
          <w:bCs w:val="1"/>
          <w:color w:val="auto"/>
        </w:rPr>
        <w:t xml:space="preserve">margin </w:t>
      </w:r>
      <w:r>
        <w:rPr>
          <w:rFonts w:ascii="Arial" w:cs="Arial" w:eastAsia="Arial" w:hAnsi="Arial"/>
          <w:sz w:val="16"/>
          <w:szCs w:val="16"/>
          <w:color w:val="auto"/>
        </w:rPr>
        <w:t>for the quarter was negative 72.5%, down 3.7 percentage points year over year (4Q2021: negative 68.8%).</w:t>
      </w:r>
      <w:r>
        <w:rPr>
          <w:rFonts w:ascii="Arial" w:cs="Arial" w:eastAsia="Arial" w:hAnsi="Arial"/>
          <w:sz w:val="16"/>
          <w:szCs w:val="16"/>
          <w:b w:val="1"/>
          <w:bCs w:val="1"/>
          <w:color w:val="auto"/>
        </w:rPr>
        <w:t xml:space="preserve"> Non-GAAP operating margin</w:t>
      </w:r>
    </w:p>
    <w:p>
      <w:pPr>
        <w:spacing w:after="0" w:line="32"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for the quarter was negative 33.8%, up 11.5 percentage points year over year (4Q2021: negative 45.3%).</w:t>
      </w:r>
    </w:p>
    <w:p>
      <w:pPr>
        <w:spacing w:after="0" w:line="206" w:lineRule="exact"/>
        <w:rPr>
          <w:rFonts w:ascii="Arial" w:cs="Arial" w:eastAsia="Arial" w:hAnsi="Arial"/>
          <w:sz w:val="17"/>
          <w:szCs w:val="17"/>
          <w:color w:val="auto"/>
        </w:rPr>
      </w:pPr>
    </w:p>
    <w:p>
      <w:pPr>
        <w:ind w:left="500" w:hanging="492"/>
        <w:spacing w:after="0"/>
        <w:tabs>
          <w:tab w:leader="none" w:pos="500" w:val="left"/>
        </w:tabs>
        <w:numPr>
          <w:ilvl w:val="0"/>
          <w:numId w:val="1"/>
        </w:numPr>
        <w:rPr>
          <w:rFonts w:ascii="Arial" w:cs="Arial" w:eastAsia="Arial" w:hAnsi="Arial"/>
          <w:sz w:val="16"/>
          <w:szCs w:val="16"/>
          <w:color w:val="auto"/>
        </w:rPr>
      </w:pPr>
      <w:r>
        <w:rPr>
          <w:rFonts w:ascii="Arial" w:cs="Arial" w:eastAsia="Arial" w:hAnsi="Arial"/>
          <w:sz w:val="16"/>
          <w:szCs w:val="16"/>
          <w:b w:val="1"/>
          <w:bCs w:val="1"/>
          <w:color w:val="auto"/>
        </w:rPr>
        <w:t xml:space="preserve">Net cash used in operating activities </w:t>
      </w:r>
      <w:r>
        <w:rPr>
          <w:rFonts w:ascii="Arial" w:cs="Arial" w:eastAsia="Arial" w:hAnsi="Arial"/>
          <w:sz w:val="16"/>
          <w:szCs w:val="16"/>
          <w:color w:val="auto"/>
        </w:rPr>
        <w:t>for the quarter was US$0.1 million, down approximately 99.7% year over year (4Q2021: US$53.2 million).</w:t>
      </w:r>
    </w:p>
    <w:p>
      <w:pPr>
        <w:spacing w:after="0" w:line="248" w:lineRule="exact"/>
        <w:rPr>
          <w:rFonts w:ascii="Arial" w:cs="Arial" w:eastAsia="Arial" w:hAnsi="Arial"/>
          <w:sz w:val="16"/>
          <w:szCs w:val="16"/>
          <w:color w:val="auto"/>
        </w:rPr>
      </w:pPr>
    </w:p>
    <w:p>
      <w:pPr>
        <w:ind w:left="500" w:hanging="492"/>
        <w:spacing w:after="0" w:line="282"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cash and cash equivalents, and short-term investments </w:t>
      </w:r>
      <w:r>
        <w:rPr>
          <w:rFonts w:ascii="Arial" w:cs="Arial" w:eastAsia="Arial" w:hAnsi="Arial"/>
          <w:sz w:val="18"/>
          <w:szCs w:val="18"/>
          <w:color w:val="auto"/>
        </w:rPr>
        <w:t>were US$954.3 million as of December 31, 2022, compared to US$945.9 million as</w:t>
      </w:r>
      <w:r>
        <w:rPr>
          <w:rFonts w:ascii="Arial" w:cs="Arial" w:eastAsia="Arial" w:hAnsi="Arial"/>
          <w:sz w:val="18"/>
          <w:szCs w:val="18"/>
          <w:b w:val="1"/>
          <w:bCs w:val="1"/>
          <w:color w:val="auto"/>
        </w:rPr>
        <w:t xml:space="preserve"> </w:t>
      </w:r>
      <w:r>
        <w:rPr>
          <w:rFonts w:ascii="Arial" w:cs="Arial" w:eastAsia="Arial" w:hAnsi="Arial"/>
          <w:sz w:val="18"/>
          <w:szCs w:val="18"/>
          <w:color w:val="auto"/>
        </w:rPr>
        <w:t>of September 30, 2022 and US$1.07 billion as of December 31, 2021.</w:t>
      </w:r>
    </w:p>
    <w:p>
      <w:pPr>
        <w:spacing w:after="0" w:line="161" w:lineRule="exact"/>
        <w:rPr>
          <w:rFonts w:ascii="Arial" w:cs="Arial" w:eastAsia="Arial" w:hAnsi="Arial"/>
          <w:sz w:val="18"/>
          <w:szCs w:val="18"/>
          <w:color w:val="auto"/>
        </w:rPr>
      </w:pPr>
    </w:p>
    <w:p>
      <w:pPr>
        <w:ind w:left="500" w:hanging="492"/>
        <w:spacing w:after="0" w:line="282" w:lineRule="auto"/>
        <w:tabs>
          <w:tab w:leader="none" w:pos="50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 xml:space="preserve">Total shares repurchased in the form of American Depositary Shares (“ADSs”) and Class A ordinary shares </w:t>
      </w:r>
      <w:r>
        <w:rPr>
          <w:rFonts w:ascii="Arial" w:cs="Arial" w:eastAsia="Arial" w:hAnsi="Arial"/>
          <w:sz w:val="18"/>
          <w:szCs w:val="18"/>
          <w:color w:val="auto"/>
        </w:rPr>
        <w:t>amounted to approximately 25.8</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for a total consideration of approximately US$112.8 million as of December 31, 2022.</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Full Year 2022 Financial Highlights</w:t>
      </w:r>
    </w:p>
    <w:p>
      <w:pPr>
        <w:spacing w:after="0" w:line="225" w:lineRule="exact"/>
        <w:rPr>
          <w:sz w:val="20"/>
          <w:szCs w:val="20"/>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Total revenue </w:t>
      </w:r>
      <w:r>
        <w:rPr>
          <w:rFonts w:ascii="Arial" w:cs="Arial" w:eastAsia="Arial" w:hAnsi="Arial"/>
          <w:sz w:val="18"/>
          <w:szCs w:val="18"/>
          <w:color w:val="auto"/>
        </w:rPr>
        <w:t>was US$208.2 million, down approximately 31.1% year over year (2021: US$302.1 million).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IoT PaaS revenue </w:t>
      </w:r>
      <w:r>
        <w:rPr>
          <w:rFonts w:ascii="Arial" w:cs="Arial" w:eastAsia="Arial" w:hAnsi="Arial"/>
          <w:sz w:val="18"/>
          <w:szCs w:val="18"/>
          <w:color w:val="auto"/>
        </w:rPr>
        <w:t>was US$152.9 million, down approximately 41.5% year over year (2021: US$261.4 million).</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SaaS and others revenue </w:t>
      </w:r>
      <w:r>
        <w:rPr>
          <w:rFonts w:ascii="Arial" w:cs="Arial" w:eastAsia="Arial" w:hAnsi="Arial"/>
          <w:sz w:val="18"/>
          <w:szCs w:val="18"/>
          <w:color w:val="auto"/>
        </w:rPr>
        <w:t>was US$29.8 million, up approximately 60.6% year over year (2021: US$18.6 million).</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4" w:name="page5"/>
    <w:bookmarkEnd w:id="4"/>
    <w:p>
      <w:pPr>
        <w:ind w:left="500" w:hanging="492"/>
        <w:spacing w:after="0"/>
        <w:tabs>
          <w:tab w:leader="none" w:pos="50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Overall gross margin </w:t>
      </w:r>
      <w:r>
        <w:rPr>
          <w:rFonts w:ascii="Arial" w:cs="Arial" w:eastAsia="Arial" w:hAnsi="Arial"/>
          <w:sz w:val="16"/>
          <w:szCs w:val="16"/>
          <w:color w:val="auto"/>
        </w:rPr>
        <w:t>for the year increased to 43.0%, up 0.7 percentage point year over year (2021: 42.3%). Gross margin of IoT PaaS for the year</w:t>
      </w:r>
    </w:p>
    <w:p>
      <w:pPr>
        <w:spacing w:after="0" w:line="50" w:lineRule="exact"/>
        <w:rPr>
          <w:rFonts w:ascii="Arial" w:cs="Arial" w:eastAsia="Arial" w:hAnsi="Arial"/>
          <w:sz w:val="16"/>
          <w:szCs w:val="16"/>
          <w:color w:val="auto"/>
        </w:rPr>
      </w:pPr>
    </w:p>
    <w:p>
      <w:pPr>
        <w:ind w:left="500"/>
        <w:spacing w:after="0"/>
        <w:rPr>
          <w:rFonts w:ascii="Arial" w:cs="Arial" w:eastAsia="Arial" w:hAnsi="Arial"/>
          <w:sz w:val="16"/>
          <w:szCs w:val="16"/>
          <w:color w:val="auto"/>
        </w:rPr>
      </w:pPr>
      <w:r>
        <w:rPr>
          <w:rFonts w:ascii="Arial" w:cs="Arial" w:eastAsia="Arial" w:hAnsi="Arial"/>
          <w:sz w:val="18"/>
          <w:szCs w:val="18"/>
          <w:color w:val="auto"/>
        </w:rPr>
        <w:t>decreased to 41.1%, down 1.3 percentage points year over year (2021: 42.4%).</w:t>
      </w:r>
    </w:p>
    <w:p>
      <w:pPr>
        <w:spacing w:after="0" w:line="206" w:lineRule="exact"/>
        <w:rPr>
          <w:rFonts w:ascii="Arial" w:cs="Arial" w:eastAsia="Arial" w:hAnsi="Arial"/>
          <w:sz w:val="16"/>
          <w:szCs w:val="16"/>
          <w:color w:val="auto"/>
        </w:rPr>
      </w:pPr>
    </w:p>
    <w:p>
      <w:pPr>
        <w:ind w:left="500" w:hanging="49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Operating expenses </w:t>
      </w:r>
      <w:r>
        <w:rPr>
          <w:rFonts w:ascii="Arial" w:cs="Arial" w:eastAsia="Arial" w:hAnsi="Arial"/>
          <w:sz w:val="17"/>
          <w:szCs w:val="17"/>
          <w:color w:val="auto"/>
        </w:rPr>
        <w:t>for the year were US$257.6 million, down approximately 17.3% year over year (2021: US$311.4 million).</w:t>
      </w:r>
      <w:r>
        <w:rPr>
          <w:rFonts w:ascii="Arial" w:cs="Arial" w:eastAsia="Arial" w:hAnsi="Arial"/>
          <w:sz w:val="17"/>
          <w:szCs w:val="17"/>
          <w:b w:val="1"/>
          <w:bCs w:val="1"/>
          <w:color w:val="auto"/>
        </w:rPr>
        <w:t xml:space="preserve"> Non-GAAP</w:t>
      </w:r>
    </w:p>
    <w:p>
      <w:pPr>
        <w:spacing w:after="0" w:line="38"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b w:val="1"/>
          <w:bCs w:val="1"/>
          <w:color w:val="auto"/>
        </w:rPr>
        <w:t xml:space="preserve">operating expenses </w:t>
      </w:r>
      <w:r>
        <w:rPr>
          <w:rFonts w:ascii="Arial" w:cs="Arial" w:eastAsia="Arial" w:hAnsi="Arial"/>
          <w:sz w:val="16"/>
          <w:szCs w:val="16"/>
          <w:color w:val="auto"/>
        </w:rPr>
        <w:t>for the year were US$188.6 million, down approximately 23.1% year over year (2021: US$245.3 million).</w:t>
      </w:r>
      <w:r>
        <w:rPr>
          <w:rFonts w:ascii="Arial" w:cs="Arial" w:eastAsia="Arial" w:hAnsi="Arial"/>
          <w:sz w:val="16"/>
          <w:szCs w:val="16"/>
          <w:b w:val="1"/>
          <w:bCs w:val="1"/>
          <w:color w:val="auto"/>
        </w:rPr>
        <w:t xml:space="preserve"> Operating margin</w:t>
      </w:r>
    </w:p>
    <w:p>
      <w:pPr>
        <w:spacing w:after="0" w:line="32"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6"/>
          <w:szCs w:val="16"/>
          <w:color w:val="auto"/>
        </w:rPr>
        <w:t xml:space="preserve">for the year was negative 80.8%, down 20.0 percentage points year over year (2021: negative 60.8%). </w:t>
      </w:r>
      <w:r>
        <w:rPr>
          <w:rFonts w:ascii="Arial" w:cs="Arial" w:eastAsia="Arial" w:hAnsi="Arial"/>
          <w:sz w:val="16"/>
          <w:szCs w:val="16"/>
          <w:b w:val="1"/>
          <w:bCs w:val="1"/>
          <w:color w:val="auto"/>
        </w:rPr>
        <w:t>Non-GAAP operating margin</w:t>
      </w:r>
      <w:r>
        <w:rPr>
          <w:rFonts w:ascii="Arial" w:cs="Arial" w:eastAsia="Arial" w:hAnsi="Arial"/>
          <w:sz w:val="16"/>
          <w:szCs w:val="16"/>
          <w:color w:val="auto"/>
        </w:rPr>
        <w:t xml:space="preserve"> for the year</w:t>
      </w:r>
    </w:p>
    <w:p>
      <w:pPr>
        <w:spacing w:after="0" w:line="32" w:lineRule="exact"/>
        <w:rPr>
          <w:rFonts w:ascii="Arial" w:cs="Arial" w:eastAsia="Arial" w:hAnsi="Arial"/>
          <w:sz w:val="17"/>
          <w:szCs w:val="17"/>
          <w:color w:val="auto"/>
        </w:rPr>
      </w:pPr>
    </w:p>
    <w:p>
      <w:pPr>
        <w:ind w:left="500"/>
        <w:spacing w:after="0"/>
        <w:rPr>
          <w:rFonts w:ascii="Arial" w:cs="Arial" w:eastAsia="Arial" w:hAnsi="Arial"/>
          <w:sz w:val="17"/>
          <w:szCs w:val="17"/>
          <w:color w:val="auto"/>
        </w:rPr>
      </w:pPr>
      <w:r>
        <w:rPr>
          <w:rFonts w:ascii="Arial" w:cs="Arial" w:eastAsia="Arial" w:hAnsi="Arial"/>
          <w:sz w:val="18"/>
          <w:szCs w:val="18"/>
          <w:color w:val="auto"/>
        </w:rPr>
        <w:t>was negative 47.6%, down 8.7 percentage points year over year (2021: negative 38.9%).</w:t>
      </w:r>
    </w:p>
    <w:p>
      <w:pPr>
        <w:spacing w:after="0" w:line="206" w:lineRule="exact"/>
        <w:rPr>
          <w:rFonts w:ascii="Arial" w:cs="Arial" w:eastAsia="Arial" w:hAnsi="Arial"/>
          <w:sz w:val="17"/>
          <w:szCs w:val="17"/>
          <w:color w:val="auto"/>
        </w:rPr>
      </w:pPr>
    </w:p>
    <w:p>
      <w:pPr>
        <w:ind w:left="500" w:hanging="492"/>
        <w:spacing w:after="0"/>
        <w:tabs>
          <w:tab w:leader="none" w:pos="50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Net cash used in operating activities </w:t>
      </w:r>
      <w:r>
        <w:rPr>
          <w:rFonts w:ascii="Arial" w:cs="Arial" w:eastAsia="Arial" w:hAnsi="Arial"/>
          <w:sz w:val="17"/>
          <w:szCs w:val="17"/>
          <w:color w:val="auto"/>
        </w:rPr>
        <w:t>for the year was US$70.7 million, down approximately 44.0% year over year (2021: US$126.1 million).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and Fiscal Year 2022 Operating Highlights</w:t>
      </w:r>
    </w:p>
    <w:p>
      <w:pPr>
        <w:spacing w:after="0" w:line="229" w:lineRule="exact"/>
        <w:rPr>
          <w:sz w:val="20"/>
          <w:szCs w:val="20"/>
          <w:color w:val="auto"/>
        </w:rPr>
      </w:pPr>
    </w:p>
    <w:p>
      <w:pPr>
        <w:jc w:val="both"/>
        <w:ind w:left="500" w:hanging="492"/>
        <w:spacing w:after="0" w:line="213" w:lineRule="auto"/>
        <w:tabs>
          <w:tab w:leader="none" w:pos="500" w:val="left"/>
        </w:tabs>
        <w:numPr>
          <w:ilvl w:val="0"/>
          <w:numId w:val="4"/>
        </w:numPr>
        <w:rPr>
          <w:rFonts w:ascii="Arial" w:cs="Arial" w:eastAsia="Arial" w:hAnsi="Arial"/>
          <w:sz w:val="36"/>
          <w:szCs w:val="36"/>
          <w:color w:val="auto"/>
          <w:vertAlign w:val="superscript"/>
        </w:rPr>
      </w:pPr>
      <w:r>
        <w:rPr>
          <w:rFonts w:ascii="Arial" w:cs="Arial" w:eastAsia="Arial" w:hAnsi="Arial"/>
          <w:sz w:val="18"/>
          <w:szCs w:val="18"/>
          <w:b w:val="1"/>
          <w:bCs w:val="1"/>
          <w:color w:val="auto"/>
        </w:rPr>
        <w:t>IoT PaaS customers</w:t>
      </w:r>
      <w:r>
        <w:rPr>
          <w:rFonts w:ascii="Arial" w:cs="Arial" w:eastAsia="Arial" w:hAnsi="Arial"/>
          <w:sz w:val="29"/>
          <w:szCs w:val="29"/>
          <w:b w:val="1"/>
          <w:bCs w:val="1"/>
          <w:color w:val="auto"/>
          <w:vertAlign w:val="superscript"/>
        </w:rPr>
        <w:t>1</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fourth quarter and the fiscal year 2022 were approximately 2,400 and 5,100, respectively (4Q2021 and 2021:</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3,300 and 5,500, respectively). Total customers for the fourth quarter and the fiscal year 2022 were approximately 3,400 and 7,600, respectively (4Q2021 and 2021: approximately 4,800 and 8,400, respectively). The Group’s implementation of its key-account strategy enabled it to be more focused on serving strategic customers.</w:t>
      </w:r>
    </w:p>
    <w:p>
      <w:pPr>
        <w:spacing w:after="0" w:line="206" w:lineRule="exact"/>
        <w:rPr>
          <w:rFonts w:ascii="Arial" w:cs="Arial" w:eastAsia="Arial" w:hAnsi="Arial"/>
          <w:sz w:val="36"/>
          <w:szCs w:val="36"/>
          <w:color w:val="auto"/>
          <w:vertAlign w:val="superscript"/>
        </w:rPr>
      </w:pPr>
    </w:p>
    <w:p>
      <w:pPr>
        <w:jc w:val="both"/>
        <w:ind w:left="500" w:hanging="492"/>
        <w:spacing w:after="0" w:line="202" w:lineRule="auto"/>
        <w:tabs>
          <w:tab w:leader="none" w:pos="500" w:val="left"/>
        </w:tabs>
        <w:numPr>
          <w:ilvl w:val="0"/>
          <w:numId w:val="4"/>
        </w:numPr>
        <w:rPr>
          <w:rFonts w:ascii="Arial" w:cs="Arial" w:eastAsia="Arial" w:hAnsi="Arial"/>
          <w:sz w:val="36"/>
          <w:szCs w:val="36"/>
          <w:b w:val="1"/>
          <w:bCs w:val="1"/>
          <w:color w:val="auto"/>
          <w:vertAlign w:val="superscript"/>
        </w:rPr>
      </w:pPr>
      <w:r>
        <w:rPr>
          <w:rFonts w:ascii="Arial" w:cs="Arial" w:eastAsia="Arial" w:hAnsi="Arial"/>
          <w:sz w:val="18"/>
          <w:szCs w:val="18"/>
          <w:b w:val="1"/>
          <w:bCs w:val="1"/>
          <w:color w:val="auto"/>
        </w:rPr>
        <w:t>Premium IoT PaaS customers</w:t>
      </w:r>
      <w:r>
        <w:rPr>
          <w:rFonts w:ascii="Arial" w:cs="Arial" w:eastAsia="Arial" w:hAnsi="Arial"/>
          <w:sz w:val="29"/>
          <w:szCs w:val="29"/>
          <w:color w:val="auto"/>
          <w:vertAlign w:val="superscript"/>
        </w:rPr>
        <w:t>2</w:t>
      </w:r>
      <w:r>
        <w:rPr>
          <w:rFonts w:ascii="Arial" w:cs="Arial" w:eastAsia="Arial" w:hAnsi="Arial"/>
          <w:sz w:val="18"/>
          <w:szCs w:val="18"/>
          <w:b w:val="1"/>
          <w:bCs w:val="1"/>
          <w:color w:val="auto"/>
        </w:rPr>
        <w:t xml:space="preserve"> </w:t>
      </w:r>
      <w:r>
        <w:rPr>
          <w:rFonts w:ascii="Arial" w:cs="Arial" w:eastAsia="Arial" w:hAnsi="Arial"/>
          <w:sz w:val="18"/>
          <w:szCs w:val="18"/>
          <w:color w:val="auto"/>
        </w:rPr>
        <w:t>for the trailing 12 months ended December 31, 2022 were 263 (4Q2021: 311). In the fourth quarter and the fiscal</w:t>
      </w:r>
      <w:r>
        <w:rPr>
          <w:rFonts w:ascii="Arial" w:cs="Arial" w:eastAsia="Arial" w:hAnsi="Arial"/>
          <w:sz w:val="18"/>
          <w:szCs w:val="18"/>
          <w:b w:val="1"/>
          <w:bCs w:val="1"/>
          <w:color w:val="auto"/>
        </w:rPr>
        <w:t xml:space="preserve"> </w:t>
      </w:r>
      <w:r>
        <w:rPr>
          <w:rFonts w:ascii="Arial" w:cs="Arial" w:eastAsia="Arial" w:hAnsi="Arial"/>
          <w:sz w:val="18"/>
          <w:szCs w:val="18"/>
          <w:color w:val="auto"/>
        </w:rPr>
        <w:t>year 2022, the Group’s premium IoT PaaS customers contributed approximately 77.0% and 81.7% of its IoT PaaS revenue, respectively (4Q2021 and 2021: approximately 87.3% and 88.6%, respectively).</w:t>
      </w:r>
    </w:p>
    <w:p>
      <w:pPr>
        <w:spacing w:after="0" w:line="206" w:lineRule="exact"/>
        <w:rPr>
          <w:rFonts w:ascii="Arial" w:cs="Arial" w:eastAsia="Arial" w:hAnsi="Arial"/>
          <w:sz w:val="36"/>
          <w:szCs w:val="36"/>
          <w:b w:val="1"/>
          <w:bCs w:val="1"/>
          <w:color w:val="auto"/>
          <w:vertAlign w:val="superscript"/>
        </w:rPr>
      </w:pPr>
    </w:p>
    <w:p>
      <w:pPr>
        <w:ind w:left="500" w:hanging="492"/>
        <w:spacing w:after="0"/>
        <w:tabs>
          <w:tab w:leader="none" w:pos="500" w:val="left"/>
        </w:tabs>
        <w:numPr>
          <w:ilvl w:val="0"/>
          <w:numId w:val="4"/>
        </w:numPr>
        <w:rPr>
          <w:rFonts w:ascii="Arial" w:cs="Arial" w:eastAsia="Arial" w:hAnsi="Arial"/>
          <w:sz w:val="34"/>
          <w:szCs w:val="34"/>
          <w:b w:val="1"/>
          <w:bCs w:val="1"/>
          <w:color w:val="auto"/>
          <w:vertAlign w:val="superscript"/>
        </w:rPr>
      </w:pPr>
      <w:r>
        <w:rPr>
          <w:rFonts w:ascii="Arial" w:cs="Arial" w:eastAsia="Arial" w:hAnsi="Arial"/>
          <w:sz w:val="17"/>
          <w:szCs w:val="17"/>
          <w:b w:val="1"/>
          <w:bCs w:val="1"/>
          <w:color w:val="auto"/>
        </w:rPr>
        <w:t>Dollar-based net expansion rate (“DBNER”)</w:t>
      </w:r>
      <w:r>
        <w:rPr>
          <w:rFonts w:ascii="Arial" w:cs="Arial" w:eastAsia="Arial" w:hAnsi="Arial"/>
          <w:sz w:val="27"/>
          <w:szCs w:val="27"/>
          <w:color w:val="auto"/>
          <w:vertAlign w:val="superscript"/>
        </w:rPr>
        <w:t>3</w:t>
      </w:r>
      <w:r>
        <w:rPr>
          <w:rFonts w:ascii="Arial" w:cs="Arial" w:eastAsia="Arial" w:hAnsi="Arial"/>
          <w:sz w:val="17"/>
          <w:szCs w:val="17"/>
          <w:b w:val="1"/>
          <w:bCs w:val="1"/>
          <w:color w:val="auto"/>
        </w:rPr>
        <w:t xml:space="preserve"> </w:t>
      </w:r>
      <w:r>
        <w:rPr>
          <w:rFonts w:ascii="Arial" w:cs="Arial" w:eastAsia="Arial" w:hAnsi="Arial"/>
          <w:sz w:val="17"/>
          <w:szCs w:val="17"/>
          <w:color w:val="auto"/>
        </w:rPr>
        <w:t>of IoT PaaS for the trailing 12 months ended December 31, 2022 was 51% (4Q2021: 153%).</w:t>
      </w:r>
    </w:p>
    <w:p>
      <w:pPr>
        <w:spacing w:after="0" w:line="77" w:lineRule="exact"/>
        <w:rPr>
          <w:rFonts w:ascii="Arial" w:cs="Arial" w:eastAsia="Arial" w:hAnsi="Arial"/>
          <w:sz w:val="34"/>
          <w:szCs w:val="34"/>
          <w:b w:val="1"/>
          <w:bCs w:val="1"/>
          <w:color w:val="auto"/>
          <w:vertAlign w:val="superscript"/>
        </w:rPr>
      </w:pPr>
    </w:p>
    <w:p>
      <w:pPr>
        <w:ind w:left="500" w:right="20" w:hanging="492"/>
        <w:spacing w:after="0" w:line="279" w:lineRule="auto"/>
        <w:tabs>
          <w:tab w:leader="none" w:pos="50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Registered IoT device and software developers</w:t>
      </w:r>
      <w:r>
        <w:rPr>
          <w:rFonts w:ascii="Arial" w:cs="Arial" w:eastAsia="Arial" w:hAnsi="Arial"/>
          <w:sz w:val="18"/>
          <w:szCs w:val="18"/>
          <w:color w:val="auto"/>
        </w:rPr>
        <w:t>, or registered developers, were over 708,000 as of December 31, 2022, up 38.8% from</w:t>
      </w:r>
      <w:r>
        <w:rPr>
          <w:rFonts w:ascii="Arial" w:cs="Arial" w:eastAsia="Arial" w:hAnsi="Arial"/>
          <w:sz w:val="18"/>
          <w:szCs w:val="18"/>
          <w:b w:val="1"/>
          <w:bCs w:val="1"/>
          <w:color w:val="auto"/>
        </w:rPr>
        <w:t xml:space="preserve"> </w:t>
      </w:r>
      <w:r>
        <w:rPr>
          <w:rFonts w:ascii="Arial" w:cs="Arial" w:eastAsia="Arial" w:hAnsi="Arial"/>
          <w:sz w:val="18"/>
          <w:szCs w:val="18"/>
          <w:color w:val="auto"/>
        </w:rPr>
        <w:t>approximately 510,000 developers as of December 31, 2021.</w:t>
      </w:r>
    </w:p>
    <w:p>
      <w:pPr>
        <w:spacing w:after="0" w:line="168" w:lineRule="exact"/>
        <w:rPr>
          <w:sz w:val="20"/>
          <w:szCs w:val="20"/>
          <w:color w:val="auto"/>
        </w:rPr>
      </w:pPr>
    </w:p>
    <w:p>
      <w:pPr>
        <w:ind w:left="50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Group defines an IoT PaaS customer for a given period as a customer who has directly placed orders for IoT PaaS with the Group during that period.</w:t>
      </w:r>
    </w:p>
    <w:p>
      <w:pPr>
        <w:spacing w:after="0" w:line="170"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Group defines a premium IoT PaaS customer as a customer as of a given date that contributed more than US$100,000 of IoT PaaS revenue during the immediately preceding 12-month period.</w:t>
      </w:r>
    </w:p>
    <w:p>
      <w:pPr>
        <w:spacing w:after="0" w:line="170" w:lineRule="exact"/>
        <w:rPr>
          <w:rFonts w:ascii="Arial" w:cs="Arial" w:eastAsia="Arial" w:hAnsi="Arial"/>
          <w:sz w:val="18"/>
          <w:szCs w:val="18"/>
          <w:color w:val="auto"/>
        </w:rPr>
      </w:pPr>
    </w:p>
    <w:p>
      <w:pPr>
        <w:jc w:val="both"/>
        <w:ind w:left="500" w:hanging="492"/>
        <w:spacing w:after="0" w:line="273" w:lineRule="auto"/>
        <w:tabs>
          <w:tab w:leader="none" w:pos="50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Group calculates DBNER of IoT PaaS for a trailing 12-month period by first identifying all customers in the prior 12-month period (i.e., those have placed at least one order for IoT PaaS during that period), and then calculating the quotient from dividing the IoT PaaS revenue generated from such customers in the current trailing 12-month period by the IoT PaaS revenue generated from the same group of customers in the prior 12-month period. The Group’s DBNER may change from period to period, due to a combination of various factors, including changes in the customers’ purchase cycles and amounts and the Group’s customer mix, among other things. DBNER indicates the Group’s ability to expand customer use of the Tuya platform over time and generate revenue growth from existing customers.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jc w:val="both"/>
        <w:spacing w:after="0" w:line="254" w:lineRule="auto"/>
        <w:rPr>
          <w:sz w:val="20"/>
          <w:szCs w:val="20"/>
          <w:color w:val="auto"/>
        </w:rPr>
      </w:pPr>
      <w:r>
        <w:rPr>
          <w:rFonts w:ascii="Arial" w:cs="Arial" w:eastAsia="Arial" w:hAnsi="Arial"/>
          <w:sz w:val="18"/>
          <w:szCs w:val="18"/>
          <w:color w:val="auto"/>
        </w:rPr>
        <w:t>Mr. Xueji (Jerry) Wang, Founder and Chief Executive Officer of Tuya, commented, “We have responded swiftly and decisively to macroeconomic headwinds, including high inflation and downstream destocking, recreating our company to be stronger and more resilient than ever. We have taken bold steps to optimize our product offerings, streamline our operations, and reduce our expenses. In particular, our recalibrated focus on key account customers and our sales triangle strategy enabled us to better meet the diverse needs of large customers while improving our service efficiency. Looking ahead, we are confident that our strengthened value proposition, improved cost and expense structure, and substantial cash position will enable us to capitalize on emerging opportunities in 2023 and beyond. We are committed to our mission of driving innovation and delivering value to our customers, and we’re confident in the long-term prospects of our business.”</w:t>
      </w:r>
    </w:p>
    <w:p>
      <w:pPr>
        <w:spacing w:after="0" w:line="19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Ms. Yao (Jessie) Liu, Director and Chief Financial Officer of Tuya, added, “Reflecting on 2022 performance, we acknowledge the impact of weakening sales of consumer products, our core market. We responded proactively by reducing headcount and optimizing our cost structure, which resulted in improved margins and minimal cash use. Notably, we achieved a 46.4% reduction in non-GAAP total operating expenses in the fourth quarter of 2022, marking our fifth consecutive quarter with substantial operating expense reductions. Our success in controlling expenses and improving efficiency has allowed us to achieve our lowest quarterly non-GAAP net loss since the start of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Fourth Quarter 2022 Unaudited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Total revenue in the fourth quarter of 2022 decreased by 39.6% to US$45.3 million from US$75.0 million in the same period of 2021, mainly due to the decreases in IoT PaaS revenue and smart device distribution revenue, partially offset by the increase in SaaS and others revenue. More particularly:</w:t>
      </w:r>
    </w:p>
    <w:p>
      <w:pPr>
        <w:spacing w:after="0" w:line="124" w:lineRule="exact"/>
        <w:rPr>
          <w:sz w:val="20"/>
          <w:szCs w:val="20"/>
          <w:color w:val="auto"/>
        </w:rPr>
      </w:pPr>
    </w:p>
    <w:p>
      <w:pPr>
        <w:jc w:val="both"/>
        <w:ind w:left="500" w:hanging="492"/>
        <w:spacing w:after="0" w:line="254" w:lineRule="auto"/>
        <w:tabs>
          <w:tab w:leader="none" w:pos="5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IoT PaaS revenue in the fourth quarter of 2022 decreased by 47.4% to US$32.6 million from US$62.1 million in the same period of 2021. During the quarter, the Group’s customers remained conservative with their purchases as a result of (i) continued global inflation and the consequent weakened consumer spending, (ii) heavy inventory backlog in the supply chain caused by the mismatch in supply and demand in the consumer discretionary sector amid such continued inflation, which is expected to be consumed by the downstream over time, and (iii) an adverse impact of US$2.9 million due to foreign exchange rate fluctuation. In addition, during the quarter, the Group’s operating and selling and marketing activities were impacted by the COVID-19 in China. As a result of these factors, the Group’s DBNER of IoT PaaS for the trailing 12 months ended December 31, 2022 decreased to 51% compared to previous periods.</w:t>
      </w: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jc w:val="both"/>
        <w:ind w:left="500" w:hanging="492"/>
        <w:spacing w:after="0" w:line="275" w:lineRule="auto"/>
        <w:tabs>
          <w:tab w:leader="none" w:pos="500" w:val="left"/>
        </w:tabs>
        <w:numPr>
          <w:ilvl w:val="0"/>
          <w:numId w:val="7"/>
        </w:numPr>
        <w:rPr>
          <w:rFonts w:ascii="Arial" w:cs="Arial" w:eastAsia="Arial" w:hAnsi="Arial"/>
          <w:sz w:val="17"/>
          <w:szCs w:val="17"/>
          <w:color w:val="auto"/>
        </w:rPr>
      </w:pPr>
      <w:r>
        <w:rPr>
          <w:rFonts w:ascii="Arial" w:cs="Arial" w:eastAsia="Arial" w:hAnsi="Arial"/>
          <w:sz w:val="17"/>
          <w:szCs w:val="17"/>
          <w:color w:val="auto"/>
        </w:rPr>
        <w:t>SaaS and others revenue in the fourth quarter of 2022 increased by 8.7% to US$7.9 million from US$7.3 million in the same period of 2021. During the quarter, the Group continued to making efforts in offer value-added services (“</w:t>
      </w:r>
      <w:r>
        <w:rPr>
          <w:rFonts w:ascii="Arial" w:cs="Arial" w:eastAsia="Arial" w:hAnsi="Arial"/>
          <w:sz w:val="17"/>
          <w:szCs w:val="17"/>
          <w:b w:val="1"/>
          <w:bCs w:val="1"/>
          <w:color w:val="auto"/>
        </w:rPr>
        <w:t>VAS</w:t>
      </w:r>
      <w:r>
        <w:rPr>
          <w:rFonts w:ascii="Arial" w:cs="Arial" w:eastAsia="Arial" w:hAnsi="Arial"/>
          <w:sz w:val="17"/>
          <w:szCs w:val="17"/>
          <w:color w:val="auto"/>
        </w:rPr>
        <w:t>”) and various software products with strong value proposition to its customers. On the other hand, the Group upgraded its customer service systems and reformed its service force in order to better utilize limited resources to acquire key accounts and provide more targeted services to different customers, which as a result partially slowed down the momentum of certain services, such as “OEM APP”, compared to the same period in 2021.</w:t>
      </w:r>
    </w:p>
    <w:p>
      <w:pPr>
        <w:spacing w:after="0" w:line="176"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Smart device distribution revenue in the fourth quarter of 2022 decreased by 16.0% to US$4.7 million from US$5.6 million in the same period of 2021. Changes in the Group’s smart device distribution revenue between periods were primarily due to the varying timing and amounts of customer demands and purchases.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Cost of revenue in the fourth quarter of 2022 decreased by 41.1% to US$25.1 million from US$42.6 million in the same period of 2021, in line with the decrease in total revenue.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gross profit in the fourth quarter of 2022 decreased by 37.6% to US$20.2 million from US$32.4 million in the same period of 2021 and gross margin percentage increased to 44.6% in the fourth quarter of 2022 from 43.2% in the same period of 2021.</w:t>
      </w:r>
    </w:p>
    <w:p>
      <w:pPr>
        <w:spacing w:after="0" w:line="170" w:lineRule="exact"/>
        <w:rPr>
          <w:sz w:val="20"/>
          <w:szCs w:val="20"/>
          <w:color w:val="auto"/>
        </w:rPr>
      </w:pPr>
    </w:p>
    <w:p>
      <w:pPr>
        <w:jc w:val="both"/>
        <w:ind w:left="500" w:hanging="492"/>
        <w:spacing w:after="0" w:line="263" w:lineRule="auto"/>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IoT PaaS gross margin in the fourth quarter of 2022 was 41.5%, compared to 42.5% in the same period of 2021, primarily due to the changes in product mix and a negative 1.6 percentage points impact caused by accrued inventory allowance of certain slow-moving IoT chips and raw materials in relation to the IoT PaaS business during the quarter.</w:t>
      </w:r>
    </w:p>
    <w:p>
      <w:pPr>
        <w:spacing w:after="0" w:line="183"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SaaS and others gross margin in the fourth quarter of 2022 was 75.2%, compared to 73.4% in the fourth quarter of 2021.</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8"/>
        </w:numPr>
        <w:rPr>
          <w:rFonts w:ascii="Arial" w:cs="Arial" w:eastAsia="Arial" w:hAnsi="Arial"/>
          <w:sz w:val="18"/>
          <w:szCs w:val="18"/>
          <w:color w:val="auto"/>
        </w:rPr>
      </w:pPr>
      <w:r>
        <w:rPr>
          <w:rFonts w:ascii="Arial" w:cs="Arial" w:eastAsia="Arial" w:hAnsi="Arial"/>
          <w:sz w:val="18"/>
          <w:szCs w:val="18"/>
          <w:color w:val="auto"/>
        </w:rPr>
        <w:t>Smart device distribution gross margin in the fourth quarter of 2022 was 14.6%, compared to 10.6% in the fourth quarter of 2021.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Operating expenses decreased by 36.8% to US$53.0 million in the fourth quarter of 2022 from US$83.9 million in the same period of 2021. Non-GAAP operating expenses, defined as operating expenses excluding share-based compensation expenses, decreased by 46.4% to US$35.5 million in the fourth quarter of 2022 from US$66.3 million in the same period of 2021. Share-based compensation expenses in the fourth quarter of 2022 were US$17.5 million, basically flat year over year.</w:t>
      </w:r>
    </w:p>
    <w:p>
      <w:pPr>
        <w:spacing w:after="0" w:line="187" w:lineRule="exact"/>
        <w:rPr>
          <w:sz w:val="20"/>
          <w:szCs w:val="20"/>
          <w:color w:val="auto"/>
        </w:rPr>
      </w:pPr>
    </w:p>
    <w:p>
      <w:pPr>
        <w:jc w:val="both"/>
        <w:ind w:left="500" w:hanging="492"/>
        <w:spacing w:after="0" w:line="259"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Research and development expenses in the fourth quarter of 2022 were US$27.8 million, down 39.8% from US$46.2 million in the same period of 2021, as the Group continues to strategically streamline its research and development team and operations. During this quarter, average salaried employee headcount of the Group’s research and development team was down approximately 48.1% year over year, compared to the same quarter in last year.</w:t>
      </w:r>
    </w:p>
    <w:p>
      <w:pPr>
        <w:spacing w:after="0" w:line="186"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Sales and marketing expenses in the fourth quarter of 2022 were US$11.2 million, down 39.2% from US$18.4 million in the same period of 2021, primarily because of (i) the strategic streamlining of the Group’s sales and marketing team, and (ii) the decrease in marketing spending due to COVID-19 and the Group’s efforts to control expenditure and improve sales and marketing efficiency.</w:t>
      </w:r>
    </w:p>
    <w:p>
      <w:pPr>
        <w:spacing w:after="0" w:line="183" w:lineRule="exact"/>
        <w:rPr>
          <w:rFonts w:ascii="Arial" w:cs="Arial" w:eastAsia="Arial" w:hAnsi="Arial"/>
          <w:sz w:val="18"/>
          <w:szCs w:val="18"/>
          <w:color w:val="auto"/>
        </w:rPr>
      </w:pPr>
    </w:p>
    <w:p>
      <w:pPr>
        <w:ind w:left="500" w:right="20" w:hanging="492"/>
        <w:spacing w:after="0" w:line="277"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General and administrative expenses in the fourth quarter of 2022 were US$16.2 million, down 23.0% from US$21.0 million in the same period of 2021, primarily due to Company’s efforts to control professional expenditures.</w:t>
      </w:r>
    </w:p>
    <w:p>
      <w:pPr>
        <w:spacing w:after="0" w:line="166" w:lineRule="exact"/>
        <w:rPr>
          <w:rFonts w:ascii="Arial" w:cs="Arial" w:eastAsia="Arial" w:hAnsi="Arial"/>
          <w:sz w:val="18"/>
          <w:szCs w:val="18"/>
          <w:color w:val="auto"/>
        </w:rPr>
      </w:pPr>
    </w:p>
    <w:p>
      <w:pPr>
        <w:ind w:left="500" w:hanging="492"/>
        <w:spacing w:after="0" w:line="282" w:lineRule="auto"/>
        <w:tabs>
          <w:tab w:leader="none" w:pos="500" w:val="left"/>
        </w:tabs>
        <w:numPr>
          <w:ilvl w:val="0"/>
          <w:numId w:val="9"/>
        </w:numPr>
        <w:rPr>
          <w:rFonts w:ascii="Arial" w:cs="Arial" w:eastAsia="Arial" w:hAnsi="Arial"/>
          <w:sz w:val="18"/>
          <w:szCs w:val="18"/>
          <w:color w:val="auto"/>
        </w:rPr>
      </w:pPr>
      <w:r>
        <w:rPr>
          <w:rFonts w:ascii="Arial" w:cs="Arial" w:eastAsia="Arial" w:hAnsi="Arial"/>
          <w:sz w:val="18"/>
          <w:szCs w:val="18"/>
          <w:color w:val="auto"/>
        </w:rPr>
        <w:t>Other operating income, net in the fourth quarter of 2022 was US$2.2 million, primarily due to the receipts of software value-added tax (“</w:t>
      </w:r>
      <w:r>
        <w:rPr>
          <w:rFonts w:ascii="Arial" w:cs="Arial" w:eastAsia="Arial" w:hAnsi="Arial"/>
          <w:sz w:val="18"/>
          <w:szCs w:val="18"/>
          <w:b w:val="1"/>
          <w:bCs w:val="1"/>
          <w:color w:val="auto"/>
        </w:rPr>
        <w:t>VAT</w:t>
      </w:r>
      <w:r>
        <w:rPr>
          <w:rFonts w:ascii="Arial" w:cs="Arial" w:eastAsia="Arial" w:hAnsi="Arial"/>
          <w:sz w:val="18"/>
          <w:szCs w:val="18"/>
          <w:color w:val="auto"/>
        </w:rPr>
        <w:t>”) refunds and various general subsidies for enterprises.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 AND OPERATING MARGIN</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Loss from operations in the fourth quarter of 2022 narrowed by 36.3% to US$32.8 million from US$51.6 million in the same period of 2021. Non-GAAP loss from operations in the fourth quarter of 2022 narrowed by 54.8% to US$15.3 million from US$33.9 million in the same period of 2021.</w:t>
      </w:r>
    </w:p>
    <w:p>
      <w:pPr>
        <w:spacing w:after="0" w:line="14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margin in the fourth quarter of 2022 was negative 72.5%, down 3.7 percentage points from negative 68.8% in the same period of 2021 as the Group’s total revenue declined at a faster pace than operating expenses. Non-GAAP operating margin in the fourth quarter of 2022 was negative 33.8%, up 11.5 percentage points from negative 45.3% in the same period of 2021.</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LOSS AND NET MARGIN</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loss was US$22.7 million in the fourth quarter of 2022, compared to US$48.8 million in the same period of 2021. Non-GAAP net loss was US$5.2 million in the fourth quarter of 2022, compared to US$31.2 million in the same period of 2021. The difference between loss from operations and net loss in the fourth quarter of 2022 was primarily because of a US$10.2 million financial income achieved mainly due to well implemented treasury strategies on the Group’s cash and deposits recorded as short-term investment.</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Net margin in the fourth quarter of 2022 was negative 50.2%, up 15.0 percentage points from negative 65.2% in the same period of 2021. Non-GAAP net margin in the fourth quarter of 2022 was negative 11.5%, up 30.1 percentage points from negative 41.6% in the same period of 2021.</w:t>
      </w: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BASIC AND DILUTED NET LOSS PER ADS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Basic and diluted net loss per ADS was US$0.04 in the fourth quarter of 2022, compared to US$0.09 in the same period of 2021. Each ADS represents one Class A ordinary share.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Non-GAAP basic and diluted net loss per ADS was US$0.01 in the fourth quarter of 2022, compared to US$0.06 in the same period of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AND SHORT-TERM INVESTMENTS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Cash and cash equivalents, and short-term investments were US$954.3 million as of December 31, 2022, up US$8.4 million from US$945.9 million quarter over quarter, which the Group believes is sufficient to meet its current liquidity and working capital needs.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Net cash used in operating activities for the fourth quarter of 2022 was US$0.1 million, or 0.3% of total revenue, compared to US$53.2 million, or 71.0% of total revenue in the fourth quarter of 2021. The net cash used in operating activities in the fourth quarter of 2022 improved mainly due to the significant decrease in operating expenses, particularly employee-related costs, and working capital changes in the ordinary course of business.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During the quarter ended December 31, 2022, the Group repurchased approximately 2.8 million of ADSs and Class A ordinary shares from the open market, for a total consideration of approximately US$4.2 million, subject to the relevant regulation on the volume of share repurchases.</w:t>
      </w:r>
    </w:p>
    <w:p>
      <w:pPr>
        <w:spacing w:after="0" w:line="14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2022, total shares repurchased in the form of ADSs and Class A ordinary shares amounted to approximately 25.8 million for a total consideration of approximately US$112.8 million.</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Fiscal Year 2022 Unaudited Financial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Total revenue in 2022 decreased by 31.1% to US$208.2 million from US$302.1 million in the same period of 2021, mainly due to the decrease in IoT PaaS revenue, partially offset by the increase in smart device distribution revenue and SaaS and others revenue.</w:t>
      </w:r>
    </w:p>
    <w:p>
      <w:pPr>
        <w:spacing w:after="0" w:line="170" w:lineRule="exact"/>
        <w:rPr>
          <w:sz w:val="20"/>
          <w:szCs w:val="20"/>
          <w:color w:val="auto"/>
        </w:rPr>
      </w:pPr>
    </w:p>
    <w:p>
      <w:pPr>
        <w:jc w:val="both"/>
        <w:ind w:left="500" w:hanging="492"/>
        <w:spacing w:after="0" w:line="271"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IoT PaaS revenue in 2022 decreased by 41.5% to US$152.9 million from US$261.4 million in 2021, primarily because the Group’s customers have become more prudent and conservative in their purchases as the increasing inflation globally, especially in North America and Europe, resulted in weakened discretionary consumer spending. In addition, revenue was adversely impacted by heavy inventory backlog in the supply chain caused by the mismatch in supply and demand in the consumer discretionary sector amid such continued inflation, which is expected to be consumed by the downstream over time. Moreover, foreign exchange rate fluctuations negatively impacted the Group’s IoT PaaS revenue in the year by 2.4 percentage points, and the change in COVID-19 situation and its related public prevention policy during the year also has affected the Group’s selling, marketing and operating activities across the globe. As a result of these factors, the Group’s DBNER of IoT PaaS for the trailing 12 months ended December 31, 2022 decreased to 51% compared to previous periods.</w:t>
      </w:r>
    </w:p>
    <w:p>
      <w:pPr>
        <w:spacing w:after="0" w:line="178" w:lineRule="exact"/>
        <w:rPr>
          <w:rFonts w:ascii="Arial" w:cs="Arial" w:eastAsia="Arial" w:hAnsi="Arial"/>
          <w:sz w:val="17"/>
          <w:szCs w:val="17"/>
          <w:color w:val="auto"/>
        </w:rPr>
      </w:pPr>
    </w:p>
    <w:p>
      <w:pPr>
        <w:jc w:val="both"/>
        <w:ind w:left="500" w:hanging="492"/>
        <w:spacing w:after="0" w:line="263" w:lineRule="auto"/>
        <w:tabs>
          <w:tab w:leader="none" w:pos="5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SaaS and others revenue in 2022 increased by 60.6% to US$29.8 million from US$18.6 million in 2021, sustaining a strong year-over-year growth momentum. During the year, the Group continued to making efforts in offer value-added services (“</w:t>
      </w:r>
      <w:r>
        <w:rPr>
          <w:rFonts w:ascii="Arial" w:cs="Arial" w:eastAsia="Arial" w:hAnsi="Arial"/>
          <w:sz w:val="18"/>
          <w:szCs w:val="18"/>
          <w:b w:val="1"/>
          <w:bCs w:val="1"/>
          <w:color w:val="auto"/>
        </w:rPr>
        <w:t>VAS</w:t>
      </w:r>
      <w:r>
        <w:rPr>
          <w:rFonts w:ascii="Arial" w:cs="Arial" w:eastAsia="Arial" w:hAnsi="Arial"/>
          <w:sz w:val="18"/>
          <w:szCs w:val="18"/>
          <w:color w:val="auto"/>
        </w:rPr>
        <w:t>”) and various software products with strong value proposition to its customers.</w:t>
      </w:r>
    </w:p>
    <w:p>
      <w:pPr>
        <w:spacing w:after="0" w:line="183" w:lineRule="exact"/>
        <w:rPr>
          <w:rFonts w:ascii="Arial" w:cs="Arial" w:eastAsia="Arial" w:hAnsi="Arial"/>
          <w:sz w:val="18"/>
          <w:szCs w:val="18"/>
          <w:color w:val="auto"/>
        </w:rPr>
      </w:pPr>
    </w:p>
    <w:p>
      <w:pPr>
        <w:jc w:val="both"/>
        <w:ind w:left="500" w:hanging="492"/>
        <w:spacing w:after="0" w:line="279" w:lineRule="auto"/>
        <w:tabs>
          <w:tab w:leader="none" w:pos="500" w:val="left"/>
        </w:tabs>
        <w:numPr>
          <w:ilvl w:val="0"/>
          <w:numId w:val="10"/>
        </w:numPr>
        <w:rPr>
          <w:rFonts w:ascii="Arial" w:cs="Arial" w:eastAsia="Arial" w:hAnsi="Arial"/>
          <w:sz w:val="17"/>
          <w:szCs w:val="17"/>
          <w:color w:val="auto"/>
        </w:rPr>
      </w:pPr>
      <w:r>
        <w:rPr>
          <w:rFonts w:ascii="Arial" w:cs="Arial" w:eastAsia="Arial" w:hAnsi="Arial"/>
          <w:sz w:val="17"/>
          <w:szCs w:val="17"/>
          <w:color w:val="auto"/>
        </w:rPr>
        <w:t>Smart device distribution revenue in 2022 increased by 14.9% to US$25.4 million from US$22.2 million in 2021. The Group offers smart device distribution mainly to save customers (primarily brands, system integrators and industry operators who demand and purchase finished smart devices) from dealing with multiple original equipment manufacturers (“</w:t>
      </w:r>
      <w:r>
        <w:rPr>
          <w:rFonts w:ascii="Arial" w:cs="Arial" w:eastAsia="Arial" w:hAnsi="Arial"/>
          <w:sz w:val="17"/>
          <w:szCs w:val="17"/>
          <w:b w:val="1"/>
          <w:bCs w:val="1"/>
          <w:color w:val="auto"/>
        </w:rPr>
        <w:t>OEMs</w:t>
      </w:r>
      <w:r>
        <w:rPr>
          <w:rFonts w:ascii="Arial" w:cs="Arial" w:eastAsia="Arial" w:hAnsi="Arial"/>
          <w:sz w:val="17"/>
          <w:szCs w:val="17"/>
          <w:color w:val="auto"/>
        </w:rPr>
        <w:t>”). Changes in the Group’s smart device distribution revenue between periods are primarily attributable to the varying timing and amounts of customer demands and purchases.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OF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Cost of revenue in 2022 decreased by 31.8% to US$118.7 million from US$174.2 million in 2021, in line with the decrease in total revenue.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GROSS MARGIN</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gross profit in 2022 decreased by 30.1% to US$89.4 million from US$127.9 million in 2021 and gross margin percentage increased to 43.0% in 2022 from 42.3% in 2021.</w:t>
      </w:r>
    </w:p>
    <w:p>
      <w:pPr>
        <w:spacing w:after="0" w:line="170" w:lineRule="exact"/>
        <w:rPr>
          <w:sz w:val="20"/>
          <w:szCs w:val="20"/>
          <w:color w:val="auto"/>
        </w:rPr>
      </w:pPr>
    </w:p>
    <w:p>
      <w:pPr>
        <w:jc w:val="both"/>
        <w:ind w:left="500" w:hanging="492"/>
        <w:spacing w:after="0" w:line="279" w:lineRule="auto"/>
        <w:tabs>
          <w:tab w:leader="none" w:pos="50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IoT PaaS gross margin in 2022 was 41.1%, down 1.3 percentage points compared to 42.4% in 2021, primarily due to a negative 2.4 percentage points impact caused by an accrual of US$3.7 million in inventory allowance of certain slow-moving IoT chips and raw materials in relation to the IoT PaaS business during the year. Excluding inventory allowance impacts, the Group’s effective implementation of its business management and efficiency improvement initiatives ensured a steady gross margin of IoT PaaS business during the year.</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SaaS and others gross margin in 2022 was 79.0%, compared to 73.7% in 2021, mainly due to the changes in product mix of services.</w:t>
      </w:r>
    </w:p>
    <w:p>
      <w:pPr>
        <w:spacing w:after="0" w:line="225" w:lineRule="exact"/>
        <w:rPr>
          <w:rFonts w:ascii="Arial" w:cs="Arial" w:eastAsia="Arial" w:hAnsi="Arial"/>
          <w:sz w:val="18"/>
          <w:szCs w:val="18"/>
          <w:color w:val="auto"/>
        </w:rPr>
      </w:pPr>
    </w:p>
    <w:p>
      <w:pPr>
        <w:ind w:left="500" w:hanging="492"/>
        <w:spacing w:after="0"/>
        <w:tabs>
          <w:tab w:leader="none" w:pos="5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Smart device distribution gross margin in 2022 was 11.6%, compared to 14.9%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expenses decreased by 17.3% to US$257.6 million in 2022 from US$311.4 million in 2021. Non-GAAP operating expenses, defined as operating expenses excluding share-based compensation expenses, decreased by 23.1% to US$188.6 million in 2022 from US$245.3 million in 2021. Share-based compensation expenses in 2022 were US$69.0 million, compared to US$66.1 million in 2021.</w:t>
      </w:r>
    </w:p>
    <w:p>
      <w:pPr>
        <w:spacing w:after="0" w:line="184" w:lineRule="exact"/>
        <w:rPr>
          <w:sz w:val="20"/>
          <w:szCs w:val="20"/>
          <w:color w:val="auto"/>
        </w:rPr>
      </w:pPr>
    </w:p>
    <w:p>
      <w:pPr>
        <w:jc w:val="both"/>
        <w:ind w:left="500" w:hanging="492"/>
        <w:spacing w:after="0" w:line="25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Research and development expenses in 2022 were US$144.9 million, down 16.8% from US$174.3 million in 2021, primarily because of the strategic streamlining of the Group’s research and development team to drive operational efficiency and focus more on pursuing strategies of better balancing the business growth and timeline to profitability (but partially offset by the accompanying one-off additional cost of US$7.3 million relating to headcount optimization). The Group’s total salaried research and development headcount as of December 31, 2022 was 1,313, down 48.7% compared to that of December 31, 2021.</w:t>
      </w:r>
    </w:p>
    <w:p>
      <w:pPr>
        <w:spacing w:after="0" w:line="187"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Sales and marketing expenses in 2022 were US$55.7 million, down 26.2% from US$75.4 million in 2021, primarily because of (i) the strategic streamlining of the sales and marketing team, and (ii) the decrease in marketing spending due to COVID-19 and the Group’s efforts to control expenditures and improve sales and marketing efficiency.</w:t>
      </w:r>
    </w:p>
    <w:p>
      <w:pPr>
        <w:spacing w:after="0" w:line="183" w:lineRule="exact"/>
        <w:rPr>
          <w:rFonts w:ascii="Arial" w:cs="Arial" w:eastAsia="Arial" w:hAnsi="Arial"/>
          <w:sz w:val="18"/>
          <w:szCs w:val="18"/>
          <w:color w:val="auto"/>
        </w:rPr>
      </w:pPr>
    </w:p>
    <w:p>
      <w:pPr>
        <w:jc w:val="both"/>
        <w:ind w:left="500" w:hanging="492"/>
        <w:spacing w:after="0" w:line="263"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General and administrative expenses in 2022 were US$67.5 million, down 5.7% from US$71.6 million in the same period of 2021, primarily due to the Group’s efforts to control professional expenditures and operating overheads, partially offset by the increase in share-based compensation expenses from US$44.8 million to US$47.5 million.</w:t>
      </w:r>
    </w:p>
    <w:p>
      <w:pPr>
        <w:spacing w:after="0" w:line="183" w:lineRule="exact"/>
        <w:rPr>
          <w:rFonts w:ascii="Arial" w:cs="Arial" w:eastAsia="Arial" w:hAnsi="Arial"/>
          <w:sz w:val="18"/>
          <w:szCs w:val="18"/>
          <w:color w:val="auto"/>
        </w:rPr>
      </w:pPr>
    </w:p>
    <w:p>
      <w:pPr>
        <w:ind w:left="500" w:hanging="492"/>
        <w:spacing w:after="0" w:line="277" w:lineRule="auto"/>
        <w:tabs>
          <w:tab w:leader="none" w:pos="5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Other operating incomes, net in 2022 were US$10.5 million, primarily due to the receipts of software VAT refunds and various general subsidies for enterprises.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OPERATIONS AND OPERATING MARGIN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Loss from operations in 2022 narrowed by 8.4% to US$168.2 million from US$183.6 million in 2021. Non-GAAP loss from operations in 2022 narrowed by 15.6% to US$99.2 million from US$117.5 million in 2021.</w:t>
      </w:r>
    </w:p>
    <w:p>
      <w:pPr>
        <w:spacing w:after="0" w:line="1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margin in 2022 was negative 80.8%, down 20.0 percentage points from negative 60.8% in 2021. Non-GAAP operating margin in 2022 was negative 47.6%, down 8.7 percentage points from negative 38.9% in 2021. The changes in the operating margin are mainly because the Group’s total revenue declined at a faster pace than operating expenses.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NET LOSS AND NET MARGIN</w:t>
      </w:r>
    </w:p>
    <w:p>
      <w:pPr>
        <w:spacing w:after="0" w:line="225"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Net loss in 2022 narrowed by 16.7% to US$146.2 million from US$175.4 million in 2021. Non-GAAP net loss in 2022 was US$77.2 million, compared to US$109.3 million in the same period of 2021. The difference between loss from operations and net loss in 2022 was primarily because of a US$18.5 million financial income achieved mainly due to well implemented treasury strategies on the Group’s cash and deposits recorded as short-term investment.</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margin in 2022 was negative 70.2%, down 12.1 percentage points from negative 58.1% in 2021, and Non-GAAP net margin in 2022 was negative 37.1%, basically flat compared to negative 36.2% in 2021, primarily due to the same reason as that of changes in operating margin.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BASIC AND DILUTED NET LOSS PER ADS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Basic and diluted net loss per ADS in 2022 were US$0.26, compared to US$0.36 in 2021. Each ADS represents one Class A ordinary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Non-GAAP basic and diluted net loss per ADS in 2022 were US$0.14, compared to US$0.22 in 2021.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CASH USED IN OPERATING ACTIVITIES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cash used in operating activities for 2022 was US$70.7 million, or 33.9% of total revenue, compared to US$126.1 million of net cash used in operating activities, or 41.7% of total revenue in 2021. The net cash used in operating activities in 2022 decreased mainly due to the decrease in operating expenses, particularly employee related costs, and working capital changes in the ordinary course of business.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Outlook</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global consumer discretionary industry and consumer spending are still expected to continue to face a range of challenges in 2023, including, among other things, a decline or continued weakness in the general economic conditions, global high inflation, inventory backlog experienced by players such as smart device manufacturers, brands and retail channels in the supply chain, fluctuations in foreign exchange rates, and geopolitical tensions and conflicts, and competitions brought by technology iteration to the IoT industry.</w:t>
      </w:r>
    </w:p>
    <w:p>
      <w:pPr>
        <w:spacing w:after="0" w:line="18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will continue to make efforts to monitor the uncertainties caused by such challenges, and despite these challenges, the Group remains confident in its long-term growth prospects and stays committed to iterating its products and services, further enhancing its software and embedded hardware capabilities, expanding customer base, diversifying revenue streams, and further optimizing operating efficiency.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management will hold a conference call at 07:00 P.M. U.S. Eastern Time on Wednesday, March 1, 2023 (08:00 A.M. Beijing Time on Thursday, March 2, 2023) to discuss the financial results. In advance of the conference call, all participants must use the following link to complete the online registration process. Upon registering, each participant will receive access details for this conference including a conference access code, a PIN number (personal access code), the dial-in number, and an e-mail with detailed instructions to join the conference call.</w:t>
      </w:r>
    </w:p>
    <w:p>
      <w:pPr>
        <w:spacing w:after="0" w:line="171" w:lineRule="exact"/>
        <w:rPr>
          <w:sz w:val="20"/>
          <w:szCs w:val="20"/>
          <w:color w:val="auto"/>
        </w:rPr>
      </w:pPr>
    </w:p>
    <w:p>
      <w:pPr>
        <w:spacing w:after="0"/>
        <w:tabs>
          <w:tab w:leader="none" w:pos="2480" w:val="left"/>
        </w:tabs>
        <w:rPr>
          <w:sz w:val="20"/>
          <w:szCs w:val="20"/>
          <w:color w:val="auto"/>
        </w:rPr>
      </w:pPr>
      <w:r>
        <w:rPr>
          <w:rFonts w:ascii="Arial" w:cs="Arial" w:eastAsia="Arial" w:hAnsi="Arial"/>
          <w:sz w:val="18"/>
          <w:szCs w:val="18"/>
          <w:color w:val="auto"/>
        </w:rPr>
        <w:t>Online registration:</w:t>
      </w:r>
      <w:r>
        <w:rPr>
          <w:sz w:val="20"/>
          <w:szCs w:val="20"/>
          <w:color w:val="auto"/>
        </w:rPr>
        <w:tab/>
      </w:r>
      <w:r>
        <w:rPr>
          <w:rFonts w:ascii="Arial" w:cs="Arial" w:eastAsia="Arial" w:hAnsi="Arial"/>
          <w:sz w:val="16"/>
          <w:szCs w:val="16"/>
          <w:color w:val="auto"/>
        </w:rPr>
        <w:t>https://www.netroadshow.com/events/login? show=aaaf2866&amp;confId=47330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replay will be accessible through March 8, 2023 by dialing the following numbers: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International:</w:t>
            </w:r>
          </w:p>
        </w:tc>
        <w:tc>
          <w:tcPr>
            <w:tcW w:w="2100" w:type="dxa"/>
            <w:vAlign w:val="bottom"/>
          </w:tcPr>
          <w:p>
            <w:pPr>
              <w:ind w:left="740"/>
              <w:spacing w:after="0"/>
              <w:rPr>
                <w:sz w:val="20"/>
                <w:szCs w:val="20"/>
                <w:color w:val="auto"/>
              </w:rPr>
            </w:pPr>
            <w:r>
              <w:rPr>
                <w:rFonts w:ascii="Arial" w:cs="Arial" w:eastAsia="Arial" w:hAnsi="Arial"/>
                <w:sz w:val="18"/>
                <w:szCs w:val="18"/>
                <w:color w:val="auto"/>
                <w:w w:val="90"/>
              </w:rPr>
              <w:t>+44-204-525-0658</w:t>
            </w:r>
          </w:p>
        </w:tc>
      </w:tr>
      <w:tr>
        <w:trPr>
          <w:trHeight w:val="216"/>
        </w:trPr>
        <w:tc>
          <w:tcPr>
            <w:tcW w:w="1760" w:type="dxa"/>
            <w:vAlign w:val="bottom"/>
          </w:tcPr>
          <w:p>
            <w:pPr>
              <w:spacing w:after="0"/>
              <w:rPr>
                <w:sz w:val="20"/>
                <w:szCs w:val="20"/>
                <w:color w:val="auto"/>
              </w:rPr>
            </w:pPr>
            <w:r>
              <w:rPr>
                <w:rFonts w:ascii="Arial" w:cs="Arial" w:eastAsia="Arial" w:hAnsi="Arial"/>
                <w:sz w:val="18"/>
                <w:szCs w:val="18"/>
                <w:color w:val="auto"/>
              </w:rPr>
              <w:t>United States:</w:t>
            </w:r>
          </w:p>
        </w:tc>
        <w:tc>
          <w:tcPr>
            <w:tcW w:w="2100" w:type="dxa"/>
            <w:vAlign w:val="bottom"/>
          </w:tcPr>
          <w:p>
            <w:pPr>
              <w:ind w:left="740"/>
              <w:spacing w:after="0"/>
              <w:rPr>
                <w:sz w:val="20"/>
                <w:szCs w:val="20"/>
                <w:color w:val="auto"/>
              </w:rPr>
            </w:pPr>
            <w:r>
              <w:rPr>
                <w:rFonts w:ascii="Arial" w:cs="Arial" w:eastAsia="Arial" w:hAnsi="Arial"/>
                <w:sz w:val="18"/>
                <w:szCs w:val="18"/>
                <w:color w:val="auto"/>
                <w:w w:val="96"/>
              </w:rPr>
              <w:t>+1-929-458-6194</w:t>
            </w:r>
          </w:p>
        </w:tc>
      </w:tr>
      <w:tr>
        <w:trPr>
          <w:trHeight w:val="230"/>
        </w:trPr>
        <w:tc>
          <w:tcPr>
            <w:tcW w:w="1760" w:type="dxa"/>
            <w:vAlign w:val="bottom"/>
          </w:tcPr>
          <w:p>
            <w:pPr>
              <w:spacing w:after="0"/>
              <w:rPr>
                <w:sz w:val="20"/>
                <w:szCs w:val="20"/>
                <w:color w:val="auto"/>
              </w:rPr>
            </w:pPr>
            <w:r>
              <w:rPr>
                <w:rFonts w:ascii="Arial" w:cs="Arial" w:eastAsia="Arial" w:hAnsi="Arial"/>
                <w:sz w:val="18"/>
                <w:szCs w:val="18"/>
                <w:color w:val="auto"/>
              </w:rPr>
              <w:t>Access Code:</w:t>
            </w:r>
          </w:p>
        </w:tc>
        <w:tc>
          <w:tcPr>
            <w:tcW w:w="2100" w:type="dxa"/>
            <w:vAlign w:val="bottom"/>
          </w:tcPr>
          <w:p>
            <w:pPr>
              <w:ind w:left="740"/>
              <w:spacing w:after="0"/>
              <w:rPr>
                <w:sz w:val="20"/>
                <w:szCs w:val="20"/>
                <w:color w:val="auto"/>
              </w:rPr>
            </w:pPr>
            <w:r>
              <w:rPr>
                <w:rFonts w:ascii="Arial" w:cs="Arial" w:eastAsia="Arial" w:hAnsi="Arial"/>
                <w:sz w:val="18"/>
                <w:szCs w:val="18"/>
                <w:color w:val="auto"/>
              </w:rPr>
              <w:t>819491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live and archived webcast of the conference call will also be available at the Company’s investor relations website at https://ir.tuya.com.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Tuya Inc.</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Tuya Inc. (NYSE: TUYA; HKEX: 2391) is a global leading IoT cloud development platform with a mission to build an IoT developer ecosystem and enable everything to be smart. Tuya has pioneered a purpose-built IoT cloud development platform that delivers a full suite of offerings, including Platform-as-a-Service, or PaaS, and Software-as-a-Service, or SaaS, to businesses and developers. Through its IoT cloud development platform, Tuya has enabled developers to activate a vibrant IoT ecosystem of brands, OEMs, partners and end users to engage and communicate through a broad range of smart devices.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Non-GAAP Financial Measures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evaluating the business, the Company considers and uses non-GAAP measures, such as non-GAAP operating expenses, non-GAAP loss from operations (including non-GAAP operating margin), non-GAAP net loss (including non-GAAP net margin), and non-GAAP basic and diluted net loss per ADS, as supplemental measures to review and assess its operating performance. The presentation of non-GAAP financial measures is not intended to be considered in isolation or as a substitute for the financial information prepared and presented in accordance with generally accepted accounting principles in the United States of America (“</w:t>
      </w:r>
      <w:r>
        <w:rPr>
          <w:rFonts w:ascii="Arial" w:cs="Arial" w:eastAsia="Arial" w:hAnsi="Arial"/>
          <w:sz w:val="18"/>
          <w:szCs w:val="18"/>
          <w:b w:val="1"/>
          <w:bCs w:val="1"/>
          <w:color w:val="auto"/>
        </w:rPr>
        <w:t>U.S. GAAP</w:t>
      </w:r>
      <w:r>
        <w:rPr>
          <w:rFonts w:ascii="Arial" w:cs="Arial" w:eastAsia="Arial" w:hAnsi="Arial"/>
          <w:sz w:val="18"/>
          <w:szCs w:val="18"/>
          <w:color w:val="auto"/>
        </w:rPr>
        <w:t>”). The Company defines non-GAAP measures excluding the impact of share-based compensation expenses from the respective GAAP measures. The Company presents the non-GAAP financial measures because they are used by the management to evaluate its operating performance and formulate business plans. The Company also believes that the use of the non-GAAP measures facilitates investors’ assessment of its operating performance.</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3" w:name="page14"/>
    <w:bookmarkEnd w:id="13"/>
    <w:p>
      <w:pPr>
        <w:jc w:val="both"/>
        <w:spacing w:after="0" w:line="254" w:lineRule="auto"/>
        <w:rPr>
          <w:sz w:val="20"/>
          <w:szCs w:val="20"/>
          <w:color w:val="auto"/>
        </w:rPr>
      </w:pPr>
      <w:r>
        <w:rPr>
          <w:rFonts w:ascii="Arial" w:cs="Arial" w:eastAsia="Arial" w:hAnsi="Arial"/>
          <w:sz w:val="18"/>
          <w:szCs w:val="18"/>
          <w:color w:val="auto"/>
        </w:rPr>
        <w:t>Non-GAAP financial measures are not defined under U.S. GAAP and are not presented in accordance with U.S. GAAP. Non-GAAP financial measures have limitations as analytical tools. One of the key limitations of using the aforementioned non-GAAP financial measures is that they do not reflect all items of expenses that affect the Company’s operations. Share-based compensation expenses have been and may continue to be incurred in the business and are not reflected in the presentation of non-GAAP financial measures. Further, the non-GAAP financial measures may differ from the non-GAAP information used by other companies, including peer companies, and therefore their comparability may be limited. The Company compensates for these limitations by reconciling the non-GAAP financial measures to the nearest U.S. GAAP performance measures, all of which should be considered when evaluating the Company’s performance. The Company encourages you to review its financial information in its entirety and not rely on a single financial measure.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color w:val="auto"/>
        </w:rPr>
        <w:t>Reconciliations of Tuya’s non-GAAP financial measures to the most comparable U.S. GAAP measures are included at the end of this press release.</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Safe Harbor Statement</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This press release contains forward-looking statements. These statements are made under the “safe harbor” provisions of the U.S. Private Securities Litigation Reform Act of 1995. Statements that are not historical facts, including statements about the Company’s beliefs, and expectations, are forward-looking statements. Forward-looking statements involve inherent risks and uncertainties, and a number of factors could cause actual results to differ materially from those contained in any forward-looking statement. In some cases, forward-looking statements can be identified by words or phrases such as “may”, “will”, “expect”, “anticipate”, “target”, “aim”, “estimate”, “intend”, “plan”, “believe”, “potential”, “continue”, “is/are likely to” or other similar expressions. Further information regarding these and other risks, uncertainties or factors is included in the Company’s filings with the SEC. The forward-looking statements included in this press release are only made as of the date hereof, and the Company disclaims any obligation to publicly update any forward-looking statement to reflect subsequent events or circumstances, except as required by law. All forward-looking statements should be evaluated with the understanding of their inherent uncertainty.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 Contact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Tuya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ir@tuya.com</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Blueshirt Group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Gary Dvorchak, CFA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 (323) 240-5796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gary@blueshirtgroup.com</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TUYA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AS OF DECEMBER 31, 2021 AND 2022</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(All amounts in US$ thousands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for share and per share data, unless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As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2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December 31,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220" w:type="dxa"/>
            <w:vAlign w:val="bottom"/>
          </w:tcPr>
          <w:p>
            <w:pPr>
              <w:spacing w:after="0"/>
              <w:rPr>
                <w:sz w:val="20"/>
                <w:szCs w:val="20"/>
                <w:color w:val="auto"/>
              </w:rPr>
            </w:pPr>
          </w:p>
        </w:tc>
        <w:tc>
          <w:tcPr>
            <w:tcW w:w="5340" w:type="dxa"/>
            <w:vAlign w:val="bottom"/>
            <w:gridSpan w:val="2"/>
          </w:tcPr>
          <w:p>
            <w:pPr>
              <w:jc w:val="right"/>
              <w:ind w:right="3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3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Current assets:</w:t>
            </w:r>
          </w:p>
        </w:tc>
        <w:tc>
          <w:tcPr>
            <w:tcW w:w="4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Cash and cash equivalents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963,938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133,161</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Restricted cash</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638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Short-term investments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102,134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821,134</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Accounts receivable, net</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32,701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12,172</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Notes receivable</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1,393</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2,767</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Inventories, net</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62,582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45,380</w:t>
            </w: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Prepayments and other current assets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27,882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8,752</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current assets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1,191,268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1,023,366</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Non-current assets:</w:t>
            </w:r>
          </w:p>
        </w:tc>
        <w:tc>
          <w:tcPr>
            <w:tcW w:w="4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color w:val="auto"/>
              </w:rPr>
              <w:t>   Property, equipment and software, net</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6,805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3,827</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Operating lease right-of-use assets, net</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22,181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9,736</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Long-term investments</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26,078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18,031</w:t>
            </w:r>
          </w:p>
        </w:tc>
        <w:tc>
          <w:tcPr>
            <w:tcW w:w="0" w:type="dxa"/>
            <w:vAlign w:val="bottom"/>
          </w:tcPr>
          <w:p>
            <w:pPr>
              <w:spacing w:after="0"/>
              <w:rPr>
                <w:sz w:val="1"/>
                <w:szCs w:val="1"/>
                <w:color w:val="auto"/>
              </w:rPr>
            </w:pPr>
          </w:p>
        </w:tc>
      </w:tr>
      <w:tr>
        <w:trPr>
          <w:trHeight w:val="229"/>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non-current assets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1,818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1,179</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assets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56,882</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32,773</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1,248,150</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1,056,139</w:t>
            </w:r>
          </w:p>
        </w:tc>
        <w:tc>
          <w:tcPr>
            <w:tcW w:w="0" w:type="dxa"/>
            <w:vAlign w:val="bottom"/>
          </w:tcPr>
          <w:p>
            <w:pPr>
              <w:spacing w:after="0"/>
              <w:rPr>
                <w:sz w:val="1"/>
                <w:szCs w:val="1"/>
                <w:color w:val="auto"/>
              </w:rPr>
            </w:pPr>
          </w:p>
        </w:tc>
      </w:tr>
      <w:tr>
        <w:trPr>
          <w:trHeight w:val="20"/>
        </w:trPr>
        <w:tc>
          <w:tcPr>
            <w:tcW w:w="4340" w:type="dxa"/>
            <w:vAlign w:val="bottom"/>
            <w:tcBorders>
              <w:top w:val="single" w:sz="8" w:color="CCEEFF"/>
            </w:tcBorders>
            <w:gridSpan w:val="2"/>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4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w:t>
            </w:r>
          </w:p>
        </w:tc>
        <w:tc>
          <w:tcPr>
            <w:tcW w:w="4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EQUITY</w:t>
            </w:r>
          </w:p>
        </w:tc>
        <w:tc>
          <w:tcPr>
            <w:tcW w:w="4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Current liabilities:</w:t>
            </w:r>
          </w:p>
        </w:tc>
        <w:tc>
          <w:tcPr>
            <w:tcW w:w="4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Accounts payable</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12,212</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9,595</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Advances from customers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31,088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27,633</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Deferred revenue, current</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9,254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6,821</w:t>
            </w:r>
          </w:p>
        </w:tc>
        <w:tc>
          <w:tcPr>
            <w:tcW w:w="0" w:type="dxa"/>
            <w:vAlign w:val="bottom"/>
          </w:tcPr>
          <w:p>
            <w:pPr>
              <w:spacing w:after="0"/>
              <w:rPr>
                <w:sz w:val="1"/>
                <w:szCs w:val="1"/>
                <w:color w:val="auto"/>
              </w:rPr>
            </w:pPr>
          </w:p>
        </w:tc>
      </w:tr>
      <w:tr>
        <w:trPr>
          <w:trHeight w:val="216"/>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Accruals and other current liabilities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50,847</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33,383</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Lease liabilities, current</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5,697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3,850</w:t>
            </w:r>
          </w:p>
        </w:tc>
        <w:tc>
          <w:tcPr>
            <w:tcW w:w="0" w:type="dxa"/>
            <w:vAlign w:val="bottom"/>
          </w:tcPr>
          <w:p>
            <w:pPr>
              <w:spacing w:after="0"/>
              <w:rPr>
                <w:sz w:val="1"/>
                <w:szCs w:val="1"/>
                <w:color w:val="auto"/>
              </w:rPr>
            </w:pP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Total current liabilities</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109,098</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81,282</w:t>
            </w:r>
          </w:p>
        </w:tc>
        <w:tc>
          <w:tcPr>
            <w:tcW w:w="0" w:type="dxa"/>
            <w:vAlign w:val="bottom"/>
          </w:tcPr>
          <w:p>
            <w:pPr>
              <w:spacing w:after="0"/>
              <w:rPr>
                <w:sz w:val="1"/>
                <w:szCs w:val="1"/>
                <w:color w:val="auto"/>
              </w:rPr>
            </w:pP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4220" w:type="dxa"/>
            <w:vAlign w:val="bottom"/>
            <w:tcBorders>
              <w:top w:val="single" w:sz="8" w:color="CCEEFF"/>
            </w:tcBorders>
            <w:shd w:val="clear" w:color="auto" w:fill="CCEEFF"/>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gridSpan w:val="2"/>
          </w:tcPr>
          <w:p>
            <w:pPr>
              <w:spacing w:after="0"/>
              <w:rPr>
                <w:sz w:val="20"/>
                <w:szCs w:val="20"/>
                <w:color w:val="auto"/>
              </w:rPr>
            </w:pPr>
            <w:r>
              <w:rPr>
                <w:rFonts w:ascii="Arial" w:cs="Arial" w:eastAsia="Arial" w:hAnsi="Arial"/>
                <w:sz w:val="18"/>
                <w:szCs w:val="18"/>
                <w:b w:val="1"/>
                <w:bCs w:val="1"/>
                <w:color w:val="auto"/>
              </w:rPr>
              <w:t>Non-current liabilities:</w:t>
            </w:r>
          </w:p>
        </w:tc>
        <w:tc>
          <w:tcPr>
            <w:tcW w:w="4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Lease liabilities, non-current</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16,048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5,292</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220" w:type="dxa"/>
            <w:vAlign w:val="bottom"/>
          </w:tcPr>
          <w:p>
            <w:pPr>
              <w:ind w:left="60"/>
              <w:spacing w:after="0"/>
              <w:rPr>
                <w:sz w:val="20"/>
                <w:szCs w:val="20"/>
                <w:color w:val="auto"/>
              </w:rPr>
            </w:pPr>
            <w:r>
              <w:rPr>
                <w:rFonts w:ascii="Arial" w:cs="Arial" w:eastAsia="Arial" w:hAnsi="Arial"/>
                <w:sz w:val="18"/>
                <w:szCs w:val="18"/>
                <w:color w:val="auto"/>
              </w:rPr>
              <w:t>Deferred revenue, non-current</w:t>
            </w:r>
          </w:p>
        </w:tc>
        <w:tc>
          <w:tcPr>
            <w:tcW w:w="5560" w:type="dxa"/>
            <w:vAlign w:val="bottom"/>
            <w:gridSpan w:val="3"/>
          </w:tcPr>
          <w:p>
            <w:pPr>
              <w:jc w:val="right"/>
              <w:ind w:right="220"/>
              <w:spacing w:after="0"/>
              <w:rPr>
                <w:sz w:val="20"/>
                <w:szCs w:val="20"/>
                <w:color w:val="auto"/>
              </w:rPr>
            </w:pPr>
            <w:r>
              <w:rPr>
                <w:rFonts w:ascii="Arial" w:cs="Arial" w:eastAsia="Arial" w:hAnsi="Arial"/>
                <w:sz w:val="18"/>
                <w:szCs w:val="18"/>
                <w:color w:val="auto"/>
              </w:rPr>
              <w:t>859</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394</w:t>
            </w:r>
          </w:p>
        </w:tc>
        <w:tc>
          <w:tcPr>
            <w:tcW w:w="0" w:type="dxa"/>
            <w:vAlign w:val="bottom"/>
          </w:tcPr>
          <w:p>
            <w:pPr>
              <w:spacing w:after="0"/>
              <w:rPr>
                <w:sz w:val="1"/>
                <w:szCs w:val="1"/>
                <w:color w:val="auto"/>
              </w:rPr>
            </w:pPr>
          </w:p>
        </w:tc>
      </w:tr>
      <w:tr>
        <w:trPr>
          <w:trHeight w:val="230"/>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220" w:type="dxa"/>
            <w:vAlign w:val="bottom"/>
            <w:shd w:val="clear" w:color="auto" w:fill="CCEEFF"/>
          </w:tcPr>
          <w:p>
            <w:pPr>
              <w:ind w:left="60"/>
              <w:spacing w:after="0"/>
              <w:rPr>
                <w:sz w:val="20"/>
                <w:szCs w:val="20"/>
                <w:color w:val="auto"/>
              </w:rPr>
            </w:pPr>
            <w:r>
              <w:rPr>
                <w:rFonts w:ascii="Arial" w:cs="Arial" w:eastAsia="Arial" w:hAnsi="Arial"/>
                <w:sz w:val="18"/>
                <w:szCs w:val="18"/>
                <w:color w:val="auto"/>
              </w:rPr>
              <w:t>Other non-current liabilities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8,484</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7,004</w:t>
            </w:r>
          </w:p>
        </w:tc>
        <w:tc>
          <w:tcPr>
            <w:tcW w:w="0" w:type="dxa"/>
            <w:vAlign w:val="bottom"/>
          </w:tcPr>
          <w:p>
            <w:pPr>
              <w:spacing w:after="0"/>
              <w:rPr>
                <w:sz w:val="1"/>
                <w:szCs w:val="1"/>
                <w:color w:val="auto"/>
              </w:rPr>
            </w:pPr>
          </w:p>
        </w:tc>
      </w:tr>
      <w:tr>
        <w:trPr>
          <w:trHeight w:val="209"/>
        </w:trPr>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non-current liabilities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25,391</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12,690</w:t>
            </w:r>
          </w:p>
        </w:tc>
        <w:tc>
          <w:tcPr>
            <w:tcW w:w="0" w:type="dxa"/>
            <w:vAlign w:val="bottom"/>
          </w:tcPr>
          <w:p>
            <w:pPr>
              <w:spacing w:after="0"/>
              <w:rPr>
                <w:sz w:val="1"/>
                <w:szCs w:val="1"/>
                <w:color w:val="auto"/>
              </w:rPr>
            </w:pPr>
          </w:p>
        </w:tc>
      </w:tr>
      <w:tr>
        <w:trPr>
          <w:trHeight w:val="210"/>
        </w:trPr>
        <w:tc>
          <w:tcPr>
            <w:tcW w:w="120" w:type="dxa"/>
            <w:vAlign w:val="bottom"/>
          </w:tcPr>
          <w:p>
            <w:pPr>
              <w:spacing w:after="0"/>
              <w:rPr>
                <w:sz w:val="18"/>
                <w:szCs w:val="18"/>
                <w:color w:val="auto"/>
              </w:rPr>
            </w:pPr>
          </w:p>
        </w:tc>
        <w:tc>
          <w:tcPr>
            <w:tcW w:w="42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3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 liabilities</w:t>
            </w:r>
          </w:p>
        </w:tc>
        <w:tc>
          <w:tcPr>
            <w:tcW w:w="55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134,489</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93,972</w:t>
            </w:r>
          </w:p>
        </w:tc>
        <w:tc>
          <w:tcPr>
            <w:tcW w:w="0" w:type="dxa"/>
            <w:vAlign w:val="bottom"/>
          </w:tcPr>
          <w:p>
            <w:pPr>
              <w:spacing w:after="0"/>
              <w:rPr>
                <w:sz w:val="1"/>
                <w:szCs w:val="1"/>
                <w:color w:val="auto"/>
              </w:rPr>
            </w:pPr>
          </w:p>
        </w:tc>
      </w:tr>
      <w:tr>
        <w:trPr>
          <w:trHeight w:val="20"/>
        </w:trPr>
        <w:tc>
          <w:tcPr>
            <w:tcW w:w="120" w:type="dxa"/>
            <w:vAlign w:val="bottom"/>
            <w:tcBorders>
              <w:top w:val="single" w:sz="8" w:color="CCEEFF"/>
            </w:tcBorders>
          </w:tcPr>
          <w:p>
            <w:pPr>
              <w:spacing w:after="0" w:line="20" w:lineRule="exact"/>
              <w:rPr>
                <w:sz w:val="1"/>
                <w:szCs w:val="1"/>
                <w:color w:val="auto"/>
              </w:rPr>
            </w:pPr>
          </w:p>
        </w:tc>
        <w:tc>
          <w:tcPr>
            <w:tcW w:w="4220" w:type="dxa"/>
            <w:vAlign w:val="bottom"/>
            <w:tcBorders>
              <w:top w:val="single" w:sz="8" w:color="CCEEFF"/>
            </w:tcBorders>
          </w:tcPr>
          <w:p>
            <w:pPr>
              <w:spacing w:after="0" w:line="20" w:lineRule="exact"/>
              <w:rPr>
                <w:sz w:val="1"/>
                <w:szCs w:val="1"/>
                <w:color w:val="auto"/>
              </w:rPr>
            </w:pPr>
          </w:p>
        </w:tc>
        <w:tc>
          <w:tcPr>
            <w:tcW w:w="4100" w:type="dxa"/>
            <w:vAlign w:val="bottom"/>
            <w:tcBorders>
              <w:top w:val="single" w:sz="8" w:color="CCEEFF"/>
              <w:bottom w:val="single" w:sz="8" w:color="CCEEFF"/>
            </w:tcBorders>
            <w:vMerge w:val="restart"/>
          </w:tcPr>
          <w:p>
            <w:pPr>
              <w:jc w:val="right"/>
              <w:ind w:right="2630"/>
              <w:spacing w:after="0"/>
              <w:rPr>
                <w:sz w:val="20"/>
                <w:szCs w:val="20"/>
                <w:color w:val="auto"/>
              </w:rPr>
            </w:pPr>
            <w:r>
              <w:rPr>
                <w:rFonts w:ascii="Arial" w:cs="Arial" w:eastAsia="Arial" w:hAnsi="Arial"/>
                <w:sz w:val="18"/>
                <w:szCs w:val="18"/>
                <w:color w:val="auto"/>
              </w:rPr>
              <w:t>12</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TUYA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 (CONTINUED)</w:t>
      </w:r>
    </w:p>
    <w:p>
      <w:pPr>
        <w:spacing w:after="0" w:line="9"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AS OF DECEMBER 31, 2021 AND 2022</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b w:val="1"/>
          <w:bCs w:val="1"/>
          <w:color w:val="auto"/>
        </w:rPr>
        <w:t>(All amounts in US$ thousands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for share and per share data, unless otherwise noted)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As of</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As of</w:t>
            </w:r>
          </w:p>
        </w:tc>
        <w:tc>
          <w:tcPr>
            <w:tcW w:w="0" w:type="dxa"/>
            <w:vAlign w:val="bottom"/>
          </w:tcPr>
          <w:p>
            <w:pPr>
              <w:spacing w:after="0"/>
              <w:rPr>
                <w:sz w:val="1"/>
                <w:szCs w:val="1"/>
                <w:color w:val="auto"/>
              </w:rPr>
            </w:pPr>
          </w:p>
        </w:tc>
      </w:tr>
      <w:tr>
        <w:trPr>
          <w:trHeight w:val="230"/>
        </w:trPr>
        <w:tc>
          <w:tcPr>
            <w:tcW w:w="1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3820" w:type="dxa"/>
            <w:vAlign w:val="bottom"/>
          </w:tcPr>
          <w:p>
            <w:pPr>
              <w:spacing w:after="0"/>
              <w:rPr>
                <w:sz w:val="19"/>
                <w:szCs w:val="19"/>
                <w:color w:val="auto"/>
              </w:rPr>
            </w:pP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w w:val="99"/>
              </w:rPr>
              <w:t>December 31,</w:t>
            </w:r>
          </w:p>
        </w:tc>
        <w:tc>
          <w:tcPr>
            <w:tcW w:w="13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5060" w:type="dxa"/>
            <w:vAlign w:val="bottom"/>
            <w:gridSpan w:val="2"/>
          </w:tcPr>
          <w:p>
            <w:pPr>
              <w:jc w:val="right"/>
              <w:ind w:right="35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20"/>
                <w:szCs w:val="20"/>
                <w:color w:val="auto"/>
              </w:rPr>
            </w:pPr>
          </w:p>
        </w:tc>
        <w:tc>
          <w:tcPr>
            <w:tcW w:w="1240" w:type="dxa"/>
            <w:vAlign w:val="bottom"/>
          </w:tcPr>
          <w:p>
            <w:pPr>
              <w:jc w:val="center"/>
              <w:spacing w:after="0"/>
              <w:rPr>
                <w:sz w:val="20"/>
                <w:szCs w:val="20"/>
                <w:color w:val="auto"/>
              </w:rPr>
            </w:pPr>
            <w:r>
              <w:rPr>
                <w:rFonts w:ascii="Arial" w:cs="Arial" w:eastAsia="Arial" w:hAnsi="Arial"/>
                <w:sz w:val="18"/>
                <w:szCs w:val="18"/>
                <w:b w:val="1"/>
                <w:bCs w:val="1"/>
                <w:color w:val="auto"/>
                <w:w w:val="89"/>
              </w:rPr>
              <w:t>2022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6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8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500" w:type="dxa"/>
            <w:vAlign w:val="bottom"/>
          </w:tcPr>
          <w:p>
            <w:pPr>
              <w:ind w:left="60"/>
              <w:spacing w:after="0"/>
              <w:rPr>
                <w:sz w:val="20"/>
                <w:szCs w:val="20"/>
                <w:color w:val="auto"/>
              </w:rPr>
            </w:pPr>
            <w:r>
              <w:rPr>
                <w:rFonts w:ascii="Arial" w:cs="Arial" w:eastAsia="Arial" w:hAnsi="Arial"/>
                <w:sz w:val="18"/>
                <w:szCs w:val="18"/>
                <w:color w:val="auto"/>
              </w:rPr>
              <w:t>Ordinary shares</w:t>
            </w:r>
          </w:p>
        </w:tc>
        <w:tc>
          <w:tcPr>
            <w:tcW w:w="382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Class A ordinary shares</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25</w:t>
            </w:r>
          </w:p>
        </w:tc>
        <w:tc>
          <w:tcPr>
            <w:tcW w:w="0" w:type="dxa"/>
            <w:vAlign w:val="bottom"/>
          </w:tcPr>
          <w:p>
            <w:pPr>
              <w:spacing w:after="0"/>
              <w:rPr>
                <w:sz w:val="1"/>
                <w:szCs w:val="1"/>
                <w:color w:val="auto"/>
              </w:rPr>
            </w:pPr>
          </w:p>
        </w:tc>
      </w:tr>
      <w:tr>
        <w:trPr>
          <w:trHeight w:val="216"/>
        </w:trPr>
        <w:tc>
          <w:tcPr>
            <w:tcW w:w="4620" w:type="dxa"/>
            <w:vAlign w:val="bottom"/>
            <w:gridSpan w:val="2"/>
          </w:tcPr>
          <w:p>
            <w:pPr>
              <w:spacing w:after="0"/>
              <w:rPr>
                <w:sz w:val="20"/>
                <w:szCs w:val="20"/>
                <w:color w:val="auto"/>
              </w:rPr>
            </w:pPr>
            <w:r>
              <w:rPr>
                <w:rFonts w:ascii="Arial" w:cs="Arial" w:eastAsia="Arial" w:hAnsi="Arial"/>
                <w:sz w:val="18"/>
                <w:szCs w:val="18"/>
                <w:color w:val="auto"/>
              </w:rPr>
              <w:t>   Class B ordinary shares</w:t>
            </w:r>
          </w:p>
        </w:tc>
        <w:tc>
          <w:tcPr>
            <w:tcW w:w="5280" w:type="dxa"/>
            <w:vAlign w:val="bottom"/>
            <w:gridSpan w:val="3"/>
          </w:tcPr>
          <w:p>
            <w:pPr>
              <w:jc w:val="right"/>
              <w:ind w:right="220"/>
              <w:spacing w:after="0"/>
              <w:rPr>
                <w:sz w:val="20"/>
                <w:szCs w:val="20"/>
                <w:color w:val="auto"/>
              </w:rPr>
            </w:pPr>
            <w:r>
              <w:rPr>
                <w:rFonts w:ascii="Arial" w:cs="Arial" w:eastAsia="Arial" w:hAnsi="Arial"/>
                <w:sz w:val="18"/>
                <w:szCs w:val="18"/>
                <w:color w:val="auto"/>
              </w:rPr>
              <w:t>4</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4</w:t>
            </w:r>
          </w:p>
        </w:tc>
        <w:tc>
          <w:tcPr>
            <w:tcW w:w="0" w:type="dxa"/>
            <w:vAlign w:val="bottom"/>
          </w:tcPr>
          <w:p>
            <w:pPr>
              <w:spacing w:after="0"/>
              <w:rPr>
                <w:sz w:val="1"/>
                <w:szCs w:val="1"/>
                <w:color w:val="auto"/>
              </w:rPr>
            </w:pPr>
          </w:p>
        </w:tc>
      </w:tr>
      <w:tr>
        <w:trPr>
          <w:trHeight w:val="216"/>
        </w:trPr>
        <w:tc>
          <w:tcPr>
            <w:tcW w:w="120" w:type="dxa"/>
            <w:vAlign w:val="bottom"/>
            <w:shd w:val="clear" w:color="auto" w:fill="CCEEFF"/>
          </w:tcPr>
          <w:p>
            <w:pPr>
              <w:spacing w:after="0"/>
              <w:rPr>
                <w:sz w:val="20"/>
                <w:szCs w:val="20"/>
                <w:color w:val="auto"/>
              </w:rPr>
            </w:pPr>
            <w:r>
              <w:rPr>
                <w:rFonts w:ascii="Arial" w:cs="Arial" w:eastAsia="Arial" w:hAnsi="Arial"/>
                <w:sz w:val="13"/>
                <w:szCs w:val="13"/>
                <w:color w:val="auto"/>
                <w:w w:val="76"/>
              </w:rPr>
              <w:t> </w:t>
            </w:r>
          </w:p>
        </w:tc>
        <w:tc>
          <w:tcPr>
            <w:tcW w:w="45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Treasury stock</w:t>
            </w:r>
          </w:p>
        </w:tc>
        <w:tc>
          <w:tcPr>
            <w:tcW w:w="5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(46,930)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(86,438)</w:t>
            </w:r>
          </w:p>
        </w:tc>
        <w:tc>
          <w:tcPr>
            <w:tcW w:w="0" w:type="dxa"/>
            <w:vAlign w:val="bottom"/>
          </w:tcPr>
          <w:p>
            <w:pPr>
              <w:spacing w:after="0"/>
              <w:rPr>
                <w:sz w:val="1"/>
                <w:szCs w:val="1"/>
                <w:color w:val="auto"/>
              </w:rPr>
            </w:pP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500" w:type="dxa"/>
            <w:vAlign w:val="bottom"/>
          </w:tcPr>
          <w:p>
            <w:pPr>
              <w:ind w:left="60"/>
              <w:spacing w:after="0"/>
              <w:rPr>
                <w:sz w:val="20"/>
                <w:szCs w:val="20"/>
                <w:color w:val="auto"/>
              </w:rPr>
            </w:pPr>
            <w:r>
              <w:rPr>
                <w:rFonts w:ascii="Arial" w:cs="Arial" w:eastAsia="Arial" w:hAnsi="Arial"/>
                <w:sz w:val="18"/>
                <w:szCs w:val="18"/>
                <w:color w:val="auto"/>
              </w:rPr>
              <w:t>Additional paid-in capital</w:t>
            </w:r>
          </w:p>
        </w:tc>
        <w:tc>
          <w:tcPr>
            <w:tcW w:w="5280" w:type="dxa"/>
            <w:vAlign w:val="bottom"/>
            <w:gridSpan w:val="3"/>
          </w:tcPr>
          <w:p>
            <w:pPr>
              <w:jc w:val="right"/>
              <w:ind w:right="220"/>
              <w:spacing w:after="0"/>
              <w:rPr>
                <w:sz w:val="20"/>
                <w:szCs w:val="20"/>
                <w:color w:val="auto"/>
              </w:rPr>
            </w:pPr>
            <w:r>
              <w:rPr>
                <w:rFonts w:ascii="Arial" w:cs="Arial" w:eastAsia="Arial" w:hAnsi="Arial"/>
                <w:sz w:val="18"/>
                <w:szCs w:val="18"/>
                <w:color w:val="auto"/>
              </w:rPr>
              <w:t>1,526,140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1,584,764</w:t>
            </w:r>
          </w:p>
        </w:tc>
        <w:tc>
          <w:tcPr>
            <w:tcW w:w="0" w:type="dxa"/>
            <w:vAlign w:val="bottom"/>
          </w:tcPr>
          <w:p>
            <w:pPr>
              <w:spacing w:after="0"/>
              <w:rPr>
                <w:sz w:val="1"/>
                <w:szCs w:val="1"/>
                <w:color w:val="auto"/>
              </w:rPr>
            </w:pPr>
          </w:p>
        </w:tc>
      </w:tr>
      <w:tr>
        <w:trPr>
          <w:trHeight w:val="216"/>
        </w:trPr>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Accumulated other comprehensive income/(loss)</w:t>
            </w:r>
          </w:p>
        </w:tc>
        <w:tc>
          <w:tcPr>
            <w:tcW w:w="52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2,320</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(22,115)</w:t>
            </w:r>
          </w:p>
        </w:tc>
        <w:tc>
          <w:tcPr>
            <w:tcW w:w="0" w:type="dxa"/>
            <w:vAlign w:val="bottom"/>
          </w:tcPr>
          <w:p>
            <w:pPr>
              <w:spacing w:after="0"/>
              <w:rPr>
                <w:sz w:val="1"/>
                <w:szCs w:val="1"/>
                <w:color w:val="auto"/>
              </w:rPr>
            </w:pPr>
          </w:p>
        </w:tc>
      </w:tr>
      <w:tr>
        <w:trPr>
          <w:trHeight w:val="283"/>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4500" w:type="dxa"/>
            <w:vAlign w:val="bottom"/>
          </w:tcPr>
          <w:p>
            <w:pPr>
              <w:ind w:left="60"/>
              <w:spacing w:after="0"/>
              <w:rPr>
                <w:sz w:val="20"/>
                <w:szCs w:val="20"/>
                <w:color w:val="auto"/>
              </w:rPr>
            </w:pPr>
            <w:r>
              <w:rPr>
                <w:rFonts w:ascii="Arial" w:cs="Arial" w:eastAsia="Arial" w:hAnsi="Arial"/>
                <w:sz w:val="18"/>
                <w:szCs w:val="18"/>
                <w:color w:val="auto"/>
              </w:rPr>
              <w:t>Accumulated deficit</w:t>
            </w:r>
          </w:p>
        </w:tc>
        <w:tc>
          <w:tcPr>
            <w:tcW w:w="5280" w:type="dxa"/>
            <w:vAlign w:val="bottom"/>
            <w:gridSpan w:val="3"/>
          </w:tcPr>
          <w:p>
            <w:pPr>
              <w:jc w:val="right"/>
              <w:ind w:right="160"/>
              <w:spacing w:after="0"/>
              <w:rPr>
                <w:sz w:val="20"/>
                <w:szCs w:val="20"/>
                <w:color w:val="auto"/>
              </w:rPr>
            </w:pPr>
            <w:r>
              <w:rPr>
                <w:rFonts w:ascii="Arial" w:cs="Arial" w:eastAsia="Arial" w:hAnsi="Arial"/>
                <w:sz w:val="18"/>
                <w:szCs w:val="18"/>
                <w:color w:val="auto"/>
              </w:rPr>
              <w:t>(367,898)</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(514,073)</w:t>
            </w:r>
          </w:p>
        </w:tc>
        <w:tc>
          <w:tcPr>
            <w:tcW w:w="0" w:type="dxa"/>
            <w:vAlign w:val="bottom"/>
          </w:tcPr>
          <w:p>
            <w:pPr>
              <w:spacing w:after="0"/>
              <w:rPr>
                <w:sz w:val="1"/>
                <w:szCs w:val="1"/>
                <w:color w:val="auto"/>
              </w:rPr>
            </w:pPr>
          </w:p>
        </w:tc>
      </w:tr>
      <w:tr>
        <w:trPr>
          <w:trHeight w:val="197"/>
        </w:trPr>
        <w:tc>
          <w:tcPr>
            <w:tcW w:w="12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shareholders’ equity</w:t>
            </w:r>
          </w:p>
        </w:tc>
        <w:tc>
          <w:tcPr>
            <w:tcW w:w="5280" w:type="dxa"/>
            <w:vAlign w:val="bottom"/>
            <w:gridSpan w:val="3"/>
          </w:tcPr>
          <w:p>
            <w:pPr>
              <w:jc w:val="right"/>
              <w:ind w:right="220"/>
              <w:spacing w:after="0"/>
              <w:rPr>
                <w:sz w:val="20"/>
                <w:szCs w:val="20"/>
                <w:color w:val="auto"/>
              </w:rPr>
            </w:pPr>
            <w:r>
              <w:rPr>
                <w:rFonts w:ascii="Arial" w:cs="Arial" w:eastAsia="Arial" w:hAnsi="Arial"/>
                <w:sz w:val="18"/>
                <w:szCs w:val="18"/>
                <w:color w:val="auto"/>
              </w:rPr>
              <w:t>1,113,661</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962,167</w:t>
            </w:r>
          </w:p>
        </w:tc>
        <w:tc>
          <w:tcPr>
            <w:tcW w:w="0" w:type="dxa"/>
            <w:vAlign w:val="bottom"/>
          </w:tcPr>
          <w:p>
            <w:pPr>
              <w:spacing w:after="0"/>
              <w:rPr>
                <w:sz w:val="1"/>
                <w:szCs w:val="1"/>
                <w:color w:val="auto"/>
              </w:rPr>
            </w:pPr>
          </w:p>
        </w:tc>
      </w:tr>
      <w:tr>
        <w:trPr>
          <w:trHeight w:val="197"/>
        </w:trPr>
        <w:tc>
          <w:tcPr>
            <w:tcW w:w="120" w:type="dxa"/>
            <w:vAlign w:val="bottom"/>
            <w:tcBorders>
              <w:top w:val="single" w:sz="8" w:color="CCEEFF"/>
            </w:tcBorders>
            <w:shd w:val="clear" w:color="auto" w:fill="CCEEFF"/>
          </w:tcPr>
          <w:p>
            <w:pPr>
              <w:spacing w:after="0"/>
              <w:rPr>
                <w:sz w:val="17"/>
                <w:szCs w:val="17"/>
                <w:color w:val="auto"/>
              </w:rPr>
            </w:pPr>
          </w:p>
        </w:tc>
        <w:tc>
          <w:tcPr>
            <w:tcW w:w="4500" w:type="dxa"/>
            <w:vAlign w:val="bottom"/>
            <w:tcBorders>
              <w:top w:val="single" w:sz="8" w:color="CCEEFF"/>
            </w:tcBorders>
            <w:shd w:val="clear" w:color="auto" w:fill="CCEEFF"/>
          </w:tcPr>
          <w:p>
            <w:pPr>
              <w:spacing w:after="0"/>
              <w:rPr>
                <w:sz w:val="17"/>
                <w:szCs w:val="17"/>
                <w:color w:val="auto"/>
              </w:rPr>
            </w:pPr>
          </w:p>
        </w:tc>
        <w:tc>
          <w:tcPr>
            <w:tcW w:w="38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20" w:type="dxa"/>
            <w:vAlign w:val="bottom"/>
            <w:gridSpan w:val="2"/>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5280" w:type="dxa"/>
            <w:vAlign w:val="bottom"/>
            <w:gridSpan w:val="3"/>
          </w:tcPr>
          <w:p>
            <w:pPr>
              <w:jc w:val="right"/>
              <w:ind w:right="220"/>
              <w:spacing w:after="0"/>
              <w:rPr>
                <w:sz w:val="20"/>
                <w:szCs w:val="20"/>
                <w:color w:val="auto"/>
              </w:rPr>
            </w:pPr>
            <w:r>
              <w:rPr>
                <w:rFonts w:ascii="Arial" w:cs="Arial" w:eastAsia="Arial" w:hAnsi="Arial"/>
                <w:sz w:val="18"/>
                <w:szCs w:val="18"/>
                <w:color w:val="auto"/>
              </w:rPr>
              <w:t>1,248,150</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1,056,139</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3820" w:type="dxa"/>
            <w:vAlign w:val="bottom"/>
            <w:vMerge w:val="restart"/>
          </w:tcPr>
          <w:p>
            <w:pPr>
              <w:jc w:val="right"/>
              <w:ind w:right="2630"/>
              <w:spacing w:after="0"/>
              <w:rPr>
                <w:sz w:val="20"/>
                <w:szCs w:val="20"/>
                <w:color w:val="auto"/>
              </w:rPr>
            </w:pPr>
            <w:r>
              <w:rPr>
                <w:rFonts w:ascii="Arial" w:cs="Arial" w:eastAsia="Arial" w:hAnsi="Arial"/>
                <w:sz w:val="18"/>
                <w:szCs w:val="18"/>
                <w:color w:val="auto"/>
              </w:rPr>
              <w:t>13</w:t>
            </w: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120" w:type="dxa"/>
            <w:vAlign w:val="bottom"/>
            <w:tcBorders>
              <w:bottom w:val="single" w:sz="8" w:color="auto"/>
            </w:tcBorders>
          </w:tcPr>
          <w:p>
            <w:pPr>
              <w:spacing w:after="0"/>
              <w:rPr>
                <w:sz w:val="24"/>
                <w:szCs w:val="24"/>
                <w:color w:val="auto"/>
              </w:rPr>
            </w:pPr>
          </w:p>
        </w:tc>
        <w:tc>
          <w:tcPr>
            <w:tcW w:w="450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TUYA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thousands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for share and per share data, unless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2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29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Year Ended</w:t>
            </w:r>
          </w:p>
        </w:tc>
      </w:tr>
      <w:tr>
        <w:trPr>
          <w:trHeight w:val="205"/>
        </w:trPr>
        <w:tc>
          <w:tcPr>
            <w:tcW w:w="120" w:type="dxa"/>
            <w:vAlign w:val="bottom"/>
          </w:tcPr>
          <w:p>
            <w:pPr>
              <w:spacing w:after="0"/>
              <w:rPr>
                <w:sz w:val="17"/>
                <w:szCs w:val="17"/>
                <w:color w:val="auto"/>
              </w:rPr>
            </w:pPr>
          </w:p>
        </w:tc>
        <w:tc>
          <w:tcPr>
            <w:tcW w:w="540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360"/>
              <w:spacing w:after="0" w:line="205" w:lineRule="exact"/>
              <w:rPr>
                <w:sz w:val="20"/>
                <w:szCs w:val="20"/>
                <w:color w:val="auto"/>
              </w:rPr>
            </w:pPr>
            <w:r>
              <w:rPr>
                <w:rFonts w:ascii="Arial" w:cs="Arial" w:eastAsia="Arial" w:hAnsi="Arial"/>
                <w:sz w:val="18"/>
                <w:szCs w:val="18"/>
                <w:color w:val="auto"/>
                <w:w w:val="99"/>
              </w:rPr>
              <w:t>December 31,</w:t>
            </w:r>
          </w:p>
        </w:tc>
        <w:tc>
          <w:tcPr>
            <w:tcW w:w="12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5"/>
              </w:rPr>
              <w:t>December 31,</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220"/>
              <w:spacing w:after="0" w:line="205" w:lineRule="exact"/>
              <w:rPr>
                <w:sz w:val="20"/>
                <w:szCs w:val="20"/>
                <w:color w:val="auto"/>
              </w:rPr>
            </w:pPr>
            <w:r>
              <w:rPr>
                <w:rFonts w:ascii="Arial" w:cs="Arial" w:eastAsia="Arial" w:hAnsi="Arial"/>
                <w:sz w:val="18"/>
                <w:szCs w:val="18"/>
                <w:color w:val="auto"/>
                <w:w w:val="90"/>
              </w:rPr>
              <w:t>December 31,</w:t>
            </w:r>
          </w:p>
        </w:tc>
        <w:tc>
          <w:tcPr>
            <w:tcW w:w="124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7"/>
                <w:szCs w:val="17"/>
                <w:color w:val="auto"/>
              </w:rPr>
            </w:pPr>
          </w:p>
        </w:tc>
      </w:tr>
      <w:tr>
        <w:trPr>
          <w:trHeight w:val="234"/>
        </w:trPr>
        <w:tc>
          <w:tcPr>
            <w:tcW w:w="120" w:type="dxa"/>
            <w:vAlign w:val="bottom"/>
            <w:tcBorders>
              <w:bottom w:val="single" w:sz="8" w:color="CCEEFF"/>
            </w:tcBorders>
          </w:tcPr>
          <w:p>
            <w:pPr>
              <w:spacing w:after="0"/>
              <w:rPr>
                <w:sz w:val="20"/>
                <w:szCs w:val="20"/>
                <w:color w:val="auto"/>
              </w:rPr>
            </w:pPr>
          </w:p>
        </w:tc>
        <w:tc>
          <w:tcPr>
            <w:tcW w:w="540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Revenue</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74,967</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45,286</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302,076</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208,172</w:t>
            </w:r>
          </w:p>
        </w:tc>
        <w:tc>
          <w:tcPr>
            <w:tcW w:w="100" w:type="dxa"/>
            <w:vAlign w:val="bottom"/>
            <w:shd w:val="clear" w:color="auto" w:fill="CCEEFF"/>
          </w:tcPr>
          <w:p>
            <w:pPr>
              <w:spacing w:after="0"/>
              <w:rPr>
                <w:sz w:val="18"/>
                <w:szCs w:val="18"/>
                <w:color w:val="auto"/>
              </w:rPr>
            </w:pP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color w:val="auto"/>
              </w:rPr>
              <w:t>Cost of revenue</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(42,616)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(25,100)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(174,209)</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(118,749)</w:t>
            </w:r>
          </w:p>
        </w:tc>
      </w:tr>
      <w:tr>
        <w:trPr>
          <w:trHeight w:val="209"/>
        </w:trPr>
        <w:tc>
          <w:tcPr>
            <w:tcW w:w="1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Gross profit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32,351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20,186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127,867</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89,423</w:t>
            </w:r>
          </w:p>
        </w:tc>
      </w:tr>
      <w:tr>
        <w:trPr>
          <w:trHeight w:val="209"/>
        </w:trPr>
        <w:tc>
          <w:tcPr>
            <w:tcW w:w="1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Research and development expenses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(46,187)</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(27,792)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(174,289)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(144,942)</w:t>
            </w: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   Sales and marketing expenses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(18,433)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(11,203)</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(75,384)</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(55,662)</w:t>
            </w: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General and administrative expenses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(21,011)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(16,181)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(71,589)</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(67,513)</w:t>
            </w:r>
          </w:p>
        </w:tc>
      </w:tr>
      <w:tr>
        <w:trPr>
          <w:trHeight w:val="229"/>
        </w:trPr>
        <w:tc>
          <w:tcPr>
            <w:tcW w:w="5520" w:type="dxa"/>
            <w:vAlign w:val="bottom"/>
            <w:gridSpan w:val="2"/>
          </w:tcPr>
          <w:p>
            <w:pPr>
              <w:spacing w:after="0"/>
              <w:rPr>
                <w:sz w:val="20"/>
                <w:szCs w:val="20"/>
                <w:color w:val="auto"/>
              </w:rPr>
            </w:pPr>
            <w:r>
              <w:rPr>
                <w:rFonts w:ascii="Arial" w:cs="Arial" w:eastAsia="Arial" w:hAnsi="Arial"/>
                <w:sz w:val="18"/>
                <w:szCs w:val="18"/>
                <w:color w:val="auto"/>
              </w:rPr>
              <w:t>   Other operating incomes, net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1,724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2,160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9,835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10,508</w:t>
            </w: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29"/>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0" w:type="dxa"/>
            <w:vAlign w:val="bottom"/>
          </w:tcPr>
          <w:p>
            <w:pPr>
              <w:ind w:left="60"/>
              <w:spacing w:after="0"/>
              <w:rPr>
                <w:sz w:val="20"/>
                <w:szCs w:val="20"/>
                <w:color w:val="auto"/>
              </w:rPr>
            </w:pPr>
            <w:r>
              <w:rPr>
                <w:rFonts w:ascii="Arial" w:cs="Arial" w:eastAsia="Arial" w:hAnsi="Arial"/>
                <w:sz w:val="18"/>
                <w:szCs w:val="18"/>
                <w:color w:val="auto"/>
              </w:rPr>
              <w:t>Total operating expenses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(83,907)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(53,016)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(311,427)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(257,609)</w:t>
            </w:r>
          </w:p>
        </w:tc>
      </w:tr>
      <w:tr>
        <w:trPr>
          <w:trHeight w:val="209"/>
        </w:trPr>
        <w:tc>
          <w:tcPr>
            <w:tcW w:w="1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Loss from operations</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(51,556)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(32,830)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(183,560)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(168,186)</w:t>
            </w:r>
          </w:p>
        </w:tc>
      </w:tr>
      <w:tr>
        <w:trPr>
          <w:trHeight w:val="209"/>
        </w:trPr>
        <w:tc>
          <w:tcPr>
            <w:tcW w:w="1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b w:val="1"/>
                <w:bCs w:val="1"/>
                <w:color w:val="auto"/>
              </w:rPr>
              <w:t>Other income/(loss)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Other non-operating income, net</w:t>
            </w:r>
          </w:p>
        </w:tc>
        <w:tc>
          <w:tcPr>
            <w:tcW w:w="15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653</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779</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1,958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2,904</w:t>
            </w:r>
          </w:p>
        </w:tc>
      </w:tr>
      <w:tr>
        <w:trPr>
          <w:trHeight w:val="216"/>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0" w:type="dxa"/>
            <w:vAlign w:val="bottom"/>
          </w:tcPr>
          <w:p>
            <w:pPr>
              <w:ind w:left="60"/>
              <w:spacing w:after="0"/>
              <w:rPr>
                <w:sz w:val="20"/>
                <w:szCs w:val="20"/>
                <w:color w:val="auto"/>
              </w:rPr>
            </w:pPr>
            <w:r>
              <w:rPr>
                <w:rFonts w:ascii="Arial" w:cs="Arial" w:eastAsia="Arial" w:hAnsi="Arial"/>
                <w:sz w:val="18"/>
                <w:szCs w:val="18"/>
                <w:color w:val="auto"/>
              </w:rPr>
              <w:t>Financial income, net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2,619</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10,234</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7,286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18,546</w:t>
            </w:r>
          </w:p>
        </w:tc>
      </w:tr>
      <w:tr>
        <w:trPr>
          <w:trHeight w:val="230"/>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   Foreign exchange (loss)/gain, net</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(102)</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(618)</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2,441</w:t>
            </w:r>
          </w:p>
        </w:tc>
      </w:tr>
      <w:tr>
        <w:trPr>
          <w:trHeight w:val="210"/>
        </w:trPr>
        <w:tc>
          <w:tcPr>
            <w:tcW w:w="1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Loss before income tax expense</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(48,709)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(21,919)</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(174,934)</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(144,295)</w:t>
            </w:r>
          </w:p>
        </w:tc>
      </w:tr>
      <w:tr>
        <w:trPr>
          <w:trHeight w:val="230"/>
        </w:trPr>
        <w:tc>
          <w:tcPr>
            <w:tcW w:w="120" w:type="dxa"/>
            <w:vAlign w:val="bottom"/>
          </w:tcPr>
          <w:p>
            <w:pPr>
              <w:spacing w:after="0"/>
              <w:rPr>
                <w:sz w:val="20"/>
                <w:szCs w:val="20"/>
                <w:color w:val="auto"/>
              </w:rPr>
            </w:pPr>
            <w:r>
              <w:rPr>
                <w:rFonts w:ascii="Arial" w:cs="Arial" w:eastAsia="Arial" w:hAnsi="Arial"/>
                <w:sz w:val="13"/>
                <w:szCs w:val="13"/>
                <w:color w:val="auto"/>
                <w:w w:val="76"/>
              </w:rPr>
              <w:t> </w:t>
            </w:r>
          </w:p>
        </w:tc>
        <w:tc>
          <w:tcPr>
            <w:tcW w:w="5400" w:type="dxa"/>
            <w:vAlign w:val="bottom"/>
          </w:tcPr>
          <w:p>
            <w:pPr>
              <w:ind w:left="60"/>
              <w:spacing w:after="0"/>
              <w:rPr>
                <w:sz w:val="20"/>
                <w:szCs w:val="20"/>
                <w:color w:val="auto"/>
              </w:rPr>
            </w:pPr>
            <w:r>
              <w:rPr>
                <w:rFonts w:ascii="Arial" w:cs="Arial" w:eastAsia="Arial" w:hAnsi="Arial"/>
                <w:sz w:val="18"/>
                <w:szCs w:val="18"/>
                <w:color w:val="auto"/>
              </w:rPr>
              <w:t>Income tax expense</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(135)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(811)</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(490)</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(1,880)</w:t>
            </w:r>
          </w:p>
        </w:tc>
      </w:tr>
      <w:tr>
        <w:trPr>
          <w:trHeight w:val="210"/>
        </w:trPr>
        <w:tc>
          <w:tcPr>
            <w:tcW w:w="120" w:type="dxa"/>
            <w:vAlign w:val="bottom"/>
            <w:tcBorders>
              <w:top w:val="single" w:sz="8" w:color="CCEEFF"/>
            </w:tcBorders>
            <w:shd w:val="clear" w:color="auto" w:fill="CCEEFF"/>
          </w:tcPr>
          <w:p>
            <w:pPr>
              <w:spacing w:after="0"/>
              <w:rPr>
                <w:sz w:val="18"/>
                <w:szCs w:val="18"/>
                <w:color w:val="auto"/>
              </w:rPr>
            </w:pPr>
          </w:p>
        </w:tc>
        <w:tc>
          <w:tcPr>
            <w:tcW w:w="54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Net loss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loss attributable to Tuya Inc.</w:t>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Net loss attribute to ordinary shareholders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3"/>
        </w:trPr>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(48,844)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(22,730)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(175,424)</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(146,175)</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40"/>
        </w:trPr>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(48,844)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(22,730)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(175,424)</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(146,175)</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39"/>
        </w:trPr>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(48,844)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(22,730)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(175,424)</w:t>
            </w:r>
          </w:p>
        </w:tc>
        <w:tc>
          <w:tcPr>
            <w:tcW w:w="1300" w:type="dxa"/>
            <w:vAlign w:val="bottom"/>
            <w:gridSpan w:val="3"/>
          </w:tcPr>
          <w:p>
            <w:pPr>
              <w:jc w:val="right"/>
              <w:spacing w:after="0"/>
              <w:rPr>
                <w:sz w:val="20"/>
                <w:szCs w:val="20"/>
                <w:color w:val="auto"/>
              </w:rPr>
            </w:pPr>
            <w:r>
              <w:rPr>
                <w:rFonts w:ascii="Arial" w:cs="Arial" w:eastAsia="Arial" w:hAnsi="Arial"/>
                <w:sz w:val="18"/>
                <w:szCs w:val="18"/>
                <w:b w:val="1"/>
                <w:bCs w:val="1"/>
                <w:color w:val="auto"/>
              </w:rPr>
              <w:t>(146,175)</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-650875</wp:posOffset>
            </wp:positionV>
            <wp:extent cx="713232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-334010</wp:posOffset>
            </wp:positionV>
            <wp:extent cx="713232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-16510</wp:posOffset>
            </wp:positionV>
            <wp:extent cx="7132320" cy="1543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800" w:space="720"/>
            <w:col w:w="5720"/>
          </w:cols>
          <w:pgMar w:left="320" w:top="904" w:right="339" w:bottom="1440" w:gutter="0" w:footer="0" w:header="0"/>
          <w:type w:val="continuous"/>
        </w:sectPr>
      </w:pP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Other comprehensive income/(loss)</w:t>
      </w:r>
    </w:p>
    <w:p>
      <w:pPr>
        <w:spacing w:after="0" w:line="9" w:lineRule="exact"/>
        <w:rPr>
          <w:sz w:val="20"/>
          <w:szCs w:val="20"/>
          <w:color w:val="auto"/>
        </w:rPr>
      </w:pPr>
    </w:p>
    <w:p>
      <w:pPr>
        <w:ind w:left="180" w:hanging="172"/>
        <w:spacing w:after="0"/>
        <w:tabs>
          <w:tab w:leader="none" w:pos="18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Changes in fair value of long-term investments</w:t>
      </w:r>
    </w:p>
    <w:p>
      <w:pPr>
        <w:spacing w:after="0" w:line="20" w:lineRule="exact"/>
        <w:rPr>
          <w:rFonts w:ascii="Arial" w:cs="Arial" w:eastAsia="Arial" w:hAnsi="Arial"/>
          <w:sz w:val="17"/>
          <w:szCs w:val="17"/>
          <w:b w:val="1"/>
          <w:bCs w:val="1"/>
          <w:color w:val="auto"/>
        </w:rPr>
      </w:pPr>
    </w:p>
    <w:p>
      <w:pPr>
        <w:ind w:left="180" w:hanging="172"/>
        <w:spacing w:after="0"/>
        <w:tabs>
          <w:tab w:leader="none" w:pos="1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Foreign currency translation</w:t>
      </w: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Total comprehensive loss attributable to Tuya Inc.</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(48,844)</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(22,730)</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(175,424)</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(146,175)</w:t>
            </w:r>
          </w:p>
        </w:tc>
      </w:tr>
      <w:tr>
        <w:trPr>
          <w:trHeight w:val="414"/>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357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(8,347)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(9,493)</w:t>
            </w:r>
          </w:p>
        </w:tc>
      </w:tr>
      <w:tr>
        <w:trPr>
          <w:trHeight w:val="248"/>
        </w:trPr>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1,211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2,090</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1,482</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(14,942)</w:t>
            </w:r>
          </w:p>
        </w:tc>
      </w:tr>
      <w:tr>
        <w:trPr>
          <w:trHeight w:val="20"/>
        </w:trPr>
        <w:tc>
          <w:tcPr>
            <w:tcW w:w="12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53"/>
        </w:trPr>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(47,276)</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(28,987)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(173,585)</w:t>
            </w:r>
          </w:p>
        </w:tc>
        <w:tc>
          <w:tcPr>
            <w:tcW w:w="1300" w:type="dxa"/>
            <w:vAlign w:val="bottom"/>
            <w:gridSpan w:val="2"/>
          </w:tcPr>
          <w:p>
            <w:pPr>
              <w:jc w:val="right"/>
              <w:spacing w:after="0"/>
              <w:rPr>
                <w:sz w:val="20"/>
                <w:szCs w:val="20"/>
                <w:color w:val="auto"/>
              </w:rPr>
            </w:pPr>
            <w:r>
              <w:rPr>
                <w:rFonts w:ascii="Arial" w:cs="Arial" w:eastAsia="Arial" w:hAnsi="Arial"/>
                <w:sz w:val="18"/>
                <w:szCs w:val="18"/>
                <w:b w:val="1"/>
                <w:bCs w:val="1"/>
                <w:color w:val="auto"/>
              </w:rPr>
              <w:t>(170,610)</w:t>
            </w:r>
          </w:p>
        </w:tc>
      </w:tr>
      <w:tr>
        <w:trPr>
          <w:trHeight w:val="20"/>
        </w:trPr>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-3499485</wp:posOffset>
            </wp:positionH>
            <wp:positionV relativeFrom="paragraph">
              <wp:posOffset>-745490</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-471170</wp:posOffset>
            </wp:positionV>
            <wp:extent cx="713232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-3499485</wp:posOffset>
            </wp:positionH>
            <wp:positionV relativeFrom="paragraph">
              <wp:posOffset>-179070</wp:posOffset>
            </wp:positionV>
            <wp:extent cx="7132320" cy="1625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800" w:space="720"/>
            <w:col w:w="5720"/>
          </w:cols>
          <w:pgMar w:left="320" w:top="904" w:right="339" w:bottom="1440" w:gutter="0" w:footer="0" w:header="0"/>
          <w:type w:val="continuous"/>
        </w:sect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TUYA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COMPREHENSIVE LOSS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thousands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for share and per share data, unless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940" w:type="dxa"/>
            <w:vAlign w:val="bottom"/>
            <w:gridSpan w:val="4"/>
          </w:tcPr>
          <w:p>
            <w:pPr>
              <w:jc w:val="right"/>
              <w:ind w:right="381"/>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4"/>
          </w:tcPr>
          <w:p>
            <w:pPr>
              <w:ind w:left="58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205"/>
        </w:trPr>
        <w:tc>
          <w:tcPr>
            <w:tcW w:w="5520" w:type="dxa"/>
            <w:vAlign w:val="bottom"/>
          </w:tcPr>
          <w:p>
            <w:pPr>
              <w:spacing w:after="0"/>
              <w:rPr>
                <w:sz w:val="17"/>
                <w:szCs w:val="17"/>
                <w:color w:val="auto"/>
              </w:rPr>
            </w:pPr>
          </w:p>
        </w:tc>
        <w:tc>
          <w:tcPr>
            <w:tcW w:w="1500" w:type="dxa"/>
            <w:vAlign w:val="bottom"/>
            <w:tcBorders>
              <w:top w:val="single" w:sz="8" w:color="auto"/>
            </w:tcBorders>
            <w:gridSpan w:val="2"/>
          </w:tcPr>
          <w:p>
            <w:pPr>
              <w:jc w:val="right"/>
              <w:ind w:right="281"/>
              <w:spacing w:after="0" w:line="205" w:lineRule="exact"/>
              <w:rPr>
                <w:sz w:val="20"/>
                <w:szCs w:val="20"/>
                <w:color w:val="auto"/>
              </w:rPr>
            </w:pPr>
            <w:r>
              <w:rPr>
                <w:rFonts w:ascii="Arial" w:cs="Arial" w:eastAsia="Arial" w:hAnsi="Arial"/>
                <w:sz w:val="18"/>
                <w:szCs w:val="18"/>
                <w:color w:val="auto"/>
                <w:w w:val="99"/>
              </w:rPr>
              <w:t>December 31,</w:t>
            </w:r>
          </w:p>
        </w:tc>
        <w:tc>
          <w:tcPr>
            <w:tcW w:w="1220" w:type="dxa"/>
            <w:vAlign w:val="bottom"/>
            <w:tcBorders>
              <w:top w:val="single" w:sz="8" w:color="auto"/>
            </w:tcBorders>
          </w:tcPr>
          <w:p>
            <w:pPr>
              <w:jc w:val="right"/>
              <w:spacing w:after="0" w:line="205" w:lineRule="exact"/>
              <w:rPr>
                <w:sz w:val="20"/>
                <w:szCs w:val="20"/>
                <w:color w:val="auto"/>
              </w:rPr>
            </w:pPr>
            <w:r>
              <w:rPr>
                <w:rFonts w:ascii="Arial" w:cs="Arial" w:eastAsia="Arial" w:hAnsi="Arial"/>
                <w:sz w:val="18"/>
                <w:szCs w:val="18"/>
                <w:b w:val="1"/>
                <w:bCs w:val="1"/>
                <w:color w:val="auto"/>
                <w:w w:val="95"/>
              </w:rPr>
              <w:t>December 31,</w:t>
            </w:r>
          </w:p>
        </w:tc>
        <w:tc>
          <w:tcPr>
            <w:tcW w:w="220" w:type="dxa"/>
            <w:vAlign w:val="bottom"/>
          </w:tcPr>
          <w:p>
            <w:pPr>
              <w:spacing w:after="0"/>
              <w:rPr>
                <w:sz w:val="17"/>
                <w:szCs w:val="17"/>
                <w:color w:val="auto"/>
              </w:rPr>
            </w:pPr>
          </w:p>
        </w:tc>
        <w:tc>
          <w:tcPr>
            <w:tcW w:w="1440" w:type="dxa"/>
            <w:vAlign w:val="bottom"/>
            <w:tcBorders>
              <w:top w:val="single" w:sz="8" w:color="auto"/>
            </w:tcBorders>
            <w:gridSpan w:val="2"/>
          </w:tcPr>
          <w:p>
            <w:pPr>
              <w:jc w:val="center"/>
              <w:ind w:right="141"/>
              <w:spacing w:after="0" w:line="205" w:lineRule="exact"/>
              <w:rPr>
                <w:sz w:val="20"/>
                <w:szCs w:val="20"/>
                <w:color w:val="auto"/>
              </w:rPr>
            </w:pPr>
            <w:r>
              <w:rPr>
                <w:rFonts w:ascii="Arial" w:cs="Arial" w:eastAsia="Arial" w:hAnsi="Arial"/>
                <w:sz w:val="18"/>
                <w:szCs w:val="18"/>
                <w:color w:val="auto"/>
                <w:w w:val="90"/>
              </w:rPr>
              <w:t>December 31,</w:t>
            </w:r>
          </w:p>
        </w:tc>
        <w:tc>
          <w:tcPr>
            <w:tcW w:w="1240" w:type="dxa"/>
            <w:vAlign w:val="bottom"/>
            <w:tcBorders>
              <w:top w:val="single" w:sz="8" w:color="auto"/>
            </w:tcBorders>
          </w:tcPr>
          <w:p>
            <w:pPr>
              <w:jc w:val="right"/>
              <w:ind w:right="10"/>
              <w:spacing w:after="0" w:line="205"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Tuya Inc.</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(48,844</w:t>
            </w:r>
          </w:p>
        </w:tc>
        <w:tc>
          <w:tcPr>
            <w:tcW w:w="240" w:type="dxa"/>
            <w:vAlign w:val="bottom"/>
            <w:shd w:val="clear" w:color="auto" w:fill="CCEEFF"/>
          </w:tcPr>
          <w:p>
            <w:pPr>
              <w:jc w:val="right"/>
              <w:ind w:right="101"/>
              <w:spacing w:after="0"/>
              <w:rPr>
                <w:sz w:val="20"/>
                <w:szCs w:val="20"/>
                <w:color w:val="auto"/>
              </w:rPr>
            </w:pPr>
            <w:r>
              <w:rPr>
                <w:rFonts w:ascii="Arial" w:cs="Arial" w:eastAsia="Arial" w:hAnsi="Arial"/>
                <w:sz w:val="16"/>
                <w:szCs w:val="16"/>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(22,730</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b w:val="1"/>
                <w:bCs w:val="1"/>
                <w:color w:val="auto"/>
                <w:w w:val="74"/>
              </w:rPr>
              <w:t>)</w:t>
            </w:r>
          </w:p>
        </w:tc>
        <w:tc>
          <w:tcPr>
            <w:tcW w:w="1220" w:type="dxa"/>
            <w:vAlign w:val="bottom"/>
            <w:tcBorders>
              <w:bottom w:val="single" w:sz="8" w:color="auto"/>
            </w:tcBorders>
            <w:shd w:val="clear" w:color="auto" w:fill="CCEEFF"/>
          </w:tcPr>
          <w:p>
            <w:pPr>
              <w:ind w:left="580"/>
              <w:spacing w:after="0"/>
              <w:rPr>
                <w:sz w:val="20"/>
                <w:szCs w:val="20"/>
                <w:color w:val="auto"/>
              </w:rPr>
            </w:pPr>
            <w:r>
              <w:rPr>
                <w:rFonts w:ascii="Arial" w:cs="Arial" w:eastAsia="Arial" w:hAnsi="Arial"/>
                <w:sz w:val="18"/>
                <w:szCs w:val="18"/>
                <w:color w:val="auto"/>
                <w:w w:val="87"/>
              </w:rPr>
              <w:t>(175,424</w:t>
            </w:r>
          </w:p>
        </w:tc>
        <w:tc>
          <w:tcPr>
            <w:tcW w:w="220" w:type="dxa"/>
            <w:vAlign w:val="bottom"/>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(146,175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b w:val="1"/>
                <w:bCs w:val="1"/>
                <w:color w:val="auto"/>
                <w:w w:val="74"/>
              </w:rPr>
              <w:t>)</w:t>
            </w:r>
          </w:p>
        </w:tc>
        <w:tc>
          <w:tcPr>
            <w:tcW w:w="0" w:type="dxa"/>
            <w:vAlign w:val="bottom"/>
          </w:tcPr>
          <w:p>
            <w:pPr>
              <w:spacing w:after="0"/>
              <w:rPr>
                <w:sz w:val="1"/>
                <w:szCs w:val="1"/>
                <w:color w:val="auto"/>
              </w:rPr>
            </w:pPr>
          </w:p>
        </w:tc>
      </w:tr>
      <w:tr>
        <w:trPr>
          <w:trHeight w:val="209"/>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loss attributable to ordinary shareholders</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(48,844)</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(22,730)</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(175,424)</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(146,175)</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Weighted average number of ordinary shares used in computing net loss</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40" w:type="dxa"/>
            <w:vAlign w:val="bottom"/>
            <w:gridSpan w:val="2"/>
            <w:vMerge w:val="restart"/>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554,121,595</w:t>
            </w: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40" w:type="dxa"/>
            <w:vAlign w:val="bottom"/>
            <w:gridSpan w:val="2"/>
            <w:vMerge w:val="restart"/>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553,527,529</w:t>
            </w: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per share, basic and diluted</w:t>
            </w:r>
          </w:p>
        </w:tc>
        <w:tc>
          <w:tcPr>
            <w:tcW w:w="15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562,082,216</w:t>
            </w:r>
          </w:p>
        </w:tc>
        <w:tc>
          <w:tcPr>
            <w:tcW w:w="1440" w:type="dxa"/>
            <w:vAlign w:val="bottom"/>
            <w:gridSpan w:val="2"/>
            <w:vMerge w:val="continue"/>
            <w:shd w:val="clear" w:color="auto" w:fill="CCEEFF"/>
          </w:tcPr>
          <w:p>
            <w:pPr>
              <w:spacing w:after="0"/>
              <w:rPr>
                <w:sz w:val="20"/>
                <w:szCs w:val="20"/>
                <w:color w:val="auto"/>
              </w:rPr>
            </w:pP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489,149,533</w:t>
            </w:r>
          </w:p>
        </w:tc>
        <w:tc>
          <w:tcPr>
            <w:tcW w:w="134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52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6"/>
              </w:rPr>
              <w:t>Net loss per share attributable to ordinary shareholders, basic and</w:t>
            </w:r>
          </w:p>
        </w:tc>
        <w:tc>
          <w:tcPr>
            <w:tcW w:w="1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diluted</w:t>
            </w:r>
          </w:p>
        </w:tc>
        <w:tc>
          <w:tcPr>
            <w:tcW w:w="1500" w:type="dxa"/>
            <w:vAlign w:val="bottom"/>
            <w:gridSpan w:val="2"/>
            <w:shd w:val="clear" w:color="auto" w:fill="CCEEFF"/>
          </w:tcPr>
          <w:p>
            <w:pPr>
              <w:jc w:val="right"/>
              <w:ind w:right="101"/>
              <w:spacing w:after="0"/>
              <w:rPr>
                <w:sz w:val="20"/>
                <w:szCs w:val="20"/>
                <w:color w:val="auto"/>
              </w:rPr>
            </w:pPr>
            <w:r>
              <w:rPr>
                <w:rFonts w:ascii="Arial" w:cs="Arial" w:eastAsia="Arial" w:hAnsi="Arial"/>
                <w:sz w:val="18"/>
                <w:szCs w:val="18"/>
                <w:color w:val="auto"/>
              </w:rPr>
              <w:t>(0.09)</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b w:val="1"/>
                <w:bCs w:val="1"/>
                <w:color w:val="auto"/>
              </w:rPr>
              <w:t>(0.04)</w:t>
            </w:r>
          </w:p>
        </w:tc>
        <w:tc>
          <w:tcPr>
            <w:tcW w:w="144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(0.36)</w:t>
            </w:r>
          </w:p>
        </w:tc>
        <w:tc>
          <w:tcPr>
            <w:tcW w:w="1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(0.26)</w:t>
            </w:r>
          </w:p>
        </w:tc>
        <w:tc>
          <w:tcPr>
            <w:tcW w:w="0" w:type="dxa"/>
            <w:vAlign w:val="bottom"/>
          </w:tcPr>
          <w:p>
            <w:pPr>
              <w:spacing w:after="0"/>
              <w:rPr>
                <w:sz w:val="1"/>
                <w:szCs w:val="1"/>
                <w:color w:val="auto"/>
              </w:rPr>
            </w:pPr>
          </w:p>
        </w:tc>
      </w:tr>
      <w:tr>
        <w:trPr>
          <w:trHeight w:val="216"/>
        </w:trPr>
        <w:tc>
          <w:tcPr>
            <w:tcW w:w="55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Share-based compensation expenses were included in:</w:t>
            </w:r>
          </w:p>
        </w:tc>
        <w:tc>
          <w:tcPr>
            <w:tcW w:w="1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   Research and development expenses</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4,093</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4,032</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14,542</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14,692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   Sales and marketing expenses</w:t>
            </w:r>
          </w:p>
        </w:tc>
        <w:tc>
          <w:tcPr>
            <w:tcW w:w="1500" w:type="dxa"/>
            <w:vAlign w:val="bottom"/>
            <w:gridSpan w:val="2"/>
            <w:shd w:val="clear" w:color="auto" w:fill="CCEEFF"/>
          </w:tcPr>
          <w:p>
            <w:pPr>
              <w:jc w:val="right"/>
              <w:ind w:right="161"/>
              <w:spacing w:after="0"/>
              <w:rPr>
                <w:sz w:val="20"/>
                <w:szCs w:val="20"/>
                <w:color w:val="auto"/>
              </w:rPr>
            </w:pPr>
            <w:r>
              <w:rPr>
                <w:rFonts w:ascii="Arial" w:cs="Arial" w:eastAsia="Arial" w:hAnsi="Arial"/>
                <w:sz w:val="18"/>
                <w:szCs w:val="18"/>
                <w:color w:val="auto"/>
              </w:rPr>
              <w:t>1,634</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b w:val="1"/>
                <w:bCs w:val="1"/>
                <w:color w:val="auto"/>
              </w:rPr>
              <w:t>1,611</w:t>
            </w:r>
          </w:p>
        </w:tc>
        <w:tc>
          <w:tcPr>
            <w:tcW w:w="144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6,702</w:t>
            </w:r>
          </w:p>
        </w:tc>
        <w:tc>
          <w:tcPr>
            <w:tcW w:w="13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b w:val="1"/>
                <w:bCs w:val="1"/>
                <w:color w:val="auto"/>
              </w:rPr>
              <w:t>6,825</w:t>
            </w:r>
          </w:p>
        </w:tc>
        <w:tc>
          <w:tcPr>
            <w:tcW w:w="0" w:type="dxa"/>
            <w:vAlign w:val="bottom"/>
          </w:tcPr>
          <w:p>
            <w:pPr>
              <w:spacing w:after="0"/>
              <w:rPr>
                <w:sz w:val="1"/>
                <w:szCs w:val="1"/>
                <w:color w:val="auto"/>
              </w:rPr>
            </w:pPr>
          </w:p>
        </w:tc>
      </w:tr>
      <w:tr>
        <w:trPr>
          <w:trHeight w:val="234"/>
        </w:trPr>
        <w:tc>
          <w:tcPr>
            <w:tcW w:w="5520" w:type="dxa"/>
            <w:vAlign w:val="bottom"/>
          </w:tcPr>
          <w:p>
            <w:pPr>
              <w:spacing w:after="0"/>
              <w:rPr>
                <w:sz w:val="20"/>
                <w:szCs w:val="20"/>
                <w:color w:val="auto"/>
              </w:rPr>
            </w:pPr>
            <w:r>
              <w:rPr>
                <w:rFonts w:ascii="Arial" w:cs="Arial" w:eastAsia="Arial" w:hAnsi="Arial"/>
                <w:sz w:val="18"/>
                <w:szCs w:val="18"/>
                <w:color w:val="auto"/>
              </w:rPr>
              <w:t>   General and administrative expenses</w:t>
            </w:r>
          </w:p>
        </w:tc>
        <w:tc>
          <w:tcPr>
            <w:tcW w:w="1500" w:type="dxa"/>
            <w:vAlign w:val="bottom"/>
            <w:gridSpan w:val="2"/>
          </w:tcPr>
          <w:p>
            <w:pPr>
              <w:jc w:val="right"/>
              <w:ind w:right="161"/>
              <w:spacing w:after="0"/>
              <w:rPr>
                <w:sz w:val="20"/>
                <w:szCs w:val="20"/>
                <w:color w:val="auto"/>
              </w:rPr>
            </w:pPr>
            <w:r>
              <w:rPr>
                <w:rFonts w:ascii="Arial" w:cs="Arial" w:eastAsia="Arial" w:hAnsi="Arial"/>
                <w:sz w:val="18"/>
                <w:szCs w:val="18"/>
                <w:color w:val="auto"/>
              </w:rPr>
              <w:t>11,900</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b w:val="1"/>
                <w:bCs w:val="1"/>
                <w:color w:val="auto"/>
              </w:rPr>
              <w:t>11,867</w:t>
            </w:r>
          </w:p>
        </w:tc>
        <w:tc>
          <w:tcPr>
            <w:tcW w:w="1440" w:type="dxa"/>
            <w:vAlign w:val="bottom"/>
            <w:gridSpan w:val="2"/>
          </w:tcPr>
          <w:p>
            <w:pPr>
              <w:jc w:val="right"/>
              <w:ind w:right="141"/>
              <w:spacing w:after="0"/>
              <w:rPr>
                <w:sz w:val="20"/>
                <w:szCs w:val="20"/>
                <w:color w:val="auto"/>
              </w:rPr>
            </w:pPr>
            <w:r>
              <w:rPr>
                <w:rFonts w:ascii="Arial" w:cs="Arial" w:eastAsia="Arial" w:hAnsi="Arial"/>
                <w:sz w:val="18"/>
                <w:szCs w:val="18"/>
                <w:color w:val="auto"/>
              </w:rPr>
              <w:t>44,845</w:t>
            </w:r>
          </w:p>
        </w:tc>
        <w:tc>
          <w:tcPr>
            <w:tcW w:w="1340" w:type="dxa"/>
            <w:vAlign w:val="bottom"/>
            <w:gridSpan w:val="2"/>
          </w:tcPr>
          <w:p>
            <w:pPr>
              <w:jc w:val="right"/>
              <w:ind w:right="21"/>
              <w:spacing w:after="0"/>
              <w:rPr>
                <w:sz w:val="20"/>
                <w:szCs w:val="20"/>
                <w:color w:val="auto"/>
              </w:rPr>
            </w:pPr>
            <w:r>
              <w:rPr>
                <w:rFonts w:ascii="Arial" w:cs="Arial" w:eastAsia="Arial" w:hAnsi="Arial"/>
                <w:sz w:val="18"/>
                <w:szCs w:val="18"/>
                <w:b w:val="1"/>
                <w:bCs w:val="1"/>
                <w:color w:val="auto"/>
              </w:rPr>
              <w:t>47,502</w:t>
            </w:r>
          </w:p>
        </w:tc>
        <w:tc>
          <w:tcPr>
            <w:tcW w:w="0" w:type="dxa"/>
            <w:vAlign w:val="bottom"/>
          </w:tcPr>
          <w:p>
            <w:pPr>
              <w:spacing w:after="0"/>
              <w:rPr>
                <w:sz w:val="1"/>
                <w:szCs w:val="1"/>
                <w:color w:val="auto"/>
              </w:rPr>
            </w:pPr>
          </w:p>
        </w:tc>
      </w:tr>
      <w:tr>
        <w:trPr>
          <w:trHeight w:val="630"/>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89"/>
              </w:rPr>
              <w:t>15</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TUYA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thousands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for share and per share data, unless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520" w:type="dxa"/>
            <w:vAlign w:val="bottom"/>
          </w:tcPr>
          <w:p>
            <w:pPr>
              <w:spacing w:after="0"/>
              <w:rPr>
                <w:sz w:val="20"/>
                <w:szCs w:val="20"/>
                <w:color w:val="auto"/>
              </w:rPr>
            </w:pPr>
          </w:p>
        </w:tc>
        <w:tc>
          <w:tcPr>
            <w:tcW w:w="2940" w:type="dxa"/>
            <w:vAlign w:val="bottom"/>
            <w:gridSpan w:val="4"/>
          </w:tcPr>
          <w:p>
            <w:pPr>
              <w:jc w:val="right"/>
              <w:ind w:right="460"/>
              <w:spacing w:after="0"/>
              <w:rPr>
                <w:sz w:val="20"/>
                <w:szCs w:val="20"/>
                <w:color w:val="auto"/>
              </w:rPr>
            </w:pPr>
            <w:r>
              <w:rPr>
                <w:rFonts w:ascii="Arial" w:cs="Arial" w:eastAsia="Arial" w:hAnsi="Arial"/>
                <w:sz w:val="18"/>
                <w:szCs w:val="18"/>
                <w:b w:val="1"/>
                <w:bCs w:val="1"/>
                <w:color w:val="auto"/>
              </w:rPr>
              <w:t>For the Three Months Ended</w:t>
            </w:r>
          </w:p>
        </w:tc>
        <w:tc>
          <w:tcPr>
            <w:tcW w:w="2780" w:type="dxa"/>
            <w:vAlign w:val="bottom"/>
            <w:gridSpan w:val="4"/>
          </w:tcPr>
          <w:p>
            <w:pPr>
              <w:jc w:val="right"/>
              <w:ind w:right="680"/>
              <w:spacing w:after="0"/>
              <w:rPr>
                <w:sz w:val="20"/>
                <w:szCs w:val="20"/>
                <w:color w:val="auto"/>
              </w:rPr>
            </w:pPr>
            <w:r>
              <w:rPr>
                <w:rFonts w:ascii="Arial" w:cs="Arial" w:eastAsia="Arial" w:hAnsi="Arial"/>
                <w:sz w:val="18"/>
                <w:szCs w:val="18"/>
                <w:b w:val="1"/>
                <w:bCs w:val="1"/>
                <w:color w:val="auto"/>
              </w:rPr>
              <w:t>For the Year Ended</w:t>
            </w:r>
          </w:p>
        </w:tc>
        <w:tc>
          <w:tcPr>
            <w:tcW w:w="0" w:type="dxa"/>
            <w:vAlign w:val="bottom"/>
          </w:tcPr>
          <w:p>
            <w:pPr>
              <w:spacing w:after="0"/>
              <w:rPr>
                <w:sz w:val="1"/>
                <w:szCs w:val="1"/>
                <w:color w:val="auto"/>
              </w:rPr>
            </w:pPr>
          </w:p>
        </w:tc>
      </w:tr>
      <w:tr>
        <w:trPr>
          <w:trHeight w:val="191"/>
        </w:trPr>
        <w:tc>
          <w:tcPr>
            <w:tcW w:w="552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380"/>
              <w:spacing w:after="0" w:line="191" w:lineRule="exact"/>
              <w:rPr>
                <w:sz w:val="20"/>
                <w:szCs w:val="20"/>
                <w:color w:val="auto"/>
              </w:rPr>
            </w:pPr>
            <w:r>
              <w:rPr>
                <w:rFonts w:ascii="Arial" w:cs="Arial" w:eastAsia="Arial" w:hAnsi="Arial"/>
                <w:sz w:val="18"/>
                <w:szCs w:val="18"/>
                <w:color w:val="auto"/>
                <w:w w:val="97"/>
              </w:rPr>
              <w:t>December 31,</w:t>
            </w: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5"/>
              </w:rPr>
              <w:t>December 31,</w:t>
            </w:r>
          </w:p>
        </w:tc>
        <w:tc>
          <w:tcPr>
            <w:tcW w:w="220" w:type="dxa"/>
            <w:vAlign w:val="bottom"/>
          </w:tcPr>
          <w:p>
            <w:pPr>
              <w:spacing w:after="0"/>
              <w:rPr>
                <w:sz w:val="16"/>
                <w:szCs w:val="16"/>
                <w:color w:val="auto"/>
              </w:rPr>
            </w:pPr>
          </w:p>
        </w:tc>
        <w:tc>
          <w:tcPr>
            <w:tcW w:w="1440" w:type="dxa"/>
            <w:vAlign w:val="bottom"/>
            <w:tcBorders>
              <w:top w:val="single" w:sz="8" w:color="auto"/>
            </w:tcBorders>
            <w:gridSpan w:val="2"/>
          </w:tcPr>
          <w:p>
            <w:pPr>
              <w:jc w:val="right"/>
              <w:ind w:right="340"/>
              <w:spacing w:after="0" w:line="191" w:lineRule="exact"/>
              <w:rPr>
                <w:sz w:val="20"/>
                <w:szCs w:val="20"/>
                <w:color w:val="auto"/>
              </w:rPr>
            </w:pPr>
            <w:r>
              <w:rPr>
                <w:rFonts w:ascii="Arial" w:cs="Arial" w:eastAsia="Arial" w:hAnsi="Arial"/>
                <w:sz w:val="18"/>
                <w:szCs w:val="18"/>
                <w:color w:val="auto"/>
                <w:w w:val="95"/>
              </w:rPr>
              <w:t>December 31,</w:t>
            </w:r>
          </w:p>
        </w:tc>
        <w:tc>
          <w:tcPr>
            <w:tcW w:w="124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5"/>
              </w:rPr>
              <w:t>December 31,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5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2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(53,194)</w:t>
            </w:r>
          </w:p>
        </w:tc>
        <w:tc>
          <w:tcPr>
            <w:tcW w:w="2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w:t>
            </w: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(126,103)</w:t>
            </w: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(70,654)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Net cash generated from/(used in) investing activities</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23,627</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(165,305)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color w:val="auto"/>
              </w:rPr>
              <w:t>(112,957)</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(714,225)</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in)/generated from financing activities</w:t>
            </w:r>
          </w:p>
        </w:tc>
        <w:tc>
          <w:tcPr>
            <w:tcW w:w="1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(43,841)</w:t>
            </w:r>
          </w:p>
        </w:tc>
        <w:tc>
          <w:tcPr>
            <w:tcW w:w="1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(3,432)</w:t>
            </w: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1,041,802</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(38,582)</w:t>
            </w:r>
          </w:p>
        </w:tc>
        <w:tc>
          <w:tcPr>
            <w:tcW w:w="0" w:type="dxa"/>
            <w:vAlign w:val="bottom"/>
          </w:tcPr>
          <w:p>
            <w:pPr>
              <w:spacing w:after="0"/>
              <w:rPr>
                <w:sz w:val="1"/>
                <w:szCs w:val="1"/>
                <w:color w:val="auto"/>
              </w:rPr>
            </w:pPr>
          </w:p>
        </w:tc>
      </w:tr>
      <w:tr>
        <w:trPr>
          <w:trHeight w:val="202"/>
        </w:trPr>
        <w:tc>
          <w:tcPr>
            <w:tcW w:w="5520" w:type="dxa"/>
            <w:vAlign w:val="bottom"/>
          </w:tcPr>
          <w:p>
            <w:pPr>
              <w:spacing w:after="0" w:line="201" w:lineRule="exact"/>
              <w:rPr>
                <w:sz w:val="20"/>
                <w:szCs w:val="20"/>
                <w:color w:val="auto"/>
              </w:rPr>
            </w:pPr>
            <w:r>
              <w:rPr>
                <w:rFonts w:ascii="Arial" w:cs="Arial" w:eastAsia="Arial" w:hAnsi="Arial"/>
                <w:sz w:val="18"/>
                <w:szCs w:val="18"/>
                <w:color w:val="auto"/>
                <w:w w:val="94"/>
              </w:rPr>
              <w:t>Effect of exchange rate changes on cash and cash equivalents, restricted</w:t>
            </w:r>
          </w:p>
        </w:tc>
        <w:tc>
          <w:tcPr>
            <w:tcW w:w="1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vMerge w:val="restart"/>
          </w:tcPr>
          <w:p>
            <w:pPr>
              <w:jc w:val="right"/>
              <w:ind w:right="40"/>
              <w:spacing w:after="0"/>
              <w:rPr>
                <w:sz w:val="20"/>
                <w:szCs w:val="20"/>
                <w:color w:val="auto"/>
              </w:rPr>
            </w:pPr>
            <w:r>
              <w:rPr>
                <w:rFonts w:ascii="Arial" w:cs="Arial" w:eastAsia="Arial" w:hAnsi="Arial"/>
                <w:sz w:val="18"/>
                <w:szCs w:val="18"/>
                <w:b w:val="1"/>
                <w:bCs w:val="1"/>
                <w:color w:val="auto"/>
              </w:rPr>
              <w:t>(7,954)</w:t>
            </w:r>
          </w:p>
        </w:tc>
        <w:tc>
          <w:tcPr>
            <w:tcW w:w="0" w:type="dxa"/>
            <w:vAlign w:val="bottom"/>
          </w:tcPr>
          <w:p>
            <w:pPr>
              <w:spacing w:after="0"/>
              <w:rPr>
                <w:sz w:val="1"/>
                <w:szCs w:val="1"/>
                <w:color w:val="auto"/>
              </w:rPr>
            </w:pPr>
          </w:p>
        </w:tc>
      </w:tr>
      <w:tr>
        <w:trPr>
          <w:trHeight w:val="244"/>
        </w:trPr>
        <w:tc>
          <w:tcPr>
            <w:tcW w:w="5520" w:type="dxa"/>
            <w:vAlign w:val="bottom"/>
          </w:tcPr>
          <w:p>
            <w:pPr>
              <w:ind w:left="180"/>
              <w:spacing w:after="0"/>
              <w:rPr>
                <w:sz w:val="20"/>
                <w:szCs w:val="20"/>
                <w:color w:val="auto"/>
              </w:rPr>
            </w:pPr>
            <w:r>
              <w:rPr>
                <w:rFonts w:ascii="Arial" w:cs="Arial" w:eastAsia="Arial" w:hAnsi="Arial"/>
                <w:sz w:val="18"/>
                <w:szCs w:val="18"/>
                <w:color w:val="auto"/>
              </w:rPr>
              <w:t>cash</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2,433</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2,138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2,879</w:t>
            </w:r>
          </w:p>
        </w:tc>
        <w:tc>
          <w:tcPr>
            <w:tcW w:w="1340" w:type="dxa"/>
            <w:vAlign w:val="bottom"/>
            <w:gridSpan w:val="2"/>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520" w:type="dxa"/>
            <w:vAlign w:val="bottom"/>
          </w:tcPr>
          <w:p>
            <w:pPr>
              <w:spacing w:after="0"/>
              <w:rPr>
                <w:sz w:val="20"/>
                <w:szCs w:val="20"/>
                <w:color w:val="auto"/>
              </w:rPr>
            </w:pPr>
            <w:r>
              <w:rPr>
                <w:rFonts w:ascii="Arial" w:cs="Arial" w:eastAsia="Arial" w:hAnsi="Arial"/>
                <w:sz w:val="18"/>
                <w:szCs w:val="18"/>
                <w:b w:val="1"/>
                <w:bCs w:val="1"/>
                <w:color w:val="auto"/>
                <w:w w:val="92"/>
              </w:rPr>
              <w:t>Net (decrease)/increase in cash and cash equivalents, restricted cash</w:t>
            </w: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(70,975)</w:t>
            </w:r>
          </w:p>
        </w:tc>
        <w:tc>
          <w:tcPr>
            <w:tcW w:w="14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(166,737)</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805,621</w:t>
            </w:r>
          </w:p>
        </w:tc>
        <w:tc>
          <w:tcPr>
            <w:tcW w:w="13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(831,415)</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tcPr>
          <w:p>
            <w:pPr>
              <w:spacing w:after="0"/>
              <w:rPr>
                <w:sz w:val="20"/>
                <w:szCs w:val="20"/>
                <w:color w:val="auto"/>
              </w:rPr>
            </w:pPr>
            <w:r>
              <w:rPr>
                <w:rFonts w:ascii="Arial" w:cs="Arial" w:eastAsia="Arial" w:hAnsi="Arial"/>
                <w:sz w:val="18"/>
                <w:szCs w:val="18"/>
                <w:color w:val="auto"/>
                <w:w w:val="99"/>
              </w:rPr>
              <w:t>Cash and cash equivalents, restricted cash at the beginning of period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1,035,551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299,898</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158,955</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964,576</w:t>
            </w:r>
          </w:p>
        </w:tc>
        <w:tc>
          <w:tcPr>
            <w:tcW w:w="0" w:type="dxa"/>
            <w:vAlign w:val="bottom"/>
          </w:tcPr>
          <w:p>
            <w:pPr>
              <w:spacing w:after="0"/>
              <w:rPr>
                <w:sz w:val="1"/>
                <w:szCs w:val="1"/>
                <w:color w:val="auto"/>
              </w:rPr>
            </w:pPr>
          </w:p>
        </w:tc>
      </w:tr>
      <w:tr>
        <w:trPr>
          <w:trHeight w:val="209"/>
        </w:trPr>
        <w:tc>
          <w:tcPr>
            <w:tcW w:w="55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b w:val="1"/>
                <w:bCs w:val="1"/>
                <w:color w:val="auto"/>
              </w:rPr>
              <w:t>Cash and cash equivalents, restricted cash at the end of period</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964,576</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133,161</w:t>
            </w: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964,576</w:t>
            </w:r>
          </w:p>
        </w:tc>
        <w:tc>
          <w:tcPr>
            <w:tcW w:w="13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133,161</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5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970"/>
              <w:spacing w:after="0"/>
              <w:rPr>
                <w:sz w:val="20"/>
                <w:szCs w:val="20"/>
                <w:color w:val="auto"/>
              </w:rPr>
            </w:pPr>
            <w:r>
              <w:rPr>
                <w:rFonts w:ascii="Arial" w:cs="Arial" w:eastAsia="Arial" w:hAnsi="Arial"/>
                <w:sz w:val="18"/>
                <w:szCs w:val="18"/>
                <w:color w:val="auto"/>
                <w:w w:val="89"/>
              </w:rPr>
              <w:t>16</w:t>
            </w:r>
          </w:p>
        </w:tc>
        <w:tc>
          <w:tcPr>
            <w:tcW w:w="24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4" w:right="3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TUYA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RECONCILIATION OF NON-GAAP MEASURES TO THE MOST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DIRECTLY COMPARABLE FINANCIAL MEASURES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(All amounts in US$ thousands (“US$”),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except for share and per share data, unless otherwise noted)</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3100" w:type="dxa"/>
            <w:vAlign w:val="bottom"/>
            <w:gridSpan w:val="4"/>
          </w:tcPr>
          <w:p>
            <w:pPr>
              <w:jc w:val="right"/>
              <w:ind w:right="600"/>
              <w:spacing w:after="0"/>
              <w:rPr>
                <w:sz w:val="20"/>
                <w:szCs w:val="20"/>
                <w:color w:val="auto"/>
              </w:rPr>
            </w:pPr>
            <w:r>
              <w:rPr>
                <w:rFonts w:ascii="Arial" w:cs="Arial" w:eastAsia="Arial" w:hAnsi="Arial"/>
                <w:sz w:val="18"/>
                <w:szCs w:val="18"/>
                <w:b w:val="1"/>
                <w:bCs w:val="1"/>
                <w:color w:val="auto"/>
              </w:rPr>
              <w:t>For the Three Months Ended</w:t>
            </w:r>
          </w:p>
        </w:tc>
        <w:tc>
          <w:tcPr>
            <w:tcW w:w="3000" w:type="dxa"/>
            <w:vAlign w:val="bottom"/>
            <w:gridSpan w:val="4"/>
          </w:tcPr>
          <w:p>
            <w:pPr>
              <w:jc w:val="right"/>
              <w:ind w:right="860"/>
              <w:spacing w:after="0"/>
              <w:rPr>
                <w:sz w:val="20"/>
                <w:szCs w:val="20"/>
                <w:color w:val="auto"/>
              </w:rPr>
            </w:pPr>
            <w:r>
              <w:rPr>
                <w:rFonts w:ascii="Arial" w:cs="Arial" w:eastAsia="Arial" w:hAnsi="Arial"/>
                <w:sz w:val="18"/>
                <w:szCs w:val="18"/>
                <w:b w:val="1"/>
                <w:bCs w:val="1"/>
                <w:color w:val="auto"/>
              </w:rPr>
              <w:t>For the Year Ended</w:t>
            </w:r>
          </w:p>
        </w:tc>
      </w:tr>
      <w:tr>
        <w:trPr>
          <w:trHeight w:val="191"/>
        </w:trPr>
        <w:tc>
          <w:tcPr>
            <w:tcW w:w="5140" w:type="dxa"/>
            <w:vAlign w:val="bottom"/>
          </w:tcPr>
          <w:p>
            <w:pPr>
              <w:spacing w:after="0"/>
              <w:rPr>
                <w:sz w:val="16"/>
                <w:szCs w:val="16"/>
                <w:color w:val="auto"/>
              </w:rPr>
            </w:pPr>
          </w:p>
        </w:tc>
        <w:tc>
          <w:tcPr>
            <w:tcW w:w="154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color w:val="auto"/>
                <w:w w:val="93"/>
              </w:rPr>
              <w:t>December 31,</w:t>
            </w:r>
          </w:p>
        </w:tc>
        <w:tc>
          <w:tcPr>
            <w:tcW w:w="1220" w:type="dxa"/>
            <w:vAlign w:val="bottom"/>
            <w:tcBorders>
              <w:top w:val="single" w:sz="8" w:color="auto"/>
            </w:tcBorders>
          </w:tcPr>
          <w:p>
            <w:pPr>
              <w:jc w:val="right"/>
              <w:ind w:right="10"/>
              <w:spacing w:after="0" w:line="191" w:lineRule="exact"/>
              <w:rPr>
                <w:sz w:val="20"/>
                <w:szCs w:val="20"/>
                <w:color w:val="auto"/>
              </w:rPr>
            </w:pPr>
            <w:r>
              <w:rPr>
                <w:rFonts w:ascii="Arial" w:cs="Arial" w:eastAsia="Arial" w:hAnsi="Arial"/>
                <w:sz w:val="18"/>
                <w:szCs w:val="18"/>
                <w:b w:val="1"/>
                <w:bCs w:val="1"/>
                <w:color w:val="auto"/>
                <w:w w:val="93"/>
              </w:rPr>
              <w:t>December 31,</w:t>
            </w:r>
          </w:p>
        </w:tc>
        <w:tc>
          <w:tcPr>
            <w:tcW w:w="340" w:type="dxa"/>
            <w:vAlign w:val="bottom"/>
          </w:tcPr>
          <w:p>
            <w:pPr>
              <w:spacing w:after="0"/>
              <w:rPr>
                <w:sz w:val="16"/>
                <w:szCs w:val="16"/>
                <w:color w:val="auto"/>
              </w:rPr>
            </w:pPr>
          </w:p>
        </w:tc>
        <w:tc>
          <w:tcPr>
            <w:tcW w:w="1540" w:type="dxa"/>
            <w:vAlign w:val="bottom"/>
            <w:tcBorders>
              <w:top w:val="single" w:sz="8" w:color="auto"/>
            </w:tcBorders>
            <w:gridSpan w:val="2"/>
          </w:tcPr>
          <w:p>
            <w:pPr>
              <w:jc w:val="right"/>
              <w:ind w:right="440"/>
              <w:spacing w:after="0" w:line="191" w:lineRule="exact"/>
              <w:rPr>
                <w:sz w:val="20"/>
                <w:szCs w:val="20"/>
                <w:color w:val="auto"/>
              </w:rPr>
            </w:pPr>
            <w:r>
              <w:rPr>
                <w:rFonts w:ascii="Arial" w:cs="Arial" w:eastAsia="Arial" w:hAnsi="Arial"/>
                <w:sz w:val="18"/>
                <w:szCs w:val="18"/>
                <w:color w:val="auto"/>
                <w:w w:val="95"/>
              </w:rPr>
              <w:t>December 31,</w:t>
            </w: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5"/>
              </w:rPr>
              <w:t>December 31,</w:t>
            </w:r>
          </w:p>
        </w:tc>
        <w:tc>
          <w:tcPr>
            <w:tcW w:w="240" w:type="dxa"/>
            <w:vAlign w:val="bottom"/>
          </w:tcPr>
          <w:p>
            <w:pPr>
              <w:spacing w:after="0"/>
              <w:rPr>
                <w:sz w:val="16"/>
                <w:szCs w:val="16"/>
                <w:color w:val="auto"/>
              </w:rPr>
            </w:pPr>
          </w:p>
        </w:tc>
      </w:tr>
      <w:tr>
        <w:trPr>
          <w:trHeight w:val="234"/>
        </w:trPr>
        <w:tc>
          <w:tcPr>
            <w:tcW w:w="51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34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CEEFF"/>
            </w:tcBorders>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bottom w:val="single" w:sz="8" w:color="CCEEFF"/>
            </w:tcBorders>
          </w:tcPr>
          <w:p>
            <w:pPr>
              <w:spacing w:after="0"/>
              <w:rPr>
                <w:sz w:val="20"/>
                <w:szCs w:val="20"/>
                <w:color w:val="auto"/>
              </w:rPr>
            </w:pPr>
          </w:p>
        </w:tc>
      </w:tr>
      <w:tr>
        <w:trPr>
          <w:trHeight w:val="178"/>
        </w:trPr>
        <w:tc>
          <w:tcPr>
            <w:tcW w:w="514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w w:val="97"/>
              </w:rPr>
              <w:t>Reconciliation of operating expenses to non-GAAP operating</w:t>
            </w: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r>
      <w:tr>
        <w:trPr>
          <w:trHeight w:val="234"/>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expenses</w:t>
            </w: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(46,187)</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(27,792)</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(174,289)</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(144,942)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4,093</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4,032</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14,542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14,692</w:t>
            </w:r>
          </w:p>
        </w:tc>
      </w:tr>
      <w:tr>
        <w:trPr>
          <w:trHeight w:val="229"/>
        </w:trPr>
        <w:tc>
          <w:tcPr>
            <w:tcW w:w="5140" w:type="dxa"/>
            <w:vAlign w:val="bottom"/>
          </w:tcPr>
          <w:p>
            <w:pPr>
              <w:spacing w:after="0"/>
              <w:rPr>
                <w:sz w:val="20"/>
                <w:szCs w:val="20"/>
                <w:color w:val="auto"/>
              </w:rPr>
            </w:pPr>
            <w:r>
              <w:rPr>
                <w:rFonts w:ascii="Arial" w:cs="Arial" w:eastAsia="Arial" w:hAnsi="Arial"/>
                <w:sz w:val="18"/>
                <w:szCs w:val="18"/>
                <w:b w:val="1"/>
                <w:bCs w:val="1"/>
                <w:color w:val="auto"/>
              </w:rPr>
              <w:t>Adjusted Research and development expenses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(42,094)</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(23,760)</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(159,747)</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(130,250)</w:t>
            </w:r>
          </w:p>
        </w:tc>
      </w:tr>
      <w:tr>
        <w:trPr>
          <w:trHeight w:val="210"/>
        </w:trPr>
        <w:tc>
          <w:tcPr>
            <w:tcW w:w="5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Sales and marketing expenses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(18,433)</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(11,203)</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(75,384)</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(55,662)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1,634</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1,611</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6,702</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6,825</w:t>
            </w:r>
          </w:p>
        </w:tc>
      </w:tr>
      <w:tr>
        <w:trPr>
          <w:trHeight w:val="229"/>
        </w:trPr>
        <w:tc>
          <w:tcPr>
            <w:tcW w:w="5140" w:type="dxa"/>
            <w:vAlign w:val="bottom"/>
          </w:tcPr>
          <w:p>
            <w:pPr>
              <w:spacing w:after="0"/>
              <w:rPr>
                <w:sz w:val="20"/>
                <w:szCs w:val="20"/>
                <w:color w:val="auto"/>
              </w:rPr>
            </w:pPr>
            <w:r>
              <w:rPr>
                <w:rFonts w:ascii="Arial" w:cs="Arial" w:eastAsia="Arial" w:hAnsi="Arial"/>
                <w:sz w:val="18"/>
                <w:szCs w:val="18"/>
                <w:b w:val="1"/>
                <w:bCs w:val="1"/>
                <w:color w:val="auto"/>
              </w:rPr>
              <w:t>Adjusted Sales and marketing expenses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(16,799)</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(9,592)</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(68,682)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(48,837)</w:t>
            </w:r>
          </w:p>
        </w:tc>
      </w:tr>
      <w:tr>
        <w:trPr>
          <w:trHeight w:val="210"/>
        </w:trPr>
        <w:tc>
          <w:tcPr>
            <w:tcW w:w="5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General and administrative expenses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(21,011)</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(16,181)</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(71,589)</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(67,513)</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11,900</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11,867</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44,845</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47,502</w:t>
            </w:r>
          </w:p>
        </w:tc>
      </w:t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Adjusted General and administrative expenses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(9,111)</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(4,314)</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(26,744)</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(20,011)</w:t>
            </w:r>
          </w:p>
        </w:tc>
      </w:tr>
      <w:tr>
        <w:trPr>
          <w:trHeight w:val="209"/>
        </w:trPr>
        <w:tc>
          <w:tcPr>
            <w:tcW w:w="5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198"/>
        </w:trPr>
        <w:tc>
          <w:tcPr>
            <w:tcW w:w="5140" w:type="dxa"/>
            <w:vAlign w:val="bottom"/>
          </w:tcPr>
          <w:p>
            <w:pPr>
              <w:spacing w:after="0" w:line="198" w:lineRule="exact"/>
              <w:rPr>
                <w:sz w:val="20"/>
                <w:szCs w:val="20"/>
                <w:color w:val="auto"/>
              </w:rPr>
            </w:pPr>
            <w:r>
              <w:rPr>
                <w:rFonts w:ascii="Arial" w:cs="Arial" w:eastAsia="Arial" w:hAnsi="Arial"/>
                <w:sz w:val="18"/>
                <w:szCs w:val="18"/>
                <w:b w:val="1"/>
                <w:bCs w:val="1"/>
                <w:color w:val="auto"/>
                <w:w w:val="96"/>
              </w:rPr>
              <w:t>Reconciliation of loss from operations to non-GAAP loss from</w:t>
            </w: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234"/>
        </w:trPr>
        <w:tc>
          <w:tcPr>
            <w:tcW w:w="5140" w:type="dxa"/>
            <w:vAlign w:val="bottom"/>
          </w:tcPr>
          <w:p>
            <w:pPr>
              <w:ind w:left="180"/>
              <w:spacing w:after="0"/>
              <w:rPr>
                <w:sz w:val="20"/>
                <w:szCs w:val="20"/>
                <w:color w:val="auto"/>
              </w:rPr>
            </w:pPr>
            <w:r>
              <w:rPr>
                <w:rFonts w:ascii="Arial" w:cs="Arial" w:eastAsia="Arial" w:hAnsi="Arial"/>
                <w:sz w:val="18"/>
                <w:szCs w:val="18"/>
                <w:b w:val="1"/>
                <w:bCs w:val="1"/>
                <w:color w:val="auto"/>
              </w:rPr>
              <w:t>operations</w:t>
            </w: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(51,556)</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(32,830)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(183,560)</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(168,186)</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Operating margin</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(68.8)%</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(72.5)%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(60.8)%</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(80.8)%</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17,627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17,510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66,089</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69,019</w:t>
            </w:r>
          </w:p>
        </w:tc>
      </w:tr>
      <w:tr>
        <w:trPr>
          <w:trHeight w:val="229"/>
        </w:trPr>
        <w:tc>
          <w:tcPr>
            <w:tcW w:w="5140" w:type="dxa"/>
            <w:vAlign w:val="bottom"/>
          </w:tcPr>
          <w:p>
            <w:pPr>
              <w:spacing w:after="0"/>
              <w:rPr>
                <w:sz w:val="20"/>
                <w:szCs w:val="20"/>
                <w:color w:val="auto"/>
              </w:rPr>
            </w:pPr>
            <w:r>
              <w:rPr>
                <w:rFonts w:ascii="Arial" w:cs="Arial" w:eastAsia="Arial" w:hAnsi="Arial"/>
                <w:sz w:val="18"/>
                <w:szCs w:val="18"/>
                <w:b w:val="1"/>
                <w:bCs w:val="1"/>
                <w:color w:val="auto"/>
              </w:rPr>
              <w:t>Non-GAAP Loss from operations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(33,929)</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(15,320)</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(117,471)</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(99,167)</w:t>
            </w:r>
          </w:p>
        </w:tc>
      </w:tr>
      <w:tr>
        <w:trPr>
          <w:trHeight w:val="210"/>
        </w:trPr>
        <w:tc>
          <w:tcPr>
            <w:tcW w:w="5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Non-GAAP Operating margin</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(45.3)%</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(33.8)%</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(38.9)%</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(47.6)%</w:t>
            </w:r>
          </w:p>
        </w:tc>
      </w:tr>
      <w:tr>
        <w:trPr>
          <w:trHeight w:val="210"/>
        </w:trPr>
        <w:tc>
          <w:tcPr>
            <w:tcW w:w="5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r>
        <w:trPr>
          <w:trHeight w:val="216"/>
        </w:trPr>
        <w:tc>
          <w:tcPr>
            <w:tcW w:w="5140" w:type="dxa"/>
            <w:vAlign w:val="bottom"/>
          </w:tcPr>
          <w:p>
            <w:pPr>
              <w:spacing w:after="0"/>
              <w:rPr>
                <w:sz w:val="20"/>
                <w:szCs w:val="20"/>
                <w:color w:val="auto"/>
              </w:rPr>
            </w:pPr>
            <w:r>
              <w:rPr>
                <w:rFonts w:ascii="Arial" w:cs="Arial" w:eastAsia="Arial" w:hAnsi="Arial"/>
                <w:sz w:val="18"/>
                <w:szCs w:val="18"/>
                <w:b w:val="1"/>
                <w:bCs w:val="1"/>
                <w:color w:val="auto"/>
              </w:rPr>
              <w:t>Reconciliation of net loss to non-GAAP net loss</w:t>
            </w: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(48,844)</w:t>
            </w:r>
          </w:p>
        </w:tc>
        <w:tc>
          <w:tcPr>
            <w:tcW w:w="15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(22,730)</w:t>
            </w:r>
          </w:p>
        </w:tc>
        <w:tc>
          <w:tcPr>
            <w:tcW w:w="15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(175,424)</w:t>
            </w:r>
          </w:p>
        </w:tc>
        <w:tc>
          <w:tcPr>
            <w:tcW w:w="14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(146,175)</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Net margin</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(65.2)%</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(50.2)%</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(58.1)%</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(70.2)%</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Add: Share-based compensation expenses</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17,627</w:t>
            </w:r>
          </w:p>
        </w:tc>
        <w:tc>
          <w:tcPr>
            <w:tcW w:w="15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17,510</w:t>
            </w:r>
          </w:p>
        </w:tc>
        <w:tc>
          <w:tcPr>
            <w:tcW w:w="15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66,089</w:t>
            </w: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69,019</w:t>
            </w:r>
          </w:p>
        </w:tc>
      </w:tr>
      <w:tr>
        <w:trPr>
          <w:trHeight w:val="230"/>
        </w:trPr>
        <w:tc>
          <w:tcPr>
            <w:tcW w:w="5140" w:type="dxa"/>
            <w:vAlign w:val="bottom"/>
          </w:tcPr>
          <w:p>
            <w:pPr>
              <w:spacing w:after="0"/>
              <w:rPr>
                <w:sz w:val="20"/>
                <w:szCs w:val="20"/>
                <w:color w:val="auto"/>
              </w:rPr>
            </w:pPr>
            <w:r>
              <w:rPr>
                <w:rFonts w:ascii="Arial" w:cs="Arial" w:eastAsia="Arial" w:hAnsi="Arial"/>
                <w:sz w:val="18"/>
                <w:szCs w:val="18"/>
                <w:b w:val="1"/>
                <w:bCs w:val="1"/>
                <w:color w:val="auto"/>
              </w:rPr>
              <w:t>Non-GAAP Net loss</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(31,217)</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(5,220)</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(109,335)</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(77,156)</w:t>
            </w:r>
          </w:p>
        </w:tc>
      </w:tr>
      <w:tr>
        <w:trPr>
          <w:trHeight w:val="210"/>
        </w:trPr>
        <w:tc>
          <w:tcPr>
            <w:tcW w:w="51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240"/>
          </w:cols>
          <w:pgMar w:left="320" w:top="904" w:right="339" w:bottom="1440" w:gutter="0" w:footer="0" w:header="0"/>
        </w:sectPr>
      </w:pPr>
    </w:p>
    <w:p>
      <w:pPr>
        <w:spacing w:after="0"/>
        <w:rPr>
          <w:sz w:val="20"/>
          <w:szCs w:val="20"/>
          <w:color w:val="auto"/>
        </w:rPr>
      </w:pPr>
      <w:r>
        <w:rPr>
          <w:rFonts w:ascii="Arial" w:cs="Arial" w:eastAsia="Arial" w:hAnsi="Arial"/>
          <w:sz w:val="18"/>
          <w:szCs w:val="18"/>
          <w:b w:val="1"/>
          <w:bCs w:val="1"/>
          <w:color w:val="auto"/>
        </w:rPr>
        <w:t>Non-GAAP Net margin</w:t>
      </w:r>
    </w:p>
    <w:p>
      <w:pPr>
        <w:spacing w:after="0" w:line="238" w:lineRule="exact"/>
        <w:rPr>
          <w:sz w:val="20"/>
          <w:szCs w:val="20"/>
          <w:color w:val="auto"/>
        </w:rPr>
      </w:pPr>
    </w:p>
    <w:p>
      <w:pPr>
        <w:ind w:left="180" w:hanging="161"/>
        <w:spacing w:after="0" w:line="277" w:lineRule="auto"/>
        <w:rPr>
          <w:sz w:val="20"/>
          <w:szCs w:val="20"/>
          <w:color w:val="auto"/>
        </w:rPr>
      </w:pPr>
      <w:r>
        <w:rPr>
          <w:rFonts w:ascii="Arial" w:cs="Arial" w:eastAsia="Arial" w:hAnsi="Arial"/>
          <w:sz w:val="18"/>
          <w:szCs w:val="18"/>
          <w:color w:val="auto"/>
        </w:rPr>
        <w:t>Weighted average number of ordinary shares used in computing non-GAAP net loss per share, basic and diluted</w:t>
      </w:r>
    </w:p>
    <w:p>
      <w:pPr>
        <w:spacing w:after="0" w:line="193" w:lineRule="exact"/>
        <w:rPr>
          <w:sz w:val="20"/>
          <w:szCs w:val="20"/>
          <w:color w:val="auto"/>
        </w:rPr>
      </w:pPr>
    </w:p>
    <w:p>
      <w:pPr>
        <w:ind w:left="180" w:right="820" w:hanging="161"/>
        <w:spacing w:after="0" w:line="282" w:lineRule="auto"/>
        <w:rPr>
          <w:sz w:val="20"/>
          <w:szCs w:val="20"/>
          <w:color w:val="auto"/>
        </w:rPr>
      </w:pPr>
      <w:r>
        <w:rPr>
          <w:rFonts w:ascii="Arial" w:cs="Arial" w:eastAsia="Arial" w:hAnsi="Arial"/>
          <w:sz w:val="18"/>
          <w:szCs w:val="18"/>
          <w:b w:val="1"/>
          <w:bCs w:val="1"/>
          <w:color w:val="auto"/>
        </w:rPr>
        <w:t>Non-GAAP net loss per share attributable to ordinary shareholders, basic and diluted</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9"/>
        </w:trPr>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(41.6)%</w:t>
            </w:r>
          </w:p>
        </w:tc>
        <w:tc>
          <w:tcPr>
            <w:tcW w:w="15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(11.5)%</w:t>
            </w:r>
          </w:p>
        </w:tc>
        <w:tc>
          <w:tcPr>
            <w:tcW w:w="1540" w:type="dxa"/>
            <w:vAlign w:val="bottom"/>
            <w:gridSpan w:val="2"/>
          </w:tcPr>
          <w:p>
            <w:pPr>
              <w:jc w:val="right"/>
              <w:ind w:right="120"/>
              <w:spacing w:after="0"/>
              <w:rPr>
                <w:sz w:val="20"/>
                <w:szCs w:val="20"/>
                <w:color w:val="auto"/>
              </w:rPr>
            </w:pPr>
            <w:r>
              <w:rPr>
                <w:rFonts w:ascii="Arial" w:cs="Arial" w:eastAsia="Arial" w:hAnsi="Arial"/>
                <w:sz w:val="18"/>
                <w:szCs w:val="18"/>
                <w:color w:val="auto"/>
              </w:rPr>
              <w:t>(36.2)%</w:t>
            </w:r>
          </w:p>
        </w:tc>
        <w:tc>
          <w:tcPr>
            <w:tcW w:w="1460" w:type="dxa"/>
            <w:vAlign w:val="bottom"/>
            <w:gridSpan w:val="2"/>
          </w:tcPr>
          <w:p>
            <w:pPr>
              <w:jc w:val="right"/>
              <w:spacing w:after="0"/>
              <w:rPr>
                <w:sz w:val="20"/>
                <w:szCs w:val="20"/>
                <w:color w:val="auto"/>
              </w:rPr>
            </w:pPr>
            <w:r>
              <w:rPr>
                <w:rFonts w:ascii="Arial" w:cs="Arial" w:eastAsia="Arial" w:hAnsi="Arial"/>
                <w:sz w:val="18"/>
                <w:szCs w:val="18"/>
                <w:b w:val="1"/>
                <w:bCs w:val="1"/>
                <w:color w:val="auto"/>
              </w:rPr>
              <w:t>(37.1)%</w:t>
            </w:r>
          </w:p>
        </w:tc>
      </w:tr>
      <w:tr>
        <w:trPr>
          <w:trHeight w:val="655"/>
        </w:trPr>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562,082,216</w:t>
            </w:r>
          </w:p>
        </w:tc>
        <w:tc>
          <w:tcPr>
            <w:tcW w:w="32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554,121,595</w:t>
            </w:r>
          </w:p>
        </w:tc>
        <w:tc>
          <w:tcPr>
            <w:tcW w:w="340" w:type="dxa"/>
            <w:vAlign w:val="bottom"/>
          </w:tcPr>
          <w:p>
            <w:pPr>
              <w:spacing w:after="0"/>
              <w:rPr>
                <w:sz w:val="24"/>
                <w:szCs w:val="2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489,149,533</w:t>
            </w:r>
          </w:p>
        </w:tc>
        <w:tc>
          <w:tcPr>
            <w:tcW w:w="320" w:type="dxa"/>
            <w:vAlign w:val="bottom"/>
          </w:tcPr>
          <w:p>
            <w:pPr>
              <w:spacing w:after="0"/>
              <w:rPr>
                <w:sz w:val="24"/>
                <w:szCs w:val="2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553,527,529</w:t>
            </w:r>
          </w:p>
        </w:tc>
        <w:tc>
          <w:tcPr>
            <w:tcW w:w="220" w:type="dxa"/>
            <w:vAlign w:val="bottom"/>
          </w:tcPr>
          <w:p>
            <w:pPr>
              <w:spacing w:after="0"/>
              <w:rPr>
                <w:sz w:val="24"/>
                <w:szCs w:val="24"/>
                <w:color w:val="auto"/>
              </w:rPr>
            </w:pPr>
          </w:p>
        </w:tc>
      </w:tr>
      <w:tr>
        <w:trPr>
          <w:trHeight w:val="655"/>
        </w:trPr>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(0.06)</w:t>
            </w:r>
          </w:p>
        </w:tc>
        <w:tc>
          <w:tcPr>
            <w:tcW w:w="15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(0.01)</w:t>
            </w:r>
          </w:p>
        </w:tc>
        <w:tc>
          <w:tcPr>
            <w:tcW w:w="1540" w:type="dxa"/>
            <w:vAlign w:val="bottom"/>
            <w:gridSpan w:val="2"/>
          </w:tcPr>
          <w:p>
            <w:pPr>
              <w:jc w:val="right"/>
              <w:ind w:right="260"/>
              <w:spacing w:after="0"/>
              <w:rPr>
                <w:sz w:val="20"/>
                <w:szCs w:val="20"/>
                <w:color w:val="auto"/>
              </w:rPr>
            </w:pPr>
            <w:r>
              <w:rPr>
                <w:rFonts w:ascii="Arial" w:cs="Arial" w:eastAsia="Arial" w:hAnsi="Arial"/>
                <w:sz w:val="18"/>
                <w:szCs w:val="18"/>
                <w:color w:val="auto"/>
              </w:rPr>
              <w:t>(0.22)</w:t>
            </w:r>
          </w:p>
        </w:tc>
        <w:tc>
          <w:tcPr>
            <w:tcW w:w="14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(0.14)</w:t>
            </w:r>
          </w:p>
        </w:tc>
      </w:tr>
      <w:tr>
        <w:trPr>
          <w:trHeight w:val="20"/>
        </w:trPr>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4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-3258185</wp:posOffset>
            </wp:positionH>
            <wp:positionV relativeFrom="paragraph">
              <wp:posOffset>-865505</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-3258185</wp:posOffset>
            </wp:positionH>
            <wp:positionV relativeFrom="paragraph">
              <wp:posOffset>-436880</wp:posOffset>
            </wp:positionV>
            <wp:extent cx="7132320"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209" w:lineRule="exact"/>
        <w:rPr>
          <w:sz w:val="20"/>
          <w:szCs w:val="20"/>
          <w:color w:val="auto"/>
        </w:rPr>
      </w:pPr>
    </w:p>
    <w:p>
      <w:pPr>
        <w:sectPr>
          <w:pgSz w:w="11900" w:h="16838" w:orient="portrait"/>
          <w:cols w:equalWidth="0" w:num="2">
            <w:col w:w="4980" w:space="160"/>
            <w:col w:w="6100"/>
          </w:cols>
          <w:pgMar w:left="320" w:top="904" w:right="339" w:bottom="1440" w:gutter="0" w:footer="0" w:header="0"/>
          <w:type w:val="continuous"/>
        </w:sect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1323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
      <w:numFmt w:val="bullet"/>
      <w:start w:val="1"/>
    </w:lvl>
  </w:abstractNum>
  <w:abstractNum w:abstractNumId="4">
    <w:nsid w:val="12200854"/>
    <w:multiLevelType w:val="hybridMultilevel"/>
    <w:lvl w:ilvl="0">
      <w:lvlJc w:val="left"/>
      <w:lvlText w:val="%1."/>
      <w:numFmt w:val="decimal"/>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
      <w:numFmt w:val="bullet"/>
      <w:start w:val="1"/>
    </w:lvl>
  </w:abstractNum>
  <w:abstractNum w:abstractNumId="12">
    <w:nsid w:val="109CF92E"/>
    <w:multiLevelType w:val="hybridMultilevel"/>
    <w:lvl w:ilvl="0">
      <w:lvlJc w:val="left"/>
      <w:lvlText w:val="·"/>
      <w:numFmt w:val="bullet"/>
      <w:start w:val="1"/>
    </w:lvl>
  </w:abstractNum>
  <w:abstractNum w:abstractNumId="13">
    <w:nsid w:val="DED7263"/>
    <w:multiLevelType w:val="hybridMultilevel"/>
    <w:lvl w:ilvl="0">
      <w:lvlJc w:val="left"/>
      <w:lvlText w:val="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2023-03-02T05:47:07Z</dcterms:created>
  <dcterms:modified xsi:type="dcterms:W3CDTF">2023-03-02T05:47:07Z</dcterms:modified>
</cp:coreProperties>
</file>