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186690</wp:posOffset>
            </wp:positionH>
            <wp:positionV relativeFrom="page">
              <wp:posOffset>183515</wp:posOffset>
            </wp:positionV>
            <wp:extent cx="717486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page">
              <wp:posOffset>186690</wp:posOffset>
            </wp:positionH>
            <wp:positionV relativeFrom="page">
              <wp:posOffset>207010</wp:posOffset>
            </wp:positionV>
            <wp:extent cx="71748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715"/>
                    </a:xfrm>
                    <a:prstGeom prst="rect">
                      <a:avLst/>
                    </a:prstGeom>
                    <a:noFill/>
                  </pic:spPr>
                </pic:pic>
              </a:graphicData>
            </a:graphic>
          </wp:anchor>
        </w:drawing>
        <w:t>UNITED STATES</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16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PURSUANT TO RULE 13a-16 OR 15d-16 UNDER</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4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2"/>
          <w:szCs w:val="12"/>
          <w:b w:val="1"/>
          <w:bCs w:val="1"/>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134620</wp:posOffset>
            </wp:positionV>
            <wp:extent cx="178943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9430" cy="5715"/>
                    </a:xfrm>
                    <a:prstGeom prst="rect">
                      <a:avLst/>
                    </a:prstGeom>
                    <a:noFill/>
                  </pic:spPr>
                </pic:pic>
              </a:graphicData>
            </a:graphic>
          </wp:anchor>
        </w:drawing>
      </w:r>
    </w:p>
    <w:p>
      <w:pPr>
        <w:spacing w:after="0" w:line="38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Commission File Number: 001-40210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134620</wp:posOffset>
            </wp:positionV>
            <wp:extent cx="178943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9430" cy="5715"/>
                    </a:xfrm>
                    <a:prstGeom prst="rect">
                      <a:avLst/>
                    </a:prstGeom>
                    <a:noFill/>
                  </pic:spPr>
                </pic:pic>
              </a:graphicData>
            </a:graphic>
          </wp:anchor>
        </w:drawing>
      </w:r>
    </w:p>
    <w:p>
      <w:pPr>
        <w:spacing w:after="0" w:line="37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Tuya Inc.</w:t>
      </w:r>
    </w:p>
    <w:p>
      <w:pPr>
        <w:spacing w:after="0" w:line="16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10/F, Building A, Huace Center</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Xihu District, Hangzhou City</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Zhejiang, 310012</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People’s Republic of China</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33" w:lineRule="exact"/>
        <w:rPr>
          <w:sz w:val="24"/>
          <w:szCs w:val="24"/>
          <w:color w:val="auto"/>
        </w:rPr>
      </w:pPr>
    </w:p>
    <w:p>
      <w:pPr>
        <w:ind w:left="4680"/>
        <w:spacing w:after="0" w:line="138" w:lineRule="exact"/>
        <w:tabs>
          <w:tab w:leader="none" w:pos="5860" w:val="left"/>
        </w:tabs>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 xml:space="preserve">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748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167640</wp:posOffset>
            </wp:positionV>
            <wp:extent cx="7174865"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380365</wp:posOffset>
            </wp:positionV>
            <wp:extent cx="71748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159"/>
          </w:cols>
          <w:pgMar w:left="300" w:top="50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color w:val="auto"/>
        </w:rPr>
        <w:t>EXPLANATORY NOTE</w:t>
      </w:r>
    </w:p>
    <w:p>
      <w:pPr>
        <w:spacing w:after="0" w:line="162" w:lineRule="exact"/>
        <w:rPr>
          <w:sz w:val="20"/>
          <w:szCs w:val="20"/>
          <w:color w:val="auto"/>
        </w:rPr>
      </w:pPr>
    </w:p>
    <w:p>
      <w:pPr>
        <w:ind w:firstLine="446"/>
        <w:spacing w:after="0" w:line="297" w:lineRule="auto"/>
        <w:rPr>
          <w:sz w:val="20"/>
          <w:szCs w:val="20"/>
          <w:color w:val="auto"/>
        </w:rPr>
      </w:pPr>
      <w:r>
        <w:rPr>
          <w:rFonts w:ascii="Times New Roman" w:cs="Times New Roman" w:eastAsia="Times New Roman" w:hAnsi="Times New Roman"/>
          <w:sz w:val="12"/>
          <w:szCs w:val="12"/>
          <w:color w:val="auto"/>
        </w:rPr>
        <w:t>We made an announcement dated May 6, 2026 with The Stock Exchange of Hong Kong Limited in relation to the record date for the forthcoming annual general meeting. We also submitted a next day disclosure return form dated May 5, 2026, in relation to the changes in our issued share capital and/or share buybacks, to The Stock Exchange of Hong Kong Limited. For details, please refer to the exhibits to this current report on Form 6-K.</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280"/>
          </w:cols>
          <w:pgMar w:left="300" w:top="664"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80" w:type="dxa"/>
            <w:vAlign w:val="bottom"/>
            <w:gridSpan w:val="3"/>
          </w:tcPr>
          <w:p>
            <w:pPr>
              <w:jc w:val="center"/>
              <w:ind w:right="284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298"/>
        </w:trPr>
        <w:tc>
          <w:tcPr>
            <w:tcW w:w="2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560" w:type="dxa"/>
            <w:vAlign w:val="bottom"/>
          </w:tcPr>
          <w:p>
            <w:pPr>
              <w:spacing w:after="0"/>
              <w:rPr>
                <w:sz w:val="24"/>
                <w:szCs w:val="24"/>
                <w:color w:val="auto"/>
              </w:rPr>
            </w:pPr>
          </w:p>
        </w:tc>
        <w:tc>
          <w:tcPr>
            <w:tcW w:w="8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11"/>
        </w:trPr>
        <w:tc>
          <w:tcPr>
            <w:tcW w:w="220" w:type="dxa"/>
            <w:vAlign w:val="bottom"/>
          </w:tcPr>
          <w:p>
            <w:pPr>
              <w:spacing w:after="0" w:line="111"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2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80" w:type="dxa"/>
            <w:vAlign w:val="bottom"/>
            <w:gridSpan w:val="3"/>
          </w:tcPr>
          <w:p>
            <w:pPr>
              <w:spacing w:after="0" w:line="111" w:lineRule="exact"/>
              <w:rPr>
                <w:sz w:val="20"/>
                <w:szCs w:val="20"/>
                <w:color w:val="auto"/>
              </w:rPr>
            </w:pPr>
            <w:r>
              <w:rPr>
                <w:rFonts w:ascii="Times New Roman" w:cs="Times New Roman" w:eastAsia="Times New Roman" w:hAnsi="Times New Roman"/>
                <w:sz w:val="12"/>
                <w:szCs w:val="12"/>
                <w:color w:val="0000EE"/>
              </w:rPr>
              <w:t>Announcement — Record Date for the Forthcoming Annual General Meeting of the Company</w:t>
            </w:r>
          </w:p>
        </w:tc>
      </w:tr>
      <w:tr>
        <w:trPr>
          <w:trHeight w:val="129"/>
        </w:trPr>
        <w:tc>
          <w:tcPr>
            <w:tcW w:w="220" w:type="dxa"/>
            <w:vAlign w:val="bottom"/>
            <w:tcBorders>
              <w:top w:val="single" w:sz="8" w:color="0000EE"/>
              <w:bottom w:val="single" w:sz="8" w:color="0000EE"/>
            </w:tcBorders>
          </w:tcPr>
          <w:p>
            <w:pPr>
              <w:spacing w:after="0" w:line="129"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2</w:t>
            </w:r>
          </w:p>
        </w:tc>
        <w:tc>
          <w:tcPr>
            <w:tcW w:w="2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0" w:type="dxa"/>
            <w:vAlign w:val="bottom"/>
            <w:tcBorders>
              <w:top w:val="single" w:sz="8" w:color="0000EE"/>
              <w:bottom w:val="single" w:sz="8" w:color="0000EE"/>
            </w:tcBorders>
          </w:tcPr>
          <w:p>
            <w:pPr>
              <w:spacing w:after="0" w:line="129" w:lineRule="exact"/>
              <w:rPr>
                <w:sz w:val="20"/>
                <w:szCs w:val="20"/>
                <w:color w:val="auto"/>
              </w:rPr>
            </w:pPr>
            <w:r>
              <w:rPr>
                <w:rFonts w:ascii="Times New Roman" w:cs="Times New Roman" w:eastAsia="Times New Roman" w:hAnsi="Times New Roman"/>
                <w:sz w:val="12"/>
                <w:szCs w:val="12"/>
                <w:color w:val="0000EE"/>
              </w:rPr>
              <w:t>Next Day Disclosure Return Dated May 5, 2026</w:t>
            </w:r>
          </w:p>
        </w:tc>
        <w:tc>
          <w:tcPr>
            <w:tcW w:w="2280" w:type="dxa"/>
            <w:vAlign w:val="bottom"/>
            <w:tcBorders>
              <w:top w:val="single" w:sz="8" w:color="0000EE"/>
            </w:tcBorders>
          </w:tcPr>
          <w:p>
            <w:pPr>
              <w:spacing w:after="0"/>
              <w:rPr>
                <w:sz w:val="11"/>
                <w:szCs w:val="11"/>
                <w:color w:val="auto"/>
              </w:rPr>
            </w:pPr>
          </w:p>
        </w:tc>
        <w:tc>
          <w:tcPr>
            <w:tcW w:w="3800" w:type="dxa"/>
            <w:vAlign w:val="bottom"/>
          </w:tcPr>
          <w:p>
            <w:pPr>
              <w:spacing w:after="0"/>
              <w:rPr>
                <w:sz w:val="11"/>
                <w:szCs w:val="11"/>
                <w:color w:val="auto"/>
              </w:rPr>
            </w:pPr>
          </w:p>
        </w:tc>
      </w:tr>
      <w:tr>
        <w:trPr>
          <w:trHeight w:val="454"/>
        </w:trPr>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3"/>
          </w:tcPr>
          <w:p>
            <w:pPr>
              <w:jc w:val="right"/>
              <w:ind w:right="1820"/>
              <w:spacing w:after="0"/>
              <w:rPr>
                <w:sz w:val="20"/>
                <w:szCs w:val="20"/>
                <w:color w:val="auto"/>
              </w:rPr>
            </w:pPr>
            <w:r>
              <w:rPr>
                <w:rFonts w:ascii="Times New Roman" w:cs="Times New Roman" w:eastAsia="Times New Roman" w:hAnsi="Times New Roman"/>
                <w:sz w:val="12"/>
                <w:szCs w:val="12"/>
                <w:color w:val="auto"/>
              </w:rPr>
              <w:t>3</w:t>
            </w: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4"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tbl>
      <w:tblPr>
        <w:tblLayout w:type="fixed"/>
        <w:tblInd w:w="5640" w:type="dxa"/>
        <w:tblCellMar>
          <w:top w:w="0" w:type="dxa"/>
          <w:left w:w="0" w:type="dxa"/>
          <w:bottom w:w="0" w:type="dxa"/>
          <w:right w:w="0" w:type="dxa"/>
        </w:tblCellMar>
      </w:tblPr>
      <w:tr>
        <w:trPr>
          <w:trHeight w:val="160"/>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Tuya Inc.</w:t>
            </w:r>
          </w:p>
        </w:tc>
        <w:tc>
          <w:tcPr>
            <w:tcW w:w="280" w:type="dxa"/>
            <w:vAlign w:val="bottom"/>
          </w:tcPr>
          <w:p>
            <w:pPr>
              <w:spacing w:after="0"/>
              <w:rPr>
                <w:sz w:val="13"/>
                <w:szCs w:val="13"/>
                <w:color w:val="auto"/>
              </w:rPr>
            </w:pPr>
          </w:p>
        </w:tc>
        <w:tc>
          <w:tcPr>
            <w:tcW w:w="4860" w:type="dxa"/>
            <w:vAlign w:val="bottom"/>
          </w:tcPr>
          <w:p>
            <w:pPr>
              <w:spacing w:after="0"/>
              <w:rPr>
                <w:sz w:val="13"/>
                <w:szCs w:val="13"/>
                <w:color w:val="auto"/>
              </w:rPr>
            </w:pPr>
          </w:p>
        </w:tc>
      </w:tr>
      <w:tr>
        <w:trPr>
          <w:trHeight w:val="298"/>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/s/ Yi (Alex) Yang</w:t>
            </w:r>
          </w:p>
        </w:tc>
      </w:tr>
      <w:tr>
        <w:trPr>
          <w:trHeight w:val="126"/>
        </w:trPr>
        <w:tc>
          <w:tcPr>
            <w:tcW w:w="52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Name</w:t>
            </w:r>
          </w:p>
        </w:tc>
        <w:tc>
          <w:tcPr>
            <w:tcW w:w="280" w:type="dxa"/>
            <w:vAlign w:val="bottom"/>
          </w:tcPr>
          <w:p>
            <w:pPr>
              <w:ind w:left="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860" w:type="dxa"/>
            <w:vAlign w:val="bottom"/>
            <w:tcBorders>
              <w:top w:val="single" w:sz="8" w:color="auto"/>
            </w:tcBorders>
          </w:tcPr>
          <w:p>
            <w:pPr>
              <w:spacing w:after="0" w:line="126" w:lineRule="exact"/>
              <w:rPr>
                <w:sz w:val="20"/>
                <w:szCs w:val="20"/>
                <w:color w:val="auto"/>
              </w:rPr>
            </w:pPr>
            <w:r>
              <w:rPr>
                <w:rFonts w:ascii="Times New Roman" w:cs="Times New Roman" w:eastAsia="Times New Roman" w:hAnsi="Times New Roman"/>
                <w:sz w:val="12"/>
                <w:szCs w:val="12"/>
                <w:color w:val="auto"/>
              </w:rPr>
              <w:t>Yi (Alex) Yang</w:t>
            </w:r>
          </w:p>
        </w:tc>
      </w:tr>
      <w:tr>
        <w:trPr>
          <w:trHeight w:val="160"/>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May 6, 2026</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4" w:right="299" w:bottom="1440" w:gutter="0" w:footer="0" w:header="0"/>
        </w:sectPr>
      </w:pPr>
    </w:p>
    <w:bookmarkStart w:id="4" w:name="page5"/>
    <w:bookmarkEnd w:id="4"/>
    <w:p>
      <w:pPr>
        <w:ind w:left="1066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60"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2"/>
          <w:szCs w:val="12"/>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73025</wp:posOffset>
            </wp:positionV>
            <wp:extent cx="720725" cy="372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725" cy="37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2"/>
          <w:szCs w:val="12"/>
          <w:b w:val="1"/>
          <w:bCs w:val="1"/>
          <w:color w:val="auto"/>
        </w:rPr>
        <w:t>Tuya Inc.</w:t>
      </w:r>
    </w:p>
    <w:p>
      <w:pPr>
        <w:spacing w:after="0" w:line="24" w:lineRule="exact"/>
        <w:rPr>
          <w:sz w:val="20"/>
          <w:szCs w:val="20"/>
          <w:color w:val="auto"/>
        </w:rPr>
      </w:pPr>
    </w:p>
    <w:p>
      <w:pPr>
        <w:ind w:left="5380"/>
        <w:spacing w:after="0" w:line="146" w:lineRule="exact"/>
        <w:rPr>
          <w:sz w:val="20"/>
          <w:szCs w:val="20"/>
          <w:color w:val="auto"/>
        </w:rPr>
      </w:pPr>
      <w:r>
        <w:rPr>
          <w:rFonts w:ascii="PMingLiU" w:cs="PMingLiU" w:eastAsia="PMingLiU" w:hAnsi="PMingLiU"/>
          <w:sz w:val="12"/>
          <w:szCs w:val="12"/>
          <w:color w:val="auto"/>
          <w:highlight w:val="black"/>
        </w:rPr>
        <w:t>塗鴉智能</w:t>
      </w:r>
      <w:r>
        <w:rPr>
          <w:rFonts w:ascii="Times New Roman" w:cs="Times New Roman" w:eastAsia="Times New Roman" w:hAnsi="Times New Roman"/>
          <w:sz w:val="12"/>
          <w:szCs w:val="12"/>
          <w:b w:val="1"/>
          <w:bCs w:val="1"/>
          <w:color w:val="auto"/>
        </w:rPr>
        <w:t>*</w:t>
      </w:r>
    </w:p>
    <w:p>
      <w:pPr>
        <w:spacing w:after="0" w:line="1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2"/>
          <w:szCs w:val="12"/>
          <w:i w:val="1"/>
          <w:iCs w:val="1"/>
          <w:color w:val="auto"/>
        </w:rPr>
        <w:t>(A company controlled through weighted voting rights and incorporated in the Cayman Islands with limited liability)</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(HKEX Stock Code: 2391)</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(NYSE Stock Ticker: TUYA)</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RECORD DATE FOR THE FORTHCOMING ANNUAL</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GENERAL MEETING OF THE COMPANY</w:t>
      </w:r>
    </w:p>
    <w:p>
      <w:pPr>
        <w:spacing w:after="0" w:line="146" w:lineRule="exact"/>
        <w:rPr>
          <w:sz w:val="20"/>
          <w:szCs w:val="20"/>
          <w:color w:val="auto"/>
        </w:rPr>
      </w:pPr>
    </w:p>
    <w:p>
      <w:pPr>
        <w:jc w:val="both"/>
        <w:ind w:firstLine="1"/>
        <w:spacing w:after="0" w:line="280" w:lineRule="auto"/>
        <w:rPr>
          <w:sz w:val="20"/>
          <w:szCs w:val="20"/>
          <w:color w:val="auto"/>
        </w:rPr>
      </w:pPr>
      <w:r>
        <w:rPr>
          <w:rFonts w:ascii="Times New Roman" w:cs="Times New Roman" w:eastAsia="Times New Roman" w:hAnsi="Times New Roman"/>
          <w:sz w:val="12"/>
          <w:szCs w:val="12"/>
          <w:color w:val="auto"/>
        </w:rPr>
        <w:t>The board (the “</w:t>
      </w:r>
      <w:r>
        <w:rPr>
          <w:rFonts w:ascii="Times New Roman" w:cs="Times New Roman" w:eastAsia="Times New Roman" w:hAnsi="Times New Roman"/>
          <w:sz w:val="12"/>
          <w:szCs w:val="12"/>
          <w:b w:val="1"/>
          <w:bCs w:val="1"/>
          <w:color w:val="auto"/>
        </w:rPr>
        <w:t>Board</w:t>
      </w:r>
      <w:r>
        <w:rPr>
          <w:rFonts w:ascii="Times New Roman" w:cs="Times New Roman" w:eastAsia="Times New Roman" w:hAnsi="Times New Roman"/>
          <w:sz w:val="12"/>
          <w:szCs w:val="12"/>
          <w:color w:val="auto"/>
        </w:rPr>
        <w:t>”) of directors (each a “</w:t>
      </w:r>
      <w:r>
        <w:rPr>
          <w:rFonts w:ascii="Times New Roman" w:cs="Times New Roman" w:eastAsia="Times New Roman" w:hAnsi="Times New Roman"/>
          <w:sz w:val="12"/>
          <w:szCs w:val="12"/>
          <w:b w:val="1"/>
          <w:bCs w:val="1"/>
          <w:color w:val="auto"/>
        </w:rPr>
        <w:t>Director</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Directors</w:t>
      </w:r>
      <w:r>
        <w:rPr>
          <w:rFonts w:ascii="Times New Roman" w:cs="Times New Roman" w:eastAsia="Times New Roman" w:hAnsi="Times New Roman"/>
          <w:sz w:val="12"/>
          <w:szCs w:val="12"/>
          <w:color w:val="auto"/>
        </w:rPr>
        <w:t>”) of Tuya Inc.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announces that the record date for the purpose of determining the eligibility of the holders of the Class A ordinary shares and the Class B ordinary shares of the Company, par value US$0.00005 each (the “</w:t>
      </w:r>
      <w:r>
        <w:rPr>
          <w:rFonts w:ascii="Times New Roman" w:cs="Times New Roman" w:eastAsia="Times New Roman" w:hAnsi="Times New Roman"/>
          <w:sz w:val="12"/>
          <w:szCs w:val="12"/>
          <w:b w:val="1"/>
          <w:bCs w:val="1"/>
          <w:color w:val="auto"/>
        </w:rPr>
        <w:t>Ordinary Shares</w:t>
      </w:r>
      <w:r>
        <w:rPr>
          <w:rFonts w:ascii="Times New Roman" w:cs="Times New Roman" w:eastAsia="Times New Roman" w:hAnsi="Times New Roman"/>
          <w:sz w:val="12"/>
          <w:szCs w:val="12"/>
          <w:color w:val="auto"/>
        </w:rPr>
        <w:t>”), to vote and attend the forthcoming annual general meeting of the Company (the “</w:t>
      </w:r>
      <w:r>
        <w:rPr>
          <w:rFonts w:ascii="Times New Roman" w:cs="Times New Roman" w:eastAsia="Times New Roman" w:hAnsi="Times New Roman"/>
          <w:sz w:val="12"/>
          <w:szCs w:val="12"/>
          <w:b w:val="1"/>
          <w:bCs w:val="1"/>
          <w:color w:val="auto"/>
        </w:rPr>
        <w:t>AGM</w:t>
      </w:r>
      <w:r>
        <w:rPr>
          <w:rFonts w:ascii="Times New Roman" w:cs="Times New Roman" w:eastAsia="Times New Roman" w:hAnsi="Times New Roman"/>
          <w:sz w:val="12"/>
          <w:szCs w:val="12"/>
          <w:color w:val="auto"/>
        </w:rPr>
        <w:t>”) will be as of the close of business on Friday, May 22, 2026, Hong Kong time (the “</w:t>
      </w:r>
      <w:r>
        <w:rPr>
          <w:rFonts w:ascii="Times New Roman" w:cs="Times New Roman" w:eastAsia="Times New Roman" w:hAnsi="Times New Roman"/>
          <w:sz w:val="12"/>
          <w:szCs w:val="12"/>
          <w:b w:val="1"/>
          <w:bCs w:val="1"/>
          <w:color w:val="auto"/>
        </w:rPr>
        <w:t>Ordinary Shares Record Date</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In order to be eligible to vote and attend the forthcoming AGM, with respect to Ordinary Shares registered on the Company’s Hong Kong share registrar, all valid documents for the transfers of shares accompanied by the relevant share certificates must be lodged with the Company’s Hong Kong share registrar, Computershare Hong Kong Investor Services Limited (the “</w:t>
      </w:r>
      <w:r>
        <w:rPr>
          <w:rFonts w:ascii="Times New Roman" w:cs="Times New Roman" w:eastAsia="Times New Roman" w:hAnsi="Times New Roman"/>
          <w:sz w:val="12"/>
          <w:szCs w:val="12"/>
          <w:b w:val="1"/>
          <w:bCs w:val="1"/>
          <w:color w:val="auto"/>
        </w:rPr>
        <w:t>Hong Kong Share Registrar</w:t>
      </w:r>
      <w:r>
        <w:rPr>
          <w:rFonts w:ascii="Times New Roman" w:cs="Times New Roman" w:eastAsia="Times New Roman" w:hAnsi="Times New Roman"/>
          <w:sz w:val="12"/>
          <w:szCs w:val="12"/>
          <w:color w:val="auto"/>
        </w:rPr>
        <w:t>”), at Shops 1712-1716, 17th Floor, Hopewell Centre, 183 Queen’s Road East, Wan Chai, Hong Kong, no later than 4:30 p.m. on Friday, May 22, 2026, Hong Kong time; and with respect to the Ordinary Shares registered on the Company’s principal share registrar in the Cayman Islands, all valid documents for the transfers of shares accompanied by the relevant share certificates must be lodged with the Company’s principal share registrar, Maples Fund Services (Cayman) Limited (the “</w:t>
      </w:r>
      <w:r>
        <w:rPr>
          <w:rFonts w:ascii="Times New Roman" w:cs="Times New Roman" w:eastAsia="Times New Roman" w:hAnsi="Times New Roman"/>
          <w:sz w:val="12"/>
          <w:szCs w:val="12"/>
          <w:b w:val="1"/>
          <w:bCs w:val="1"/>
          <w:color w:val="auto"/>
        </w:rPr>
        <w:t>Principal Share Registrar</w:t>
      </w:r>
      <w:r>
        <w:rPr>
          <w:rFonts w:ascii="Times New Roman" w:cs="Times New Roman" w:eastAsia="Times New Roman" w:hAnsi="Times New Roman"/>
          <w:sz w:val="12"/>
          <w:szCs w:val="12"/>
          <w:color w:val="auto"/>
        </w:rPr>
        <w:t>”), at PO Box 1093, Boundary Hall, Cricket Square, Grand Cayman, KY1-1102, Cayman Islands, no later than 3:30 p.m. on Thursday, May 21, 2026, Cayman Islands time (due to the time difference between Cayman Islands and Hong Kong). All persons who are registered holders of the Ordinary Shares on the Ordinary Shares Record Date will be entitled to vote and attend the forthcoming AGM.</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5" w:name="page6"/>
    <w:bookmarkEnd w:id="5"/>
    <w:p>
      <w:pPr>
        <w:jc w:val="both"/>
        <w:ind w:left="20"/>
        <w:spacing w:after="0" w:line="264" w:lineRule="auto"/>
        <w:rPr>
          <w:sz w:val="20"/>
          <w:szCs w:val="20"/>
          <w:color w:val="auto"/>
        </w:rPr>
      </w:pPr>
      <w:r>
        <w:rPr>
          <w:rFonts w:ascii="Times New Roman" w:cs="Times New Roman" w:eastAsia="Times New Roman" w:hAnsi="Times New Roman"/>
          <w:sz w:val="12"/>
          <w:szCs w:val="12"/>
          <w:color w:val="auto"/>
        </w:rPr>
        <w:t>Holders of American Depositary Shares of the Company (the “</w:t>
      </w:r>
      <w:r>
        <w:rPr>
          <w:rFonts w:ascii="Times New Roman" w:cs="Times New Roman" w:eastAsia="Times New Roman" w:hAnsi="Times New Roman"/>
          <w:sz w:val="12"/>
          <w:szCs w:val="12"/>
          <w:b w:val="1"/>
          <w:bCs w:val="1"/>
          <w:color w:val="auto"/>
        </w:rPr>
        <w:t>ADSs</w:t>
      </w:r>
      <w:r>
        <w:rPr>
          <w:rFonts w:ascii="Times New Roman" w:cs="Times New Roman" w:eastAsia="Times New Roman" w:hAnsi="Times New Roman"/>
          <w:sz w:val="12"/>
          <w:szCs w:val="12"/>
          <w:color w:val="auto"/>
        </w:rPr>
        <w:t>”) issued by The Bank of New York Mellon as the depositary of the ADSs (the “</w:t>
      </w:r>
      <w:r>
        <w:rPr>
          <w:rFonts w:ascii="Times New Roman" w:cs="Times New Roman" w:eastAsia="Times New Roman" w:hAnsi="Times New Roman"/>
          <w:sz w:val="12"/>
          <w:szCs w:val="12"/>
          <w:b w:val="1"/>
          <w:bCs w:val="1"/>
          <w:color w:val="auto"/>
        </w:rPr>
        <w:t>Depositary</w:t>
      </w:r>
      <w:r>
        <w:rPr>
          <w:rFonts w:ascii="Times New Roman" w:cs="Times New Roman" w:eastAsia="Times New Roman" w:hAnsi="Times New Roman"/>
          <w:sz w:val="12"/>
          <w:szCs w:val="12"/>
          <w:color w:val="auto"/>
        </w:rPr>
        <w:t>”), as of the close of business on Friday, May 22, 2026, New York time (the “</w:t>
      </w:r>
      <w:r>
        <w:rPr>
          <w:rFonts w:ascii="Times New Roman" w:cs="Times New Roman" w:eastAsia="Times New Roman" w:hAnsi="Times New Roman"/>
          <w:sz w:val="12"/>
          <w:szCs w:val="12"/>
          <w:b w:val="1"/>
          <w:bCs w:val="1"/>
          <w:color w:val="auto"/>
        </w:rPr>
        <w:t>ADSs Record Date</w:t>
      </w:r>
      <w:r>
        <w:rPr>
          <w:rFonts w:ascii="Times New Roman" w:cs="Times New Roman" w:eastAsia="Times New Roman" w:hAnsi="Times New Roman"/>
          <w:sz w:val="12"/>
          <w:szCs w:val="12"/>
          <w:color w:val="auto"/>
        </w:rPr>
        <w:t>”, and together with the Ordinary Shares Record Date collectively known as the “</w:t>
      </w:r>
      <w:r>
        <w:rPr>
          <w:rFonts w:ascii="Times New Roman" w:cs="Times New Roman" w:eastAsia="Times New Roman" w:hAnsi="Times New Roman"/>
          <w:sz w:val="12"/>
          <w:szCs w:val="12"/>
          <w:b w:val="1"/>
          <w:bCs w:val="1"/>
          <w:color w:val="auto"/>
        </w:rPr>
        <w:t>Record Date</w:t>
      </w:r>
      <w:r>
        <w:rPr>
          <w:rFonts w:ascii="Times New Roman" w:cs="Times New Roman" w:eastAsia="Times New Roman" w:hAnsi="Times New Roman"/>
          <w:sz w:val="12"/>
          <w:szCs w:val="12"/>
          <w:color w:val="auto"/>
        </w:rPr>
        <w:t>”), will be able to instruct the Depositary, being the holder of record of the Class A ordinary shares represented by the ADSs, as to how to vote the Class A ordinary shares represented by such ADSs. The Depositary will endeavor, to the extent practicable and legally permissible, to vote or cause to be voted at the forthcoming AGM the Class A ordinary shares represented by the ADSs in accordance with the instructions that it has properly received directly from the ADS holders if the ADSs are held by holders on the books and records of the Depositary or indirectly through a bank, brokerage or other securities intermediary if the ADSs are held by any of them on behalf of holders. Please be aware that, because of the time difference between Hong Kong and New York, any ADS holders that cancel their ADSs in exchange for Class A ordinary shares of the Company on Friday, May 22, 2026, New York time will no longer be ADS holders with respect to such canceled ADSs as of the ADSs Record Date and will not be able to instruct the Depositary as to how to vote the Class A ordinary shares represented by such canceled ADSs as described above; such ADS holders will also not be holders of the Class A ordinary shares represented by such canceled ADSs as of the Ordinary Shares Record Date for the purpose of determining the eligibility to attend and vote at the forthcoming AGM.</w:t>
      </w:r>
    </w:p>
    <w:p>
      <w:pPr>
        <w:spacing w:after="0" w:line="127"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12"/>
          <w:szCs w:val="12"/>
          <w:color w:val="auto"/>
        </w:rPr>
        <w:t>Details including the date and location of the forthcoming AGM will be set out in the notice of the AGM to be issued and provided to holders of Ordinary Shares and ADSs as of the respective Record Date together with the proxy materials in due course.</w:t>
      </w:r>
    </w:p>
    <w:p>
      <w:pPr>
        <w:spacing w:after="0" w:line="105" w:lineRule="exact"/>
        <w:rPr>
          <w:sz w:val="20"/>
          <w:szCs w:val="20"/>
          <w:color w:val="auto"/>
        </w:rPr>
      </w:pPr>
    </w:p>
    <w:p>
      <w:pPr>
        <w:jc w:val="center"/>
        <w:ind w:left="9940"/>
        <w:spacing w:after="0"/>
        <w:rPr>
          <w:sz w:val="20"/>
          <w:szCs w:val="20"/>
          <w:color w:val="auto"/>
        </w:rPr>
      </w:pPr>
      <w:r>
        <w:rPr>
          <w:rFonts w:ascii="Times New Roman" w:cs="Times New Roman" w:eastAsia="Times New Roman" w:hAnsi="Times New Roman"/>
          <w:sz w:val="12"/>
          <w:szCs w:val="12"/>
          <w:color w:val="auto"/>
        </w:rPr>
        <w:t>By order of the Board</w:t>
      </w:r>
    </w:p>
    <w:p>
      <w:pPr>
        <w:spacing w:after="0" w:line="22" w:lineRule="exact"/>
        <w:rPr>
          <w:sz w:val="20"/>
          <w:szCs w:val="20"/>
          <w:color w:val="auto"/>
        </w:rPr>
      </w:pPr>
    </w:p>
    <w:p>
      <w:pPr>
        <w:jc w:val="center"/>
        <w:ind w:left="9940"/>
        <w:spacing w:after="0"/>
        <w:rPr>
          <w:sz w:val="20"/>
          <w:szCs w:val="20"/>
          <w:color w:val="auto"/>
        </w:rPr>
      </w:pPr>
      <w:r>
        <w:rPr>
          <w:rFonts w:ascii="Times New Roman" w:cs="Times New Roman" w:eastAsia="Times New Roman" w:hAnsi="Times New Roman"/>
          <w:sz w:val="12"/>
          <w:szCs w:val="12"/>
          <w:b w:val="1"/>
          <w:bCs w:val="1"/>
          <w:color w:val="auto"/>
        </w:rPr>
        <w:t>Tuya Inc.</w:t>
      </w:r>
    </w:p>
    <w:p>
      <w:pPr>
        <w:spacing w:after="0" w:line="11" w:lineRule="exact"/>
        <w:rPr>
          <w:sz w:val="20"/>
          <w:szCs w:val="20"/>
          <w:color w:val="auto"/>
        </w:rPr>
      </w:pPr>
    </w:p>
    <w:p>
      <w:pPr>
        <w:jc w:val="center"/>
        <w:ind w:left="9940"/>
        <w:spacing w:after="0"/>
        <w:rPr>
          <w:sz w:val="20"/>
          <w:szCs w:val="20"/>
          <w:color w:val="auto"/>
        </w:rPr>
      </w:pPr>
      <w:r>
        <w:rPr>
          <w:rFonts w:ascii="Times New Roman" w:cs="Times New Roman" w:eastAsia="Times New Roman" w:hAnsi="Times New Roman"/>
          <w:sz w:val="12"/>
          <w:szCs w:val="12"/>
          <w:b w:val="1"/>
          <w:bCs w:val="1"/>
          <w:color w:val="auto"/>
        </w:rPr>
        <w:t>WANG Xueji</w:t>
      </w:r>
    </w:p>
    <w:p>
      <w:pPr>
        <w:spacing w:after="0" w:line="11" w:lineRule="exact"/>
        <w:rPr>
          <w:sz w:val="20"/>
          <w:szCs w:val="20"/>
          <w:color w:val="auto"/>
        </w:rPr>
      </w:pPr>
    </w:p>
    <w:p>
      <w:pPr>
        <w:jc w:val="center"/>
        <w:ind w:left="9940"/>
        <w:spacing w:after="0"/>
        <w:rPr>
          <w:sz w:val="20"/>
          <w:szCs w:val="20"/>
          <w:color w:val="auto"/>
        </w:rPr>
      </w:pPr>
      <w:r>
        <w:rPr>
          <w:rFonts w:ascii="Times New Roman" w:cs="Times New Roman" w:eastAsia="Times New Roman" w:hAnsi="Times New Roman"/>
          <w:sz w:val="12"/>
          <w:szCs w:val="12"/>
          <w:i w:val="1"/>
          <w:iCs w:val="1"/>
          <w:color w:val="auto"/>
        </w:rPr>
        <w:t>Chairman</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Hong Kong, May 6, 2026</w:t>
      </w:r>
    </w:p>
    <w:p>
      <w:pPr>
        <w:spacing w:after="0" w:line="158"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2"/>
          <w:szCs w:val="12"/>
          <w:i w:val="1"/>
          <w:iCs w:val="1"/>
          <w:color w:val="auto"/>
        </w:rPr>
        <w:t>As at the date of this announcement, the Board comprises Mr. WANG Xueji, Mr. CHEN Liaohan, Mr. YANG Yi and Ms. ZHANG Yan as executive Directors; and Mr. HUANG Sidney Xuande, Mr. QIU Changheng, Mr. KUOK Meng Xiong (alias GUO Mengxiong) and Mr. YIP Pak Tung Jason as independent non-executive Directors.</w:t>
      </w:r>
    </w:p>
    <w:p>
      <w:pPr>
        <w:spacing w:after="0" w:line="100" w:lineRule="exact"/>
        <w:rPr>
          <w:sz w:val="20"/>
          <w:szCs w:val="20"/>
          <w:color w:val="auto"/>
        </w:rPr>
      </w:pPr>
    </w:p>
    <w:p>
      <w:pPr>
        <w:ind w:left="120" w:hanging="101"/>
        <w:spacing w:after="0"/>
        <w:tabs>
          <w:tab w:leader="none" w:pos="1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For identification purpose only</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280"/>
          </w:cols>
          <w:pgMar w:left="300" w:top="664" w:right="319" w:bottom="1440" w:gutter="0" w:footer="0" w:header="0"/>
        </w:sectPr>
      </w:pPr>
    </w:p>
    <w:bookmarkStart w:id="6" w:name="page7"/>
    <w:bookmarkEnd w:id="6"/>
    <w:p>
      <w:pPr>
        <w:ind w:left="9520"/>
        <w:spacing w:after="0"/>
        <w:rPr>
          <w:sz w:val="20"/>
          <w:szCs w:val="20"/>
          <w:color w:val="auto"/>
        </w:rPr>
      </w:pPr>
      <w:r>
        <w:rPr>
          <w:rFonts w:ascii="Times New Roman" w:cs="Times New Roman" w:eastAsia="Times New Roman" w:hAnsi="Times New Roman"/>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128270</wp:posOffset>
            </wp:positionV>
            <wp:extent cx="6897370" cy="5125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3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7370" cy="5131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3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7370" cy="5131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3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7370" cy="5131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3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7370" cy="51314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2026-05-06T07:18:14Z</dcterms:created>
  <dcterms:modified xsi:type="dcterms:W3CDTF">2026-05-06T07:18:14Z</dcterms:modified>
</cp:coreProperties>
</file>